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D6931E1">
      <w:pPr>
        <w:pStyle w:val="34"/>
        <w:rPr>
          <w:color w:val="auto"/>
        </w:rPr>
      </w:pPr>
      <w:r>
        <w:rPr>
          <w:rFonts w:hint="eastAsia"/>
          <w:color w:val="auto"/>
          <w:sz w:val="36"/>
          <w:szCs w:val="36"/>
        </w:rPr>
        <w:t xml:space="preserve">                </w:t>
      </w:r>
    </w:p>
    <w:p w14:paraId="7FB7720E">
      <w:pPr>
        <w:rPr>
          <w:color w:val="auto"/>
          <w:sz w:val="36"/>
          <w:szCs w:val="36"/>
        </w:rPr>
      </w:pPr>
    </w:p>
    <w:p w14:paraId="347CB7F4">
      <w:pPr>
        <w:rPr>
          <w:color w:val="auto"/>
          <w:sz w:val="36"/>
          <w:szCs w:val="36"/>
        </w:rPr>
      </w:pPr>
    </w:p>
    <w:p w14:paraId="234BEE1C">
      <w:pPr>
        <w:rPr>
          <w:color w:val="auto"/>
          <w:sz w:val="36"/>
          <w:szCs w:val="36"/>
        </w:rPr>
      </w:pPr>
      <w:r>
        <w:rPr>
          <w:rFonts w:hint="eastAsia"/>
          <w:color w:val="auto"/>
          <w:sz w:val="36"/>
          <w:szCs w:val="36"/>
        </w:rPr>
        <w:t xml:space="preserve">  </w:t>
      </w:r>
    </w:p>
    <w:p w14:paraId="4A152818">
      <w:pPr>
        <w:rPr>
          <w:color w:val="auto"/>
          <w:sz w:val="36"/>
          <w:szCs w:val="36"/>
        </w:rPr>
      </w:pPr>
    </w:p>
    <w:p w14:paraId="2A12EEB7">
      <w:pPr>
        <w:adjustRightInd w:val="0"/>
        <w:snapToGrid w:val="0"/>
        <w:jc w:val="center"/>
        <w:outlineLvl w:val="0"/>
        <w:rPr>
          <w:bCs/>
          <w:color w:val="auto"/>
          <w:sz w:val="72"/>
          <w:szCs w:val="72"/>
        </w:rPr>
      </w:pPr>
      <w:r>
        <w:rPr>
          <w:bCs/>
          <w:color w:val="auto"/>
          <w:sz w:val="72"/>
          <w:szCs w:val="72"/>
        </w:rPr>
        <w:t>建设项目环境影响报告表</w:t>
      </w:r>
    </w:p>
    <w:p w14:paraId="5109A0FE">
      <w:pPr>
        <w:adjustRightInd w:val="0"/>
        <w:snapToGrid w:val="0"/>
        <w:spacing w:before="192" w:beforeLines="80"/>
        <w:jc w:val="center"/>
        <w:rPr>
          <w:bCs/>
          <w:color w:val="auto"/>
          <w:sz w:val="48"/>
          <w:szCs w:val="48"/>
        </w:rPr>
      </w:pPr>
      <w:r>
        <w:rPr>
          <w:bCs/>
          <w:color w:val="auto"/>
          <w:sz w:val="48"/>
          <w:szCs w:val="48"/>
        </w:rPr>
        <w:t>（污染影响类）</w:t>
      </w:r>
    </w:p>
    <w:p w14:paraId="4F7488AA">
      <w:pPr>
        <w:ind w:firstLine="1040"/>
        <w:rPr>
          <w:color w:val="auto"/>
          <w:kern w:val="44"/>
          <w:sz w:val="44"/>
          <w:szCs w:val="44"/>
        </w:rPr>
      </w:pPr>
    </w:p>
    <w:p w14:paraId="39C39BB1">
      <w:pPr>
        <w:jc w:val="center"/>
        <w:rPr>
          <w:color w:val="auto"/>
          <w:sz w:val="52"/>
          <w:szCs w:val="52"/>
        </w:rPr>
      </w:pPr>
    </w:p>
    <w:p w14:paraId="56E307EA">
      <w:pPr>
        <w:ind w:firstLine="1040"/>
        <w:rPr>
          <w:color w:val="auto"/>
          <w:sz w:val="44"/>
          <w:szCs w:val="44"/>
        </w:rPr>
      </w:pPr>
    </w:p>
    <w:p w14:paraId="13DE6B94">
      <w:pPr>
        <w:rPr>
          <w:color w:val="auto"/>
          <w:sz w:val="44"/>
          <w:szCs w:val="44"/>
        </w:rPr>
      </w:pPr>
    </w:p>
    <w:p w14:paraId="205420C2">
      <w:pPr>
        <w:ind w:firstLine="1040"/>
        <w:rPr>
          <w:color w:val="auto"/>
          <w:sz w:val="44"/>
          <w:szCs w:val="44"/>
        </w:rPr>
      </w:pPr>
    </w:p>
    <w:p w14:paraId="0F1B520E">
      <w:pPr>
        <w:ind w:firstLine="1040"/>
        <w:rPr>
          <w:color w:val="auto"/>
          <w:sz w:val="44"/>
          <w:szCs w:val="44"/>
        </w:rPr>
      </w:pPr>
    </w:p>
    <w:p w14:paraId="6297CBE4">
      <w:pPr>
        <w:keepNext w:val="0"/>
        <w:keepLines w:val="0"/>
        <w:pageBreakBefore w:val="0"/>
        <w:widowControl w:val="0"/>
        <w:kinsoku/>
        <w:wordWrap/>
        <w:overflowPunct/>
        <w:topLinePunct w:val="0"/>
        <w:autoSpaceDE/>
        <w:autoSpaceDN/>
        <w:bidi w:val="0"/>
        <w:adjustRightInd w:val="0"/>
        <w:snapToGrid w:val="0"/>
        <w:spacing w:line="288" w:lineRule="auto"/>
        <w:ind w:left="0" w:leftChars="0" w:firstLine="0" w:firstLineChars="0"/>
        <w:textAlignment w:val="auto"/>
        <w:rPr>
          <w:rFonts w:hint="eastAsia"/>
          <w:color w:val="auto"/>
          <w:sz w:val="32"/>
          <w:szCs w:val="32"/>
          <w:u w:val="single"/>
        </w:rPr>
      </w:pPr>
      <w:r>
        <w:rPr>
          <w:color w:val="auto"/>
          <w:sz w:val="32"/>
          <w:szCs w:val="32"/>
        </w:rPr>
        <w:t>项目名称：</w:t>
      </w:r>
      <w:r>
        <w:rPr>
          <w:color w:val="auto"/>
          <w:sz w:val="32"/>
          <w:szCs w:val="32"/>
          <w:u w:val="single"/>
        </w:rPr>
        <w:t xml:space="preserve"> </w:t>
      </w:r>
      <w:r>
        <w:rPr>
          <w:rFonts w:hint="eastAsia"/>
          <w:color w:val="auto"/>
          <w:sz w:val="32"/>
          <w:szCs w:val="32"/>
          <w:u w:val="single"/>
        </w:rPr>
        <w:t>淮安市鸣锋工具有限公司五金工具加工项目</w:t>
      </w:r>
    </w:p>
    <w:p w14:paraId="5E6552E0">
      <w:pPr>
        <w:keepNext w:val="0"/>
        <w:keepLines w:val="0"/>
        <w:pageBreakBefore w:val="0"/>
        <w:widowControl w:val="0"/>
        <w:kinsoku/>
        <w:wordWrap/>
        <w:overflowPunct/>
        <w:topLinePunct w:val="0"/>
        <w:autoSpaceDE/>
        <w:autoSpaceDN/>
        <w:bidi w:val="0"/>
        <w:adjustRightInd w:val="0"/>
        <w:snapToGrid w:val="0"/>
        <w:spacing w:line="288" w:lineRule="auto"/>
        <w:ind w:left="0" w:leftChars="0" w:firstLine="0" w:firstLineChars="0"/>
        <w:textAlignment w:val="auto"/>
        <w:rPr>
          <w:color w:val="auto"/>
          <w:sz w:val="32"/>
          <w:szCs w:val="32"/>
          <w:u w:val="single"/>
        </w:rPr>
      </w:pPr>
      <w:r>
        <w:rPr>
          <w:color w:val="auto"/>
          <w:sz w:val="32"/>
          <w:szCs w:val="32"/>
        </w:rPr>
        <w:t>建设单位（盖章）：</w:t>
      </w:r>
      <w:r>
        <w:rPr>
          <w:color w:val="auto"/>
          <w:sz w:val="32"/>
          <w:szCs w:val="32"/>
          <w:u w:val="single"/>
        </w:rPr>
        <w:t xml:space="preserve">  </w:t>
      </w:r>
      <w:r>
        <w:rPr>
          <w:rFonts w:hint="eastAsia"/>
          <w:color w:val="auto"/>
          <w:sz w:val="32"/>
          <w:szCs w:val="32"/>
          <w:u w:val="single"/>
          <w:lang w:val="en-US" w:eastAsia="zh-CN"/>
        </w:rPr>
        <w:t xml:space="preserve"> </w:t>
      </w:r>
      <w:r>
        <w:rPr>
          <w:rFonts w:hint="eastAsia"/>
          <w:color w:val="auto"/>
          <w:sz w:val="32"/>
          <w:szCs w:val="32"/>
          <w:u w:val="single"/>
        </w:rPr>
        <w:t>淮安市鸣锋工具有限公司</w:t>
      </w:r>
      <w:r>
        <w:rPr>
          <w:rFonts w:hint="eastAsia"/>
          <w:color w:val="auto"/>
          <w:sz w:val="32"/>
          <w:szCs w:val="32"/>
          <w:u w:val="single"/>
          <w:lang w:val="en-US" w:eastAsia="zh-CN"/>
        </w:rPr>
        <w:t xml:space="preserve">     </w:t>
      </w:r>
      <w:r>
        <w:rPr>
          <w:color w:val="auto"/>
          <w:sz w:val="32"/>
          <w:szCs w:val="32"/>
          <w:u w:val="single"/>
        </w:rPr>
        <w:t xml:space="preserve"> </w:t>
      </w:r>
    </w:p>
    <w:p w14:paraId="6BABF061">
      <w:pPr>
        <w:keepNext w:val="0"/>
        <w:keepLines w:val="0"/>
        <w:pageBreakBefore w:val="0"/>
        <w:widowControl w:val="0"/>
        <w:kinsoku/>
        <w:wordWrap/>
        <w:overflowPunct/>
        <w:topLinePunct w:val="0"/>
        <w:autoSpaceDE/>
        <w:autoSpaceDN/>
        <w:bidi w:val="0"/>
        <w:adjustRightInd w:val="0"/>
        <w:snapToGrid w:val="0"/>
        <w:spacing w:line="288" w:lineRule="auto"/>
        <w:ind w:left="0" w:leftChars="0" w:firstLine="0" w:firstLineChars="0"/>
        <w:textAlignment w:val="auto"/>
        <w:rPr>
          <w:color w:val="auto"/>
          <w:sz w:val="36"/>
          <w:szCs w:val="36"/>
        </w:rPr>
      </w:pPr>
      <w:r>
        <w:rPr>
          <w:color w:val="auto"/>
          <w:sz w:val="32"/>
          <w:szCs w:val="32"/>
        </w:rPr>
        <w:t>编  制  日  期 ：</w:t>
      </w:r>
      <w:r>
        <w:rPr>
          <w:color w:val="auto"/>
          <w:sz w:val="32"/>
          <w:szCs w:val="32"/>
          <w:u w:val="single"/>
        </w:rPr>
        <w:t xml:space="preserve">    </w:t>
      </w:r>
      <w:r>
        <w:rPr>
          <w:rFonts w:hint="eastAsia"/>
          <w:color w:val="auto"/>
          <w:sz w:val="32"/>
          <w:szCs w:val="32"/>
          <w:u w:val="single"/>
        </w:rPr>
        <w:t xml:space="preserve">  </w:t>
      </w:r>
      <w:r>
        <w:rPr>
          <w:rFonts w:hint="eastAsia"/>
          <w:color w:val="auto"/>
          <w:sz w:val="32"/>
          <w:szCs w:val="32"/>
          <w:u w:val="single"/>
          <w:lang w:val="en-US" w:eastAsia="zh-CN"/>
        </w:rPr>
        <w:t xml:space="preserve">  </w:t>
      </w:r>
      <w:r>
        <w:rPr>
          <w:color w:val="auto"/>
          <w:sz w:val="32"/>
          <w:szCs w:val="32"/>
          <w:u w:val="single"/>
        </w:rPr>
        <w:t xml:space="preserve"> </w:t>
      </w:r>
      <w:r>
        <w:rPr>
          <w:rFonts w:hint="eastAsia"/>
          <w:color w:val="auto"/>
          <w:sz w:val="32"/>
          <w:szCs w:val="32"/>
          <w:u w:val="single"/>
          <w:lang w:val="en-US" w:eastAsia="zh-CN"/>
        </w:rPr>
        <w:t>2025</w:t>
      </w:r>
      <w:r>
        <w:rPr>
          <w:color w:val="auto"/>
          <w:sz w:val="32"/>
          <w:szCs w:val="32"/>
          <w:u w:val="single"/>
        </w:rPr>
        <w:t>年</w:t>
      </w:r>
      <w:r>
        <w:rPr>
          <w:rFonts w:hint="eastAsia"/>
          <w:color w:val="auto"/>
          <w:sz w:val="32"/>
          <w:szCs w:val="32"/>
          <w:u w:val="single"/>
          <w:lang w:val="en-US" w:eastAsia="zh-CN"/>
        </w:rPr>
        <w:t>6</w:t>
      </w:r>
      <w:r>
        <w:rPr>
          <w:color w:val="auto"/>
          <w:sz w:val="32"/>
          <w:szCs w:val="32"/>
          <w:u w:val="single"/>
        </w:rPr>
        <w:t xml:space="preserve">月      </w:t>
      </w:r>
      <w:r>
        <w:rPr>
          <w:rFonts w:hint="eastAsia"/>
          <w:color w:val="auto"/>
          <w:sz w:val="32"/>
          <w:szCs w:val="32"/>
          <w:u w:val="single"/>
          <w:lang w:val="en-US" w:eastAsia="zh-CN"/>
        </w:rPr>
        <w:t xml:space="preserve">  </w:t>
      </w:r>
      <w:r>
        <w:rPr>
          <w:color w:val="auto"/>
          <w:sz w:val="32"/>
          <w:szCs w:val="32"/>
          <w:u w:val="single"/>
        </w:rPr>
        <w:t xml:space="preserve">     </w:t>
      </w:r>
    </w:p>
    <w:p w14:paraId="2AC2701E">
      <w:pPr>
        <w:adjustRightInd w:val="0"/>
        <w:snapToGrid w:val="0"/>
        <w:spacing w:line="288" w:lineRule="auto"/>
        <w:ind w:firstLine="1040"/>
        <w:rPr>
          <w:color w:val="auto"/>
          <w:sz w:val="36"/>
          <w:szCs w:val="36"/>
        </w:rPr>
      </w:pPr>
    </w:p>
    <w:p w14:paraId="1FF7E09C">
      <w:pPr>
        <w:adjustRightInd w:val="0"/>
        <w:snapToGrid w:val="0"/>
        <w:spacing w:line="288" w:lineRule="auto"/>
        <w:ind w:firstLine="1040"/>
        <w:rPr>
          <w:color w:val="auto"/>
          <w:sz w:val="36"/>
          <w:szCs w:val="36"/>
        </w:rPr>
      </w:pPr>
    </w:p>
    <w:p w14:paraId="3C893B65">
      <w:pPr>
        <w:widowControl/>
        <w:spacing w:line="360" w:lineRule="auto"/>
        <w:rPr>
          <w:color w:val="auto"/>
          <w:kern w:val="0"/>
          <w:sz w:val="32"/>
          <w:szCs w:val="32"/>
        </w:rPr>
      </w:pPr>
    </w:p>
    <w:p w14:paraId="25462592">
      <w:pPr>
        <w:widowControl/>
        <w:spacing w:line="360" w:lineRule="auto"/>
        <w:ind w:left="-181"/>
        <w:jc w:val="center"/>
        <w:rPr>
          <w:color w:val="auto"/>
          <w:kern w:val="0"/>
          <w:sz w:val="32"/>
          <w:szCs w:val="32"/>
        </w:rPr>
      </w:pPr>
    </w:p>
    <w:p w14:paraId="292725CB">
      <w:pPr>
        <w:widowControl/>
        <w:spacing w:line="360" w:lineRule="auto"/>
        <w:ind w:left="-181"/>
        <w:jc w:val="center"/>
        <w:rPr>
          <w:color w:val="auto"/>
          <w:kern w:val="0"/>
          <w:sz w:val="32"/>
          <w:szCs w:val="32"/>
        </w:rPr>
      </w:pPr>
    </w:p>
    <w:p w14:paraId="5D7A4129">
      <w:pPr>
        <w:widowControl/>
        <w:spacing w:line="360" w:lineRule="auto"/>
        <w:ind w:left="-181"/>
        <w:jc w:val="center"/>
        <w:rPr>
          <w:color w:val="auto"/>
          <w:kern w:val="0"/>
          <w:sz w:val="32"/>
          <w:szCs w:val="32"/>
        </w:rPr>
      </w:pPr>
    </w:p>
    <w:p w14:paraId="69E3CA80">
      <w:pPr>
        <w:widowControl/>
        <w:spacing w:line="360" w:lineRule="auto"/>
        <w:ind w:left="-181"/>
        <w:jc w:val="center"/>
        <w:rPr>
          <w:color w:val="auto"/>
          <w:kern w:val="0"/>
          <w:sz w:val="32"/>
          <w:szCs w:val="32"/>
        </w:rPr>
      </w:pPr>
      <w:r>
        <w:rPr>
          <w:color w:val="auto"/>
          <w:kern w:val="0"/>
          <w:sz w:val="32"/>
          <w:szCs w:val="32"/>
        </w:rPr>
        <w:t>中华人民共和国生态环境部制</w:t>
      </w:r>
    </w:p>
    <w:p w14:paraId="17381E0B">
      <w:pPr>
        <w:pStyle w:val="34"/>
        <w:rPr>
          <w:rFonts w:hint="eastAsia" w:eastAsia="宋体"/>
          <w:color w:val="auto"/>
          <w:lang w:eastAsia="zh-CN"/>
        </w:rPr>
      </w:pPr>
      <w:r>
        <w:rPr>
          <w:color w:val="auto"/>
        </w:rPr>
        <w:br w:type="page"/>
      </w:r>
      <w:r>
        <w:rPr>
          <w:rFonts w:hint="eastAsia"/>
          <w:color w:val="auto"/>
          <w:sz w:val="36"/>
          <w:szCs w:val="36"/>
        </w:rPr>
        <w:t xml:space="preserve">                                                                                                                                                                                                                                                                                                                                                                                                                                                                                                                                                                                                                                                                                                                                                                                                                                                                                                                                                                                                                                                                                                                                                                                                                                                                                                                                                                                                                                                                                                                                                                                                                                                                                                                                                                                                                                                                                                              </w:t>
      </w:r>
    </w:p>
    <w:p w14:paraId="18D52D0B">
      <w:pPr>
        <w:keepNext w:val="0"/>
        <w:keepLines w:val="0"/>
        <w:pageBreakBefore w:val="0"/>
        <w:widowControl w:val="0"/>
        <w:kinsoku/>
        <w:wordWrap/>
        <w:overflowPunct/>
        <w:topLinePunct w:val="0"/>
        <w:autoSpaceDE/>
        <w:autoSpaceDN/>
        <w:bidi w:val="0"/>
        <w:adjustRightInd/>
        <w:snapToGrid/>
        <w:spacing w:line="360" w:lineRule="auto"/>
        <w:jc w:val="center"/>
        <w:textAlignment w:val="auto"/>
        <w:rPr>
          <w:color w:val="auto"/>
          <w:sz w:val="32"/>
          <w:szCs w:val="32"/>
          <w:highlight w:val="none"/>
        </w:rPr>
      </w:pPr>
      <w:r>
        <w:rPr>
          <w:b/>
          <w:bCs/>
          <w:color w:val="auto"/>
          <w:sz w:val="32"/>
          <w:szCs w:val="32"/>
          <w:highlight w:val="none"/>
        </w:rPr>
        <w:t>目 录</w:t>
      </w:r>
    </w:p>
    <w:p w14:paraId="2142F39B">
      <w:pPr>
        <w:pStyle w:val="59"/>
        <w:keepNext w:val="0"/>
        <w:keepLines w:val="0"/>
        <w:pageBreakBefore w:val="0"/>
        <w:widowControl w:val="0"/>
        <w:tabs>
          <w:tab w:val="right" w:leader="dot" w:pos="9060"/>
        </w:tabs>
        <w:kinsoku/>
        <w:wordWrap/>
        <w:overflowPunct/>
        <w:topLinePunct w:val="0"/>
        <w:autoSpaceDE/>
        <w:autoSpaceDN/>
        <w:bidi w:val="0"/>
        <w:adjustRightInd w:val="0"/>
        <w:snapToGrid/>
        <w:spacing w:line="360" w:lineRule="auto"/>
        <w:jc w:val="center"/>
        <w:textAlignment w:val="auto"/>
        <w:rPr>
          <w:rFonts w:hint="default" w:ascii="Times New Roman" w:hAnsi="Times New Roman" w:eastAsia="宋体" w:cs="Times New Roman"/>
          <w:b w:val="0"/>
          <w:bCs w:val="0"/>
          <w:caps w:val="0"/>
          <w:color w:val="auto"/>
          <w:sz w:val="24"/>
          <w:szCs w:val="24"/>
          <w:highlight w:val="none"/>
        </w:rPr>
      </w:pPr>
      <w:r>
        <w:rPr>
          <w:b w:val="0"/>
          <w:bCs w:val="0"/>
          <w:color w:val="auto"/>
          <w:sz w:val="24"/>
          <w:highlight w:val="none"/>
        </w:rPr>
        <w:fldChar w:fldCharType="begin"/>
      </w:r>
      <w:r>
        <w:rPr>
          <w:b w:val="0"/>
          <w:bCs w:val="0"/>
          <w:color w:val="auto"/>
          <w:sz w:val="24"/>
          <w:highlight w:val="none"/>
        </w:rPr>
        <w:instrText xml:space="preserve">TOC \o "1-1" \h \u </w:instrText>
      </w:r>
      <w:r>
        <w:rPr>
          <w:b w:val="0"/>
          <w:bCs w:val="0"/>
          <w:color w:val="auto"/>
          <w:sz w:val="24"/>
          <w:highlight w:val="none"/>
        </w:rPr>
        <w:fldChar w:fldCharType="separate"/>
      </w:r>
      <w:r>
        <w:rPr>
          <w:rStyle w:val="100"/>
          <w:rFonts w:hint="default" w:ascii="Times New Roman" w:hAnsi="Times New Roman" w:eastAsia="宋体" w:cs="Times New Roman"/>
          <w:b w:val="0"/>
          <w:bCs w:val="0"/>
          <w:color w:val="auto"/>
          <w:sz w:val="24"/>
          <w:szCs w:val="24"/>
          <w:highlight w:val="none"/>
        </w:rPr>
        <w:fldChar w:fldCharType="begin"/>
      </w:r>
      <w:r>
        <w:rPr>
          <w:rStyle w:val="100"/>
          <w:rFonts w:hint="default" w:ascii="Times New Roman" w:hAnsi="Times New Roman" w:eastAsia="宋体" w:cs="Times New Roman"/>
          <w:b w:val="0"/>
          <w:bCs w:val="0"/>
          <w:color w:val="auto"/>
          <w:sz w:val="24"/>
          <w:szCs w:val="24"/>
          <w:highlight w:val="none"/>
        </w:rPr>
        <w:instrText xml:space="preserve"> </w:instrText>
      </w:r>
      <w:r>
        <w:rPr>
          <w:rFonts w:hint="default" w:ascii="Times New Roman" w:hAnsi="Times New Roman" w:eastAsia="宋体" w:cs="Times New Roman"/>
          <w:b w:val="0"/>
          <w:bCs w:val="0"/>
          <w:color w:val="auto"/>
          <w:sz w:val="24"/>
          <w:szCs w:val="24"/>
          <w:highlight w:val="none"/>
        </w:rPr>
        <w:instrText xml:space="preserve">HYPERLINK \l "_Toc173588080"</w:instrText>
      </w:r>
      <w:r>
        <w:rPr>
          <w:rStyle w:val="100"/>
          <w:rFonts w:hint="default" w:ascii="Times New Roman" w:hAnsi="Times New Roman" w:eastAsia="宋体" w:cs="Times New Roman"/>
          <w:b w:val="0"/>
          <w:bCs w:val="0"/>
          <w:color w:val="auto"/>
          <w:sz w:val="24"/>
          <w:szCs w:val="24"/>
          <w:highlight w:val="none"/>
        </w:rPr>
        <w:instrText xml:space="preserve"> </w:instrText>
      </w:r>
      <w:r>
        <w:rPr>
          <w:rStyle w:val="100"/>
          <w:rFonts w:hint="default" w:ascii="Times New Roman" w:hAnsi="Times New Roman" w:eastAsia="宋体" w:cs="Times New Roman"/>
          <w:b w:val="0"/>
          <w:bCs w:val="0"/>
          <w:color w:val="auto"/>
          <w:sz w:val="24"/>
          <w:szCs w:val="24"/>
          <w:highlight w:val="none"/>
        </w:rPr>
        <w:fldChar w:fldCharType="separate"/>
      </w:r>
      <w:r>
        <w:rPr>
          <w:rStyle w:val="100"/>
          <w:rFonts w:hint="default" w:ascii="Times New Roman" w:hAnsi="Times New Roman" w:eastAsia="宋体" w:cs="Times New Roman"/>
          <w:b w:val="0"/>
          <w:bCs w:val="0"/>
          <w:snapToGrid w:val="0"/>
          <w:color w:val="auto"/>
          <w:sz w:val="24"/>
          <w:szCs w:val="24"/>
          <w:highlight w:val="none"/>
        </w:rPr>
        <w:t>一、建设项目基本情况</w:t>
      </w:r>
      <w:r>
        <w:rPr>
          <w:rFonts w:hint="default" w:ascii="Times New Roman" w:hAnsi="Times New Roman" w:eastAsia="宋体" w:cs="Times New Roman"/>
          <w:b w:val="0"/>
          <w:bCs w:val="0"/>
          <w:color w:val="auto"/>
          <w:sz w:val="24"/>
          <w:szCs w:val="24"/>
          <w:highlight w:val="none"/>
        </w:rPr>
        <w:tab/>
      </w:r>
      <w:r>
        <w:rPr>
          <w:rFonts w:hint="default" w:ascii="Times New Roman" w:hAnsi="Times New Roman" w:eastAsia="宋体" w:cs="Times New Roman"/>
          <w:b w:val="0"/>
          <w:bCs w:val="0"/>
          <w:color w:val="auto"/>
          <w:sz w:val="24"/>
          <w:szCs w:val="24"/>
          <w:highlight w:val="none"/>
        </w:rPr>
        <w:fldChar w:fldCharType="begin"/>
      </w:r>
      <w:r>
        <w:rPr>
          <w:rFonts w:hint="default" w:ascii="Times New Roman" w:hAnsi="Times New Roman" w:eastAsia="宋体" w:cs="Times New Roman"/>
          <w:b w:val="0"/>
          <w:bCs w:val="0"/>
          <w:color w:val="auto"/>
          <w:sz w:val="24"/>
          <w:szCs w:val="24"/>
          <w:highlight w:val="none"/>
        </w:rPr>
        <w:instrText xml:space="preserve"> PAGEREF _Toc173588080 \h </w:instrText>
      </w:r>
      <w:r>
        <w:rPr>
          <w:rFonts w:hint="default" w:ascii="Times New Roman" w:hAnsi="Times New Roman" w:eastAsia="宋体" w:cs="Times New Roman"/>
          <w:b w:val="0"/>
          <w:bCs w:val="0"/>
          <w:color w:val="auto"/>
          <w:sz w:val="24"/>
          <w:szCs w:val="24"/>
          <w:highlight w:val="none"/>
        </w:rPr>
        <w:fldChar w:fldCharType="separate"/>
      </w:r>
      <w:r>
        <w:rPr>
          <w:b/>
        </w:rPr>
        <w:t>错误！未定义书签。</w:t>
      </w:r>
      <w:r>
        <w:rPr>
          <w:rFonts w:hint="default" w:ascii="Times New Roman" w:hAnsi="Times New Roman" w:eastAsia="宋体" w:cs="Times New Roman"/>
          <w:b w:val="0"/>
          <w:bCs w:val="0"/>
          <w:color w:val="auto"/>
          <w:sz w:val="24"/>
          <w:szCs w:val="24"/>
          <w:highlight w:val="none"/>
        </w:rPr>
        <w:fldChar w:fldCharType="end"/>
      </w:r>
      <w:r>
        <w:rPr>
          <w:rStyle w:val="100"/>
          <w:rFonts w:hint="default" w:ascii="Times New Roman" w:hAnsi="Times New Roman" w:eastAsia="宋体" w:cs="Times New Roman"/>
          <w:b w:val="0"/>
          <w:bCs w:val="0"/>
          <w:color w:val="auto"/>
          <w:sz w:val="24"/>
          <w:szCs w:val="24"/>
          <w:highlight w:val="none"/>
        </w:rPr>
        <w:fldChar w:fldCharType="end"/>
      </w:r>
    </w:p>
    <w:p w14:paraId="32F89C88">
      <w:pPr>
        <w:pStyle w:val="59"/>
        <w:keepNext w:val="0"/>
        <w:keepLines w:val="0"/>
        <w:pageBreakBefore w:val="0"/>
        <w:widowControl w:val="0"/>
        <w:tabs>
          <w:tab w:val="right" w:leader="dot" w:pos="9060"/>
        </w:tabs>
        <w:kinsoku/>
        <w:wordWrap/>
        <w:overflowPunct/>
        <w:topLinePunct w:val="0"/>
        <w:autoSpaceDE/>
        <w:autoSpaceDN/>
        <w:bidi w:val="0"/>
        <w:adjustRightInd w:val="0"/>
        <w:snapToGrid/>
        <w:spacing w:line="360" w:lineRule="auto"/>
        <w:jc w:val="center"/>
        <w:textAlignment w:val="auto"/>
        <w:rPr>
          <w:rFonts w:hint="default" w:ascii="Times New Roman" w:hAnsi="Times New Roman" w:eastAsia="宋体" w:cs="Times New Roman"/>
          <w:b w:val="0"/>
          <w:bCs w:val="0"/>
          <w:caps w:val="0"/>
          <w:color w:val="auto"/>
          <w:sz w:val="24"/>
          <w:szCs w:val="24"/>
          <w:highlight w:val="none"/>
        </w:rPr>
      </w:pPr>
      <w:r>
        <w:rPr>
          <w:rStyle w:val="100"/>
          <w:rFonts w:hint="default" w:ascii="Times New Roman" w:hAnsi="Times New Roman" w:eastAsia="宋体" w:cs="Times New Roman"/>
          <w:b w:val="0"/>
          <w:bCs w:val="0"/>
          <w:color w:val="auto"/>
          <w:sz w:val="24"/>
          <w:szCs w:val="24"/>
          <w:highlight w:val="none"/>
        </w:rPr>
        <w:fldChar w:fldCharType="begin"/>
      </w:r>
      <w:r>
        <w:rPr>
          <w:rStyle w:val="100"/>
          <w:rFonts w:hint="default" w:ascii="Times New Roman" w:hAnsi="Times New Roman" w:eastAsia="宋体" w:cs="Times New Roman"/>
          <w:b w:val="0"/>
          <w:bCs w:val="0"/>
          <w:color w:val="auto"/>
          <w:sz w:val="24"/>
          <w:szCs w:val="24"/>
          <w:highlight w:val="none"/>
        </w:rPr>
        <w:instrText xml:space="preserve"> </w:instrText>
      </w:r>
      <w:r>
        <w:rPr>
          <w:rFonts w:hint="default" w:ascii="Times New Roman" w:hAnsi="Times New Roman" w:eastAsia="宋体" w:cs="Times New Roman"/>
          <w:b w:val="0"/>
          <w:bCs w:val="0"/>
          <w:color w:val="auto"/>
          <w:sz w:val="24"/>
          <w:szCs w:val="24"/>
          <w:highlight w:val="none"/>
        </w:rPr>
        <w:instrText xml:space="preserve">HYPERLINK \l "_Toc173588082"</w:instrText>
      </w:r>
      <w:r>
        <w:rPr>
          <w:rStyle w:val="100"/>
          <w:rFonts w:hint="default" w:ascii="Times New Roman" w:hAnsi="Times New Roman" w:eastAsia="宋体" w:cs="Times New Roman"/>
          <w:b w:val="0"/>
          <w:bCs w:val="0"/>
          <w:color w:val="auto"/>
          <w:sz w:val="24"/>
          <w:szCs w:val="24"/>
          <w:highlight w:val="none"/>
        </w:rPr>
        <w:instrText xml:space="preserve"> </w:instrText>
      </w:r>
      <w:r>
        <w:rPr>
          <w:rStyle w:val="100"/>
          <w:rFonts w:hint="default" w:ascii="Times New Roman" w:hAnsi="Times New Roman" w:eastAsia="宋体" w:cs="Times New Roman"/>
          <w:b w:val="0"/>
          <w:bCs w:val="0"/>
          <w:color w:val="auto"/>
          <w:sz w:val="24"/>
          <w:szCs w:val="24"/>
          <w:highlight w:val="none"/>
        </w:rPr>
        <w:fldChar w:fldCharType="separate"/>
      </w:r>
      <w:r>
        <w:rPr>
          <w:rStyle w:val="100"/>
          <w:rFonts w:hint="default" w:ascii="Times New Roman" w:hAnsi="Times New Roman" w:eastAsia="宋体" w:cs="Times New Roman"/>
          <w:b w:val="0"/>
          <w:bCs w:val="0"/>
          <w:snapToGrid w:val="0"/>
          <w:color w:val="auto"/>
          <w:sz w:val="24"/>
          <w:szCs w:val="24"/>
          <w:highlight w:val="none"/>
        </w:rPr>
        <w:t>二、建设项目工程分析</w:t>
      </w:r>
      <w:r>
        <w:rPr>
          <w:rFonts w:hint="default" w:ascii="Times New Roman" w:hAnsi="Times New Roman" w:eastAsia="宋体" w:cs="Times New Roman"/>
          <w:b w:val="0"/>
          <w:bCs w:val="0"/>
          <w:color w:val="auto"/>
          <w:sz w:val="24"/>
          <w:szCs w:val="24"/>
          <w:highlight w:val="none"/>
        </w:rPr>
        <w:tab/>
      </w:r>
      <w:r>
        <w:rPr>
          <w:rFonts w:hint="default" w:ascii="Times New Roman" w:hAnsi="Times New Roman" w:eastAsia="宋体" w:cs="Times New Roman"/>
          <w:b w:val="0"/>
          <w:bCs w:val="0"/>
          <w:color w:val="auto"/>
          <w:sz w:val="24"/>
          <w:szCs w:val="24"/>
          <w:highlight w:val="none"/>
        </w:rPr>
        <w:fldChar w:fldCharType="begin"/>
      </w:r>
      <w:r>
        <w:rPr>
          <w:rFonts w:hint="default" w:ascii="Times New Roman" w:hAnsi="Times New Roman" w:eastAsia="宋体" w:cs="Times New Roman"/>
          <w:b w:val="0"/>
          <w:bCs w:val="0"/>
          <w:color w:val="auto"/>
          <w:sz w:val="24"/>
          <w:szCs w:val="24"/>
          <w:highlight w:val="none"/>
        </w:rPr>
        <w:instrText xml:space="preserve"> PAGEREF _Toc173588082 \h </w:instrText>
      </w:r>
      <w:r>
        <w:rPr>
          <w:rFonts w:hint="default" w:ascii="Times New Roman" w:hAnsi="Times New Roman" w:eastAsia="宋体" w:cs="Times New Roman"/>
          <w:b w:val="0"/>
          <w:bCs w:val="0"/>
          <w:color w:val="auto"/>
          <w:sz w:val="24"/>
          <w:szCs w:val="24"/>
          <w:highlight w:val="none"/>
        </w:rPr>
        <w:fldChar w:fldCharType="separate"/>
      </w:r>
      <w:r>
        <w:rPr>
          <w:b/>
        </w:rPr>
        <w:t>错误！未定义书签。</w:t>
      </w:r>
      <w:r>
        <w:rPr>
          <w:rFonts w:hint="default" w:ascii="Times New Roman" w:hAnsi="Times New Roman" w:eastAsia="宋体" w:cs="Times New Roman"/>
          <w:b w:val="0"/>
          <w:bCs w:val="0"/>
          <w:color w:val="auto"/>
          <w:sz w:val="24"/>
          <w:szCs w:val="24"/>
          <w:highlight w:val="none"/>
        </w:rPr>
        <w:fldChar w:fldCharType="end"/>
      </w:r>
      <w:r>
        <w:rPr>
          <w:rStyle w:val="100"/>
          <w:rFonts w:hint="default" w:ascii="Times New Roman" w:hAnsi="Times New Roman" w:eastAsia="宋体" w:cs="Times New Roman"/>
          <w:b w:val="0"/>
          <w:bCs w:val="0"/>
          <w:color w:val="auto"/>
          <w:sz w:val="24"/>
          <w:szCs w:val="24"/>
          <w:highlight w:val="none"/>
        </w:rPr>
        <w:fldChar w:fldCharType="end"/>
      </w:r>
    </w:p>
    <w:p w14:paraId="36D10B0E">
      <w:pPr>
        <w:pStyle w:val="59"/>
        <w:keepNext w:val="0"/>
        <w:keepLines w:val="0"/>
        <w:pageBreakBefore w:val="0"/>
        <w:widowControl w:val="0"/>
        <w:tabs>
          <w:tab w:val="right" w:leader="dot" w:pos="9060"/>
        </w:tabs>
        <w:kinsoku/>
        <w:wordWrap/>
        <w:overflowPunct/>
        <w:topLinePunct w:val="0"/>
        <w:autoSpaceDE/>
        <w:autoSpaceDN/>
        <w:bidi w:val="0"/>
        <w:adjustRightInd w:val="0"/>
        <w:snapToGrid/>
        <w:spacing w:line="360" w:lineRule="auto"/>
        <w:jc w:val="center"/>
        <w:textAlignment w:val="auto"/>
        <w:rPr>
          <w:rFonts w:hint="eastAsia" w:ascii="Times New Roman" w:hAnsi="Times New Roman" w:eastAsia="宋体" w:cs="Times New Roman"/>
          <w:b w:val="0"/>
          <w:bCs w:val="0"/>
          <w:caps w:val="0"/>
          <w:color w:val="auto"/>
          <w:sz w:val="24"/>
          <w:szCs w:val="24"/>
          <w:highlight w:val="none"/>
          <w:lang w:val="en-US" w:eastAsia="zh-CN"/>
        </w:rPr>
      </w:pPr>
      <w:r>
        <w:rPr>
          <w:rStyle w:val="100"/>
          <w:rFonts w:hint="default" w:ascii="Times New Roman" w:hAnsi="Times New Roman" w:eastAsia="宋体" w:cs="Times New Roman"/>
          <w:b w:val="0"/>
          <w:bCs w:val="0"/>
          <w:color w:val="auto"/>
          <w:sz w:val="24"/>
          <w:szCs w:val="24"/>
          <w:highlight w:val="none"/>
        </w:rPr>
        <w:fldChar w:fldCharType="begin"/>
      </w:r>
      <w:r>
        <w:rPr>
          <w:rStyle w:val="100"/>
          <w:rFonts w:hint="default" w:ascii="Times New Roman" w:hAnsi="Times New Roman" w:eastAsia="宋体" w:cs="Times New Roman"/>
          <w:b w:val="0"/>
          <w:bCs w:val="0"/>
          <w:color w:val="auto"/>
          <w:sz w:val="24"/>
          <w:szCs w:val="24"/>
          <w:highlight w:val="none"/>
        </w:rPr>
        <w:instrText xml:space="preserve"> </w:instrText>
      </w:r>
      <w:r>
        <w:rPr>
          <w:rFonts w:hint="default" w:ascii="Times New Roman" w:hAnsi="Times New Roman" w:eastAsia="宋体" w:cs="Times New Roman"/>
          <w:b w:val="0"/>
          <w:bCs w:val="0"/>
          <w:color w:val="auto"/>
          <w:sz w:val="24"/>
          <w:szCs w:val="24"/>
          <w:highlight w:val="none"/>
        </w:rPr>
        <w:instrText xml:space="preserve">HYPERLINK \l "_Toc173588083"</w:instrText>
      </w:r>
      <w:r>
        <w:rPr>
          <w:rStyle w:val="100"/>
          <w:rFonts w:hint="default" w:ascii="Times New Roman" w:hAnsi="Times New Roman" w:eastAsia="宋体" w:cs="Times New Roman"/>
          <w:b w:val="0"/>
          <w:bCs w:val="0"/>
          <w:color w:val="auto"/>
          <w:sz w:val="24"/>
          <w:szCs w:val="24"/>
          <w:highlight w:val="none"/>
        </w:rPr>
        <w:instrText xml:space="preserve"> </w:instrText>
      </w:r>
      <w:r>
        <w:rPr>
          <w:rStyle w:val="100"/>
          <w:rFonts w:hint="default" w:ascii="Times New Roman" w:hAnsi="Times New Roman" w:eastAsia="宋体" w:cs="Times New Roman"/>
          <w:b w:val="0"/>
          <w:bCs w:val="0"/>
          <w:color w:val="auto"/>
          <w:sz w:val="24"/>
          <w:szCs w:val="24"/>
          <w:highlight w:val="none"/>
        </w:rPr>
        <w:fldChar w:fldCharType="separate"/>
      </w:r>
      <w:r>
        <w:rPr>
          <w:rStyle w:val="100"/>
          <w:rFonts w:hint="default" w:ascii="Times New Roman" w:hAnsi="Times New Roman" w:eastAsia="宋体" w:cs="Times New Roman"/>
          <w:b w:val="0"/>
          <w:bCs w:val="0"/>
          <w:snapToGrid w:val="0"/>
          <w:color w:val="auto"/>
          <w:sz w:val="24"/>
          <w:szCs w:val="24"/>
          <w:highlight w:val="none"/>
        </w:rPr>
        <w:t>三、区域环境质量现状、环境保护目标及评价标准</w:t>
      </w:r>
      <w:r>
        <w:rPr>
          <w:rFonts w:hint="default" w:ascii="Times New Roman" w:hAnsi="Times New Roman" w:eastAsia="宋体" w:cs="Times New Roman"/>
          <w:b w:val="0"/>
          <w:bCs w:val="0"/>
          <w:color w:val="auto"/>
          <w:sz w:val="24"/>
          <w:szCs w:val="24"/>
          <w:highlight w:val="none"/>
        </w:rPr>
        <w:tab/>
      </w:r>
      <w:r>
        <w:rPr>
          <w:rFonts w:hint="eastAsia" w:ascii="Times New Roman" w:hAnsi="Times New Roman" w:cs="Times New Roman"/>
          <w:b w:val="0"/>
          <w:bCs w:val="0"/>
          <w:color w:val="auto"/>
          <w:sz w:val="24"/>
          <w:szCs w:val="24"/>
          <w:highlight w:val="none"/>
          <w:lang w:val="en-US" w:eastAsia="zh-CN"/>
        </w:rPr>
        <w:t>4</w:t>
      </w:r>
      <w:r>
        <w:rPr>
          <w:rStyle w:val="100"/>
          <w:rFonts w:hint="default" w:ascii="Times New Roman" w:hAnsi="Times New Roman" w:eastAsia="宋体" w:cs="Times New Roman"/>
          <w:b w:val="0"/>
          <w:bCs w:val="0"/>
          <w:color w:val="auto"/>
          <w:sz w:val="24"/>
          <w:szCs w:val="24"/>
          <w:highlight w:val="none"/>
        </w:rPr>
        <w:fldChar w:fldCharType="end"/>
      </w:r>
      <w:r>
        <w:rPr>
          <w:rStyle w:val="100"/>
          <w:rFonts w:hint="eastAsia" w:ascii="Times New Roman" w:hAnsi="Times New Roman" w:cs="Times New Roman"/>
          <w:b w:val="0"/>
          <w:bCs w:val="0"/>
          <w:color w:val="auto"/>
          <w:sz w:val="24"/>
          <w:szCs w:val="24"/>
          <w:highlight w:val="none"/>
          <w:lang w:val="en-US" w:eastAsia="zh-CN"/>
        </w:rPr>
        <w:t>1</w:t>
      </w:r>
    </w:p>
    <w:p w14:paraId="3ABD7B4D">
      <w:pPr>
        <w:pStyle w:val="59"/>
        <w:keepNext w:val="0"/>
        <w:keepLines w:val="0"/>
        <w:pageBreakBefore w:val="0"/>
        <w:widowControl w:val="0"/>
        <w:tabs>
          <w:tab w:val="right" w:leader="dot" w:pos="9060"/>
        </w:tabs>
        <w:kinsoku/>
        <w:wordWrap/>
        <w:overflowPunct/>
        <w:topLinePunct w:val="0"/>
        <w:autoSpaceDE/>
        <w:autoSpaceDN/>
        <w:bidi w:val="0"/>
        <w:adjustRightInd w:val="0"/>
        <w:snapToGrid/>
        <w:spacing w:line="360" w:lineRule="auto"/>
        <w:jc w:val="center"/>
        <w:textAlignment w:val="auto"/>
        <w:rPr>
          <w:rFonts w:hint="eastAsia" w:ascii="Times New Roman" w:hAnsi="Times New Roman" w:eastAsia="宋体" w:cs="Times New Roman"/>
          <w:b w:val="0"/>
          <w:bCs w:val="0"/>
          <w:caps w:val="0"/>
          <w:color w:val="auto"/>
          <w:sz w:val="24"/>
          <w:szCs w:val="24"/>
          <w:highlight w:val="none"/>
          <w:lang w:val="en-US" w:eastAsia="zh-CN"/>
        </w:rPr>
      </w:pPr>
      <w:r>
        <w:rPr>
          <w:rStyle w:val="100"/>
          <w:rFonts w:hint="default" w:ascii="Times New Roman" w:hAnsi="Times New Roman" w:eastAsia="宋体" w:cs="Times New Roman"/>
          <w:b w:val="0"/>
          <w:bCs w:val="0"/>
          <w:color w:val="auto"/>
          <w:sz w:val="24"/>
          <w:szCs w:val="24"/>
          <w:highlight w:val="none"/>
        </w:rPr>
        <w:fldChar w:fldCharType="begin"/>
      </w:r>
      <w:r>
        <w:rPr>
          <w:rStyle w:val="100"/>
          <w:rFonts w:hint="default" w:ascii="Times New Roman" w:hAnsi="Times New Roman" w:eastAsia="宋体" w:cs="Times New Roman"/>
          <w:b w:val="0"/>
          <w:bCs w:val="0"/>
          <w:color w:val="auto"/>
          <w:sz w:val="24"/>
          <w:szCs w:val="24"/>
          <w:highlight w:val="none"/>
        </w:rPr>
        <w:instrText xml:space="preserve"> </w:instrText>
      </w:r>
      <w:r>
        <w:rPr>
          <w:rFonts w:hint="default" w:ascii="Times New Roman" w:hAnsi="Times New Roman" w:eastAsia="宋体" w:cs="Times New Roman"/>
          <w:b w:val="0"/>
          <w:bCs w:val="0"/>
          <w:color w:val="auto"/>
          <w:sz w:val="24"/>
          <w:szCs w:val="24"/>
          <w:highlight w:val="none"/>
        </w:rPr>
        <w:instrText xml:space="preserve">HYPERLINK \l "_Toc173588084"</w:instrText>
      </w:r>
      <w:r>
        <w:rPr>
          <w:rStyle w:val="100"/>
          <w:rFonts w:hint="default" w:ascii="Times New Roman" w:hAnsi="Times New Roman" w:eastAsia="宋体" w:cs="Times New Roman"/>
          <w:b w:val="0"/>
          <w:bCs w:val="0"/>
          <w:color w:val="auto"/>
          <w:sz w:val="24"/>
          <w:szCs w:val="24"/>
          <w:highlight w:val="none"/>
        </w:rPr>
        <w:instrText xml:space="preserve"> </w:instrText>
      </w:r>
      <w:r>
        <w:rPr>
          <w:rStyle w:val="100"/>
          <w:rFonts w:hint="default" w:ascii="Times New Roman" w:hAnsi="Times New Roman" w:eastAsia="宋体" w:cs="Times New Roman"/>
          <w:b w:val="0"/>
          <w:bCs w:val="0"/>
          <w:color w:val="auto"/>
          <w:sz w:val="24"/>
          <w:szCs w:val="24"/>
          <w:highlight w:val="none"/>
        </w:rPr>
        <w:fldChar w:fldCharType="separate"/>
      </w:r>
      <w:r>
        <w:rPr>
          <w:rStyle w:val="100"/>
          <w:rFonts w:hint="default" w:ascii="Times New Roman" w:hAnsi="Times New Roman" w:eastAsia="宋体" w:cs="Times New Roman"/>
          <w:b w:val="0"/>
          <w:bCs w:val="0"/>
          <w:snapToGrid w:val="0"/>
          <w:color w:val="auto"/>
          <w:sz w:val="24"/>
          <w:szCs w:val="24"/>
          <w:highlight w:val="none"/>
        </w:rPr>
        <w:t>四、主要环境影响和保护措施</w:t>
      </w:r>
      <w:r>
        <w:rPr>
          <w:rFonts w:hint="default" w:ascii="Times New Roman" w:hAnsi="Times New Roman" w:eastAsia="宋体" w:cs="Times New Roman"/>
          <w:b w:val="0"/>
          <w:bCs w:val="0"/>
          <w:color w:val="auto"/>
          <w:sz w:val="24"/>
          <w:szCs w:val="24"/>
          <w:highlight w:val="none"/>
        </w:rPr>
        <w:tab/>
      </w:r>
      <w:r>
        <w:rPr>
          <w:rFonts w:hint="eastAsia" w:ascii="Times New Roman" w:hAnsi="Times New Roman" w:cs="Times New Roman"/>
          <w:b w:val="0"/>
          <w:bCs w:val="0"/>
          <w:color w:val="auto"/>
          <w:sz w:val="24"/>
          <w:szCs w:val="24"/>
          <w:highlight w:val="none"/>
          <w:lang w:val="en-US" w:eastAsia="zh-CN"/>
        </w:rPr>
        <w:t>4</w:t>
      </w:r>
      <w:r>
        <w:rPr>
          <w:rStyle w:val="100"/>
          <w:rFonts w:hint="default" w:ascii="Times New Roman" w:hAnsi="Times New Roman" w:eastAsia="宋体" w:cs="Times New Roman"/>
          <w:b w:val="0"/>
          <w:bCs w:val="0"/>
          <w:color w:val="auto"/>
          <w:sz w:val="24"/>
          <w:szCs w:val="24"/>
          <w:highlight w:val="none"/>
        </w:rPr>
        <w:fldChar w:fldCharType="end"/>
      </w:r>
      <w:r>
        <w:rPr>
          <w:rStyle w:val="100"/>
          <w:rFonts w:hint="eastAsia" w:ascii="Times New Roman" w:hAnsi="Times New Roman" w:cs="Times New Roman"/>
          <w:b w:val="0"/>
          <w:bCs w:val="0"/>
          <w:color w:val="auto"/>
          <w:sz w:val="24"/>
          <w:szCs w:val="24"/>
          <w:highlight w:val="none"/>
          <w:lang w:val="en-US" w:eastAsia="zh-CN"/>
        </w:rPr>
        <w:t>7</w:t>
      </w:r>
    </w:p>
    <w:p w14:paraId="7F149C3F">
      <w:pPr>
        <w:pStyle w:val="59"/>
        <w:keepNext w:val="0"/>
        <w:keepLines w:val="0"/>
        <w:pageBreakBefore w:val="0"/>
        <w:widowControl w:val="0"/>
        <w:tabs>
          <w:tab w:val="right" w:leader="dot" w:pos="9060"/>
        </w:tabs>
        <w:kinsoku/>
        <w:wordWrap/>
        <w:overflowPunct/>
        <w:topLinePunct w:val="0"/>
        <w:autoSpaceDE/>
        <w:autoSpaceDN/>
        <w:bidi w:val="0"/>
        <w:adjustRightInd w:val="0"/>
        <w:snapToGrid/>
        <w:spacing w:line="360" w:lineRule="auto"/>
        <w:jc w:val="center"/>
        <w:textAlignment w:val="auto"/>
        <w:rPr>
          <w:rFonts w:hint="eastAsia" w:ascii="Times New Roman" w:hAnsi="Times New Roman" w:eastAsia="宋体" w:cs="Times New Roman"/>
          <w:b w:val="0"/>
          <w:bCs w:val="0"/>
          <w:caps w:val="0"/>
          <w:color w:val="auto"/>
          <w:sz w:val="24"/>
          <w:szCs w:val="24"/>
          <w:highlight w:val="none"/>
          <w:lang w:val="en-US" w:eastAsia="zh-CN"/>
        </w:rPr>
      </w:pPr>
      <w:r>
        <w:rPr>
          <w:rStyle w:val="100"/>
          <w:rFonts w:hint="default" w:ascii="Times New Roman" w:hAnsi="Times New Roman" w:eastAsia="宋体" w:cs="Times New Roman"/>
          <w:b w:val="0"/>
          <w:bCs w:val="0"/>
          <w:color w:val="auto"/>
          <w:sz w:val="24"/>
          <w:szCs w:val="24"/>
          <w:highlight w:val="none"/>
        </w:rPr>
        <w:fldChar w:fldCharType="begin"/>
      </w:r>
      <w:r>
        <w:rPr>
          <w:rStyle w:val="100"/>
          <w:rFonts w:hint="default" w:ascii="Times New Roman" w:hAnsi="Times New Roman" w:eastAsia="宋体" w:cs="Times New Roman"/>
          <w:b w:val="0"/>
          <w:bCs w:val="0"/>
          <w:color w:val="auto"/>
          <w:sz w:val="24"/>
          <w:szCs w:val="24"/>
          <w:highlight w:val="none"/>
        </w:rPr>
        <w:instrText xml:space="preserve"> </w:instrText>
      </w:r>
      <w:r>
        <w:rPr>
          <w:rFonts w:hint="default" w:ascii="Times New Roman" w:hAnsi="Times New Roman" w:eastAsia="宋体" w:cs="Times New Roman"/>
          <w:b w:val="0"/>
          <w:bCs w:val="0"/>
          <w:color w:val="auto"/>
          <w:sz w:val="24"/>
          <w:szCs w:val="24"/>
          <w:highlight w:val="none"/>
        </w:rPr>
        <w:instrText xml:space="preserve">HYPERLINK \l "_Toc173588085"</w:instrText>
      </w:r>
      <w:r>
        <w:rPr>
          <w:rStyle w:val="100"/>
          <w:rFonts w:hint="default" w:ascii="Times New Roman" w:hAnsi="Times New Roman" w:eastAsia="宋体" w:cs="Times New Roman"/>
          <w:b w:val="0"/>
          <w:bCs w:val="0"/>
          <w:color w:val="auto"/>
          <w:sz w:val="24"/>
          <w:szCs w:val="24"/>
          <w:highlight w:val="none"/>
        </w:rPr>
        <w:instrText xml:space="preserve"> </w:instrText>
      </w:r>
      <w:r>
        <w:rPr>
          <w:rStyle w:val="100"/>
          <w:rFonts w:hint="default" w:ascii="Times New Roman" w:hAnsi="Times New Roman" w:eastAsia="宋体" w:cs="Times New Roman"/>
          <w:b w:val="0"/>
          <w:bCs w:val="0"/>
          <w:color w:val="auto"/>
          <w:sz w:val="24"/>
          <w:szCs w:val="24"/>
          <w:highlight w:val="none"/>
        </w:rPr>
        <w:fldChar w:fldCharType="separate"/>
      </w:r>
      <w:r>
        <w:rPr>
          <w:rStyle w:val="100"/>
          <w:rFonts w:hint="default" w:ascii="Times New Roman" w:hAnsi="Times New Roman" w:eastAsia="宋体" w:cs="Times New Roman"/>
          <w:b w:val="0"/>
          <w:bCs w:val="0"/>
          <w:snapToGrid w:val="0"/>
          <w:color w:val="auto"/>
          <w:sz w:val="24"/>
          <w:szCs w:val="24"/>
          <w:highlight w:val="none"/>
        </w:rPr>
        <w:t>五、环境保护措施监督检查清单</w:t>
      </w:r>
      <w:r>
        <w:rPr>
          <w:rFonts w:hint="default" w:ascii="Times New Roman" w:hAnsi="Times New Roman" w:eastAsia="宋体" w:cs="Times New Roman"/>
          <w:b w:val="0"/>
          <w:bCs w:val="0"/>
          <w:color w:val="auto"/>
          <w:sz w:val="24"/>
          <w:szCs w:val="24"/>
          <w:highlight w:val="none"/>
        </w:rPr>
        <w:tab/>
      </w:r>
      <w:r>
        <w:rPr>
          <w:rFonts w:hint="eastAsia" w:ascii="Times New Roman" w:hAnsi="Times New Roman" w:cs="Times New Roman"/>
          <w:b w:val="0"/>
          <w:bCs w:val="0"/>
          <w:color w:val="auto"/>
          <w:sz w:val="24"/>
          <w:szCs w:val="24"/>
          <w:highlight w:val="none"/>
          <w:lang w:val="en-US" w:eastAsia="zh-CN"/>
        </w:rPr>
        <w:t>89</w:t>
      </w:r>
      <w:r>
        <w:rPr>
          <w:rStyle w:val="100"/>
          <w:rFonts w:hint="default" w:ascii="Times New Roman" w:hAnsi="Times New Roman" w:eastAsia="宋体" w:cs="Times New Roman"/>
          <w:b w:val="0"/>
          <w:bCs w:val="0"/>
          <w:color w:val="auto"/>
          <w:sz w:val="24"/>
          <w:szCs w:val="24"/>
          <w:highlight w:val="none"/>
        </w:rPr>
        <w:fldChar w:fldCharType="end"/>
      </w:r>
    </w:p>
    <w:p w14:paraId="5E32A076">
      <w:pPr>
        <w:pStyle w:val="59"/>
        <w:keepNext w:val="0"/>
        <w:keepLines w:val="0"/>
        <w:pageBreakBefore w:val="0"/>
        <w:widowControl w:val="0"/>
        <w:tabs>
          <w:tab w:val="right" w:leader="dot" w:pos="9060"/>
        </w:tabs>
        <w:kinsoku/>
        <w:wordWrap/>
        <w:overflowPunct/>
        <w:topLinePunct w:val="0"/>
        <w:autoSpaceDE/>
        <w:autoSpaceDN/>
        <w:bidi w:val="0"/>
        <w:adjustRightInd w:val="0"/>
        <w:snapToGrid/>
        <w:spacing w:line="360" w:lineRule="auto"/>
        <w:jc w:val="center"/>
        <w:textAlignment w:val="auto"/>
        <w:rPr>
          <w:rFonts w:hint="eastAsia" w:ascii="Times New Roman" w:hAnsi="Times New Roman" w:eastAsia="宋体" w:cs="Times New Roman"/>
          <w:b w:val="0"/>
          <w:bCs w:val="0"/>
          <w:caps w:val="0"/>
          <w:color w:val="auto"/>
          <w:sz w:val="24"/>
          <w:szCs w:val="24"/>
          <w:highlight w:val="none"/>
          <w:lang w:val="en-US" w:eastAsia="zh-CN"/>
        </w:rPr>
      </w:pPr>
      <w:r>
        <w:rPr>
          <w:rStyle w:val="100"/>
          <w:rFonts w:hint="default" w:ascii="Times New Roman" w:hAnsi="Times New Roman" w:eastAsia="宋体" w:cs="Times New Roman"/>
          <w:b w:val="0"/>
          <w:bCs w:val="0"/>
          <w:color w:val="auto"/>
          <w:sz w:val="24"/>
          <w:szCs w:val="24"/>
          <w:highlight w:val="none"/>
        </w:rPr>
        <w:fldChar w:fldCharType="begin"/>
      </w:r>
      <w:r>
        <w:rPr>
          <w:rStyle w:val="100"/>
          <w:rFonts w:hint="default" w:ascii="Times New Roman" w:hAnsi="Times New Roman" w:eastAsia="宋体" w:cs="Times New Roman"/>
          <w:b w:val="0"/>
          <w:bCs w:val="0"/>
          <w:color w:val="auto"/>
          <w:sz w:val="24"/>
          <w:szCs w:val="24"/>
          <w:highlight w:val="none"/>
        </w:rPr>
        <w:instrText xml:space="preserve"> </w:instrText>
      </w:r>
      <w:r>
        <w:rPr>
          <w:rFonts w:hint="default" w:ascii="Times New Roman" w:hAnsi="Times New Roman" w:eastAsia="宋体" w:cs="Times New Roman"/>
          <w:b w:val="0"/>
          <w:bCs w:val="0"/>
          <w:color w:val="auto"/>
          <w:sz w:val="24"/>
          <w:szCs w:val="24"/>
          <w:highlight w:val="none"/>
        </w:rPr>
        <w:instrText xml:space="preserve">HYPERLINK \l "_Toc173588086"</w:instrText>
      </w:r>
      <w:r>
        <w:rPr>
          <w:rStyle w:val="100"/>
          <w:rFonts w:hint="default" w:ascii="Times New Roman" w:hAnsi="Times New Roman" w:eastAsia="宋体" w:cs="Times New Roman"/>
          <w:b w:val="0"/>
          <w:bCs w:val="0"/>
          <w:color w:val="auto"/>
          <w:sz w:val="24"/>
          <w:szCs w:val="24"/>
          <w:highlight w:val="none"/>
        </w:rPr>
        <w:instrText xml:space="preserve"> </w:instrText>
      </w:r>
      <w:r>
        <w:rPr>
          <w:rStyle w:val="100"/>
          <w:rFonts w:hint="default" w:ascii="Times New Roman" w:hAnsi="Times New Roman" w:eastAsia="宋体" w:cs="Times New Roman"/>
          <w:b w:val="0"/>
          <w:bCs w:val="0"/>
          <w:color w:val="auto"/>
          <w:sz w:val="24"/>
          <w:szCs w:val="24"/>
          <w:highlight w:val="none"/>
        </w:rPr>
        <w:fldChar w:fldCharType="separate"/>
      </w:r>
      <w:r>
        <w:rPr>
          <w:rStyle w:val="100"/>
          <w:rFonts w:hint="default" w:ascii="Times New Roman" w:hAnsi="Times New Roman" w:eastAsia="宋体" w:cs="Times New Roman"/>
          <w:b w:val="0"/>
          <w:bCs w:val="0"/>
          <w:snapToGrid w:val="0"/>
          <w:color w:val="auto"/>
          <w:sz w:val="24"/>
          <w:szCs w:val="24"/>
          <w:highlight w:val="none"/>
        </w:rPr>
        <w:t>六、结论</w:t>
      </w:r>
      <w:r>
        <w:rPr>
          <w:rFonts w:hint="default" w:ascii="Times New Roman" w:hAnsi="Times New Roman" w:eastAsia="宋体" w:cs="Times New Roman"/>
          <w:b w:val="0"/>
          <w:bCs w:val="0"/>
          <w:color w:val="auto"/>
          <w:sz w:val="24"/>
          <w:szCs w:val="24"/>
          <w:highlight w:val="none"/>
        </w:rPr>
        <w:tab/>
      </w:r>
      <w:r>
        <w:rPr>
          <w:rFonts w:hint="eastAsia" w:ascii="Times New Roman" w:hAnsi="Times New Roman" w:cs="Times New Roman"/>
          <w:b w:val="0"/>
          <w:bCs w:val="0"/>
          <w:color w:val="auto"/>
          <w:sz w:val="24"/>
          <w:szCs w:val="24"/>
          <w:highlight w:val="none"/>
          <w:lang w:val="en-US" w:eastAsia="zh-CN"/>
        </w:rPr>
        <w:t>9</w:t>
      </w:r>
      <w:r>
        <w:rPr>
          <w:rStyle w:val="100"/>
          <w:rFonts w:hint="default" w:ascii="Times New Roman" w:hAnsi="Times New Roman" w:eastAsia="宋体" w:cs="Times New Roman"/>
          <w:b w:val="0"/>
          <w:bCs w:val="0"/>
          <w:color w:val="auto"/>
          <w:sz w:val="24"/>
          <w:szCs w:val="24"/>
          <w:highlight w:val="none"/>
        </w:rPr>
        <w:fldChar w:fldCharType="end"/>
      </w:r>
      <w:r>
        <w:rPr>
          <w:rStyle w:val="100"/>
          <w:rFonts w:hint="eastAsia" w:ascii="Times New Roman" w:hAnsi="Times New Roman" w:cs="Times New Roman"/>
          <w:b w:val="0"/>
          <w:bCs w:val="0"/>
          <w:color w:val="auto"/>
          <w:sz w:val="24"/>
          <w:szCs w:val="24"/>
          <w:highlight w:val="none"/>
          <w:lang w:val="en-US" w:eastAsia="zh-CN"/>
        </w:rPr>
        <w:t>1</w:t>
      </w:r>
    </w:p>
    <w:p w14:paraId="0AC8AF10">
      <w:pPr>
        <w:pStyle w:val="59"/>
        <w:keepNext w:val="0"/>
        <w:keepLines w:val="0"/>
        <w:pageBreakBefore w:val="0"/>
        <w:widowControl w:val="0"/>
        <w:tabs>
          <w:tab w:val="right" w:leader="dot" w:pos="9060"/>
        </w:tabs>
        <w:kinsoku/>
        <w:wordWrap/>
        <w:overflowPunct/>
        <w:topLinePunct w:val="0"/>
        <w:autoSpaceDE/>
        <w:autoSpaceDN/>
        <w:bidi w:val="0"/>
        <w:adjustRightInd w:val="0"/>
        <w:snapToGrid/>
        <w:spacing w:line="360" w:lineRule="auto"/>
        <w:jc w:val="center"/>
        <w:textAlignment w:val="auto"/>
        <w:rPr>
          <w:rFonts w:hint="eastAsia" w:eastAsia="宋体"/>
          <w:b w:val="0"/>
          <w:bCs w:val="0"/>
          <w:caps w:val="0"/>
          <w:color w:val="auto"/>
          <w:sz w:val="24"/>
          <w:highlight w:val="none"/>
          <w:lang w:val="en-US" w:eastAsia="zh-CN"/>
        </w:rPr>
      </w:pPr>
      <w:r>
        <w:rPr>
          <w:rStyle w:val="100"/>
          <w:rFonts w:hint="default" w:ascii="Times New Roman" w:hAnsi="Times New Roman" w:eastAsia="宋体" w:cs="Times New Roman"/>
          <w:b w:val="0"/>
          <w:bCs w:val="0"/>
          <w:color w:val="auto"/>
          <w:sz w:val="24"/>
          <w:szCs w:val="24"/>
          <w:highlight w:val="none"/>
        </w:rPr>
        <w:fldChar w:fldCharType="begin"/>
      </w:r>
      <w:r>
        <w:rPr>
          <w:rStyle w:val="100"/>
          <w:rFonts w:hint="default" w:ascii="Times New Roman" w:hAnsi="Times New Roman" w:eastAsia="宋体" w:cs="Times New Roman"/>
          <w:b w:val="0"/>
          <w:bCs w:val="0"/>
          <w:color w:val="auto"/>
          <w:sz w:val="24"/>
          <w:szCs w:val="24"/>
          <w:highlight w:val="none"/>
        </w:rPr>
        <w:instrText xml:space="preserve"> </w:instrText>
      </w:r>
      <w:r>
        <w:rPr>
          <w:rFonts w:hint="default" w:ascii="Times New Roman" w:hAnsi="Times New Roman" w:eastAsia="宋体" w:cs="Times New Roman"/>
          <w:b w:val="0"/>
          <w:bCs w:val="0"/>
          <w:color w:val="auto"/>
          <w:sz w:val="24"/>
          <w:szCs w:val="24"/>
          <w:highlight w:val="none"/>
        </w:rPr>
        <w:instrText xml:space="preserve">HYPERLINK \l "_Toc173588087"</w:instrText>
      </w:r>
      <w:r>
        <w:rPr>
          <w:rStyle w:val="100"/>
          <w:rFonts w:hint="default" w:ascii="Times New Roman" w:hAnsi="Times New Roman" w:eastAsia="宋体" w:cs="Times New Roman"/>
          <w:b w:val="0"/>
          <w:bCs w:val="0"/>
          <w:color w:val="auto"/>
          <w:sz w:val="24"/>
          <w:szCs w:val="24"/>
          <w:highlight w:val="none"/>
        </w:rPr>
        <w:instrText xml:space="preserve"> </w:instrText>
      </w:r>
      <w:r>
        <w:rPr>
          <w:rStyle w:val="100"/>
          <w:rFonts w:hint="default" w:ascii="Times New Roman" w:hAnsi="Times New Roman" w:eastAsia="宋体" w:cs="Times New Roman"/>
          <w:b w:val="0"/>
          <w:bCs w:val="0"/>
          <w:color w:val="auto"/>
          <w:sz w:val="24"/>
          <w:szCs w:val="24"/>
          <w:highlight w:val="none"/>
        </w:rPr>
        <w:fldChar w:fldCharType="separate"/>
      </w:r>
      <w:r>
        <w:rPr>
          <w:rStyle w:val="100"/>
          <w:rFonts w:hint="default" w:ascii="Times New Roman" w:hAnsi="Times New Roman" w:eastAsia="宋体" w:cs="Times New Roman"/>
          <w:b w:val="0"/>
          <w:bCs w:val="0"/>
          <w:snapToGrid w:val="0"/>
          <w:color w:val="auto"/>
          <w:sz w:val="24"/>
          <w:szCs w:val="24"/>
          <w:highlight w:val="none"/>
        </w:rPr>
        <w:t>附表</w:t>
      </w:r>
      <w:r>
        <w:rPr>
          <w:rFonts w:hint="default" w:ascii="Times New Roman" w:hAnsi="Times New Roman" w:eastAsia="宋体" w:cs="Times New Roman"/>
          <w:b w:val="0"/>
          <w:bCs w:val="0"/>
          <w:color w:val="auto"/>
          <w:sz w:val="24"/>
          <w:szCs w:val="24"/>
          <w:highlight w:val="none"/>
        </w:rPr>
        <w:tab/>
      </w:r>
      <w:r>
        <w:rPr>
          <w:rFonts w:hint="eastAsia" w:ascii="Times New Roman" w:hAnsi="Times New Roman" w:cs="Times New Roman"/>
          <w:b w:val="0"/>
          <w:bCs w:val="0"/>
          <w:color w:val="auto"/>
          <w:sz w:val="24"/>
          <w:szCs w:val="24"/>
          <w:highlight w:val="none"/>
          <w:lang w:val="en-US" w:eastAsia="zh-CN"/>
        </w:rPr>
        <w:t>9</w:t>
      </w:r>
      <w:r>
        <w:rPr>
          <w:rStyle w:val="100"/>
          <w:rFonts w:hint="default" w:ascii="Times New Roman" w:hAnsi="Times New Roman" w:eastAsia="宋体" w:cs="Times New Roman"/>
          <w:b w:val="0"/>
          <w:bCs w:val="0"/>
          <w:color w:val="auto"/>
          <w:sz w:val="24"/>
          <w:szCs w:val="24"/>
          <w:highlight w:val="none"/>
        </w:rPr>
        <w:fldChar w:fldCharType="end"/>
      </w:r>
      <w:r>
        <w:rPr>
          <w:rStyle w:val="100"/>
          <w:rFonts w:hint="eastAsia" w:ascii="Times New Roman" w:hAnsi="Times New Roman" w:cs="Times New Roman"/>
          <w:b w:val="0"/>
          <w:bCs w:val="0"/>
          <w:color w:val="auto"/>
          <w:sz w:val="24"/>
          <w:szCs w:val="24"/>
          <w:highlight w:val="none"/>
          <w:lang w:val="en-US" w:eastAsia="zh-CN"/>
        </w:rPr>
        <w:t>2</w:t>
      </w:r>
    </w:p>
    <w:p w14:paraId="48964995">
      <w:pPr>
        <w:keepNext w:val="0"/>
        <w:keepLines w:val="0"/>
        <w:pageBreakBefore w:val="0"/>
        <w:widowControl/>
        <w:kinsoku/>
        <w:wordWrap/>
        <w:overflowPunct/>
        <w:topLinePunct w:val="0"/>
        <w:autoSpaceDE/>
        <w:autoSpaceDN/>
        <w:bidi w:val="0"/>
        <w:adjustRightInd/>
        <w:snapToGrid/>
        <w:spacing w:line="360" w:lineRule="auto"/>
        <w:jc w:val="center"/>
        <w:textAlignment w:val="auto"/>
        <w:rPr>
          <w:color w:val="auto"/>
        </w:rPr>
        <w:sectPr>
          <w:headerReference r:id="rId3" w:type="default"/>
          <w:footerReference r:id="rId4" w:type="default"/>
          <w:footerReference r:id="rId5" w:type="even"/>
          <w:pgSz w:w="11907" w:h="16840"/>
          <w:pgMar w:top="1701" w:right="1418" w:bottom="1418" w:left="1701" w:header="851" w:footer="1134" w:gutter="0"/>
          <w:cols w:space="720" w:num="1"/>
          <w:docGrid w:linePitch="317" w:charSpace="0"/>
        </w:sectPr>
      </w:pPr>
      <w:r>
        <w:rPr>
          <w:rFonts w:ascii="Times New Roman" w:hAnsi="Times New Roman"/>
          <w:color w:val="auto"/>
          <w:szCs w:val="24"/>
          <w:highlight w:val="none"/>
        </w:rPr>
        <w:fldChar w:fldCharType="end"/>
      </w:r>
    </w:p>
    <w:p w14:paraId="17381E22">
      <w:pPr>
        <w:keepNext w:val="0"/>
        <w:keepLines w:val="0"/>
        <w:pageBreakBefore w:val="0"/>
        <w:widowControl/>
        <w:kinsoku/>
        <w:wordWrap/>
        <w:overflowPunct/>
        <w:topLinePunct w:val="0"/>
        <w:autoSpaceDE/>
        <w:autoSpaceDN/>
        <w:bidi w:val="0"/>
        <w:spacing w:line="360" w:lineRule="auto"/>
        <w:jc w:val="left"/>
        <w:textAlignment w:val="auto"/>
        <w:rPr>
          <w:b/>
          <w:color w:val="auto"/>
          <w:sz w:val="24"/>
        </w:rPr>
      </w:pPr>
      <w:r>
        <w:rPr>
          <w:b/>
          <w:color w:val="auto"/>
          <w:sz w:val="24"/>
        </w:rPr>
        <w:t>附件：</w:t>
      </w:r>
    </w:p>
    <w:p w14:paraId="17381E23">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color w:val="auto"/>
          <w:sz w:val="24"/>
        </w:rPr>
        <w:t>附件1 委托书及声明</w:t>
      </w:r>
    </w:p>
    <w:p w14:paraId="17381E24">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color w:val="auto"/>
          <w:sz w:val="24"/>
        </w:rPr>
        <w:t>附件2备案证</w:t>
      </w:r>
    </w:p>
    <w:p w14:paraId="17381E25">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color w:val="auto"/>
          <w:sz w:val="24"/>
        </w:rPr>
        <w:t>附件3营业执照</w:t>
      </w:r>
    </w:p>
    <w:p w14:paraId="17381E26">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color w:val="auto"/>
          <w:sz w:val="24"/>
        </w:rPr>
        <w:t>附件4 房屋租赁合同</w:t>
      </w:r>
    </w:p>
    <w:p w14:paraId="17381E27">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color w:val="auto"/>
          <w:sz w:val="24"/>
        </w:rPr>
        <w:t>附件5 江苏省生态环境分区管控综合查询报告书</w:t>
      </w:r>
    </w:p>
    <w:p w14:paraId="17381E28">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default" w:eastAsia="宋体"/>
          <w:color w:val="auto"/>
          <w:sz w:val="24"/>
          <w:lang w:val="en-US" w:eastAsia="zh-CN"/>
        </w:rPr>
      </w:pPr>
      <w:r>
        <w:rPr>
          <w:rFonts w:hint="eastAsia"/>
          <w:color w:val="auto"/>
          <w:sz w:val="24"/>
        </w:rPr>
        <w:t>附件6 关于淮安市鸣锋工具有限公司五金工具加工项目的情况说明</w:t>
      </w:r>
    </w:p>
    <w:p w14:paraId="17381E29">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color w:val="auto"/>
          <w:sz w:val="24"/>
        </w:rPr>
        <w:t>附件7 关于淮安市鸣锋工具有限公司五金工具加工项目用地性质的情况说明</w:t>
      </w:r>
    </w:p>
    <w:p w14:paraId="4C5DD4AE">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default" w:eastAsia="宋体"/>
          <w:color w:val="auto"/>
          <w:sz w:val="24"/>
          <w:lang w:val="en-US" w:eastAsia="zh-CN"/>
        </w:rPr>
      </w:pPr>
      <w:r>
        <w:rPr>
          <w:rFonts w:hint="eastAsia"/>
          <w:color w:val="auto"/>
          <w:sz w:val="24"/>
          <w:lang w:val="en-US" w:eastAsia="zh-CN"/>
        </w:rPr>
        <w:t>附件8 淮安市自然资源和规划局淮阴分局对淮安市鸣锋工具有限公司项目用地情况查询申请的回复</w:t>
      </w:r>
    </w:p>
    <w:p w14:paraId="17381E2A">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color w:val="auto"/>
          <w:sz w:val="24"/>
        </w:rPr>
        <w:t>附件</w:t>
      </w:r>
      <w:r>
        <w:rPr>
          <w:rFonts w:hint="eastAsia"/>
          <w:color w:val="auto"/>
          <w:sz w:val="24"/>
          <w:lang w:val="en-US" w:eastAsia="zh-CN"/>
        </w:rPr>
        <w:t>9</w:t>
      </w:r>
      <w:r>
        <w:rPr>
          <w:rFonts w:hint="eastAsia"/>
          <w:color w:val="auto"/>
          <w:sz w:val="24"/>
        </w:rPr>
        <w:t xml:space="preserve"> 工程师现场照片</w:t>
      </w:r>
    </w:p>
    <w:p w14:paraId="7162CED2">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lang w:val="en-US" w:eastAsia="zh-CN"/>
        </w:rPr>
      </w:pPr>
      <w:r>
        <w:rPr>
          <w:rFonts w:hint="eastAsia"/>
          <w:color w:val="auto"/>
          <w:sz w:val="24"/>
          <w:lang w:val="en-US" w:eastAsia="zh-CN"/>
        </w:rPr>
        <w:t>附件10 环境质量现状监测报告</w:t>
      </w:r>
    </w:p>
    <w:p w14:paraId="53872A72">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default"/>
          <w:color w:val="auto"/>
          <w:sz w:val="24"/>
          <w:lang w:val="en-US" w:eastAsia="zh-CN"/>
        </w:rPr>
      </w:pPr>
      <w:r>
        <w:rPr>
          <w:rFonts w:hint="eastAsia"/>
          <w:color w:val="auto"/>
          <w:sz w:val="24"/>
          <w:lang w:val="en-US" w:eastAsia="zh-CN"/>
        </w:rPr>
        <w:t>附件11 公众参与调查表</w:t>
      </w:r>
    </w:p>
    <w:p w14:paraId="17381E2B">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color w:val="auto"/>
          <w:sz w:val="24"/>
        </w:rPr>
      </w:pPr>
    </w:p>
    <w:p w14:paraId="17381E2C">
      <w:pPr>
        <w:keepNext w:val="0"/>
        <w:keepLines w:val="0"/>
        <w:pageBreakBefore w:val="0"/>
        <w:kinsoku/>
        <w:wordWrap/>
        <w:overflowPunct/>
        <w:topLinePunct w:val="0"/>
        <w:autoSpaceDE/>
        <w:autoSpaceDN/>
        <w:bidi w:val="0"/>
        <w:adjustRightInd w:val="0"/>
        <w:snapToGrid w:val="0"/>
        <w:spacing w:line="360" w:lineRule="auto"/>
        <w:ind w:firstLine="482" w:firstLineChars="200"/>
        <w:textAlignment w:val="auto"/>
        <w:rPr>
          <w:b/>
          <w:color w:val="auto"/>
          <w:sz w:val="24"/>
        </w:rPr>
      </w:pPr>
    </w:p>
    <w:p w14:paraId="17381E2D">
      <w:pPr>
        <w:keepNext w:val="0"/>
        <w:keepLines w:val="0"/>
        <w:pageBreakBefore w:val="0"/>
        <w:kinsoku/>
        <w:wordWrap/>
        <w:overflowPunct/>
        <w:topLinePunct w:val="0"/>
        <w:autoSpaceDE/>
        <w:autoSpaceDN/>
        <w:bidi w:val="0"/>
        <w:adjustRightInd w:val="0"/>
        <w:snapToGrid w:val="0"/>
        <w:spacing w:line="360" w:lineRule="auto"/>
        <w:ind w:firstLine="482" w:firstLineChars="200"/>
        <w:textAlignment w:val="auto"/>
        <w:rPr>
          <w:b/>
          <w:color w:val="auto"/>
          <w:sz w:val="24"/>
        </w:rPr>
      </w:pPr>
      <w:r>
        <w:rPr>
          <w:b/>
          <w:color w:val="auto"/>
          <w:sz w:val="24"/>
        </w:rPr>
        <w:t>附图：</w:t>
      </w:r>
    </w:p>
    <w:p w14:paraId="17381E2E">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color w:val="auto"/>
          <w:sz w:val="24"/>
        </w:rPr>
      </w:pPr>
      <w:r>
        <w:rPr>
          <w:color w:val="auto"/>
          <w:sz w:val="24"/>
        </w:rPr>
        <w:t>附图1 建设项目地理位置图</w:t>
      </w:r>
    </w:p>
    <w:p w14:paraId="17381E2F">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color w:val="auto"/>
          <w:sz w:val="24"/>
        </w:rPr>
      </w:pPr>
      <w:r>
        <w:rPr>
          <w:color w:val="auto"/>
          <w:sz w:val="24"/>
        </w:rPr>
        <w:t>附图2</w:t>
      </w:r>
      <w:r>
        <w:rPr>
          <w:rFonts w:hint="eastAsia"/>
          <w:color w:val="auto"/>
          <w:sz w:val="24"/>
        </w:rPr>
        <w:t xml:space="preserve"> </w:t>
      </w:r>
      <w:r>
        <w:rPr>
          <w:color w:val="auto"/>
          <w:sz w:val="24"/>
        </w:rPr>
        <w:t>建设项目与江苏省国家级生态保护红线</w:t>
      </w:r>
      <w:r>
        <w:rPr>
          <w:rFonts w:hint="eastAsia"/>
          <w:color w:val="auto"/>
          <w:sz w:val="24"/>
        </w:rPr>
        <w:t>相对位置图</w:t>
      </w:r>
    </w:p>
    <w:p w14:paraId="17381E30">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color w:val="auto"/>
          <w:sz w:val="24"/>
        </w:rPr>
      </w:pPr>
      <w:r>
        <w:rPr>
          <w:rFonts w:hint="eastAsia"/>
          <w:color w:val="auto"/>
          <w:sz w:val="24"/>
        </w:rPr>
        <w:t>附图3 建设项目与</w:t>
      </w:r>
      <w:r>
        <w:rPr>
          <w:color w:val="auto"/>
          <w:sz w:val="24"/>
        </w:rPr>
        <w:t>江苏省生态空间保护区域相对位置关系图</w:t>
      </w:r>
    </w:p>
    <w:p w14:paraId="17381E31">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color w:val="auto"/>
          <w:sz w:val="24"/>
        </w:rPr>
      </w:pPr>
      <w:r>
        <w:rPr>
          <w:rFonts w:hint="eastAsia"/>
          <w:color w:val="auto"/>
          <w:sz w:val="24"/>
        </w:rPr>
        <w:t>附图4 建设项目与江苏省生态环境管控单元位置关系图</w:t>
      </w:r>
    </w:p>
    <w:p w14:paraId="17381E32">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color w:val="auto"/>
          <w:sz w:val="24"/>
        </w:rPr>
      </w:pPr>
      <w:r>
        <w:rPr>
          <w:color w:val="auto"/>
          <w:sz w:val="24"/>
        </w:rPr>
        <w:t>附图</w:t>
      </w:r>
      <w:r>
        <w:rPr>
          <w:rFonts w:hint="eastAsia"/>
          <w:color w:val="auto"/>
          <w:sz w:val="24"/>
        </w:rPr>
        <w:t xml:space="preserve">5 </w:t>
      </w:r>
      <w:r>
        <w:rPr>
          <w:color w:val="auto"/>
          <w:sz w:val="24"/>
        </w:rPr>
        <w:t>建设项目</w:t>
      </w:r>
      <w:r>
        <w:rPr>
          <w:rFonts w:hint="eastAsia"/>
          <w:color w:val="auto"/>
          <w:sz w:val="24"/>
        </w:rPr>
        <w:t>车间</w:t>
      </w:r>
      <w:r>
        <w:rPr>
          <w:color w:val="auto"/>
          <w:sz w:val="24"/>
        </w:rPr>
        <w:t>平面布置图</w:t>
      </w:r>
    </w:p>
    <w:p w14:paraId="17381E33">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color w:val="auto"/>
          <w:sz w:val="24"/>
        </w:rPr>
        <w:t xml:space="preserve">附图6 </w:t>
      </w:r>
      <w:r>
        <w:rPr>
          <w:color w:val="auto"/>
          <w:sz w:val="24"/>
        </w:rPr>
        <w:t>建设项目</w:t>
      </w:r>
      <w:r>
        <w:rPr>
          <w:rFonts w:hint="eastAsia"/>
          <w:color w:val="auto"/>
          <w:sz w:val="24"/>
        </w:rPr>
        <w:t>周围状况图</w:t>
      </w:r>
    </w:p>
    <w:p w14:paraId="5B0D4E04">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lang w:val="en-US" w:eastAsia="zh-CN"/>
        </w:rPr>
      </w:pPr>
      <w:r>
        <w:rPr>
          <w:rFonts w:hint="eastAsia"/>
          <w:color w:val="auto"/>
          <w:sz w:val="24"/>
          <w:lang w:val="en-US" w:eastAsia="zh-CN"/>
        </w:rPr>
        <w:t>附图7 建设项目与马头镇三区三线分布图</w:t>
      </w:r>
    </w:p>
    <w:p w14:paraId="4BCD09FD">
      <w:pPr>
        <w:keepNext w:val="0"/>
        <w:keepLines w:val="0"/>
        <w:pageBreakBefore w:val="0"/>
        <w:kinsoku/>
        <w:wordWrap/>
        <w:overflowPunct/>
        <w:topLinePunct w:val="0"/>
        <w:autoSpaceDE/>
        <w:autoSpaceDN/>
        <w:bidi w:val="0"/>
        <w:adjustRightInd w:val="0"/>
        <w:snapToGrid w:val="0"/>
        <w:spacing w:line="360" w:lineRule="auto"/>
        <w:ind w:firstLine="480" w:firstLineChars="200"/>
        <w:textAlignment w:val="auto"/>
        <w:rPr>
          <w:rFonts w:hint="default"/>
          <w:color w:val="auto"/>
          <w:sz w:val="24"/>
          <w:lang w:val="en-US" w:eastAsia="zh-CN"/>
        </w:rPr>
      </w:pPr>
      <w:r>
        <w:rPr>
          <w:rFonts w:hint="eastAsia"/>
          <w:color w:val="auto"/>
          <w:sz w:val="24"/>
          <w:lang w:val="en-US" w:eastAsia="zh-CN"/>
        </w:rPr>
        <w:t>附图8 建设项目与马头镇国土空间分布图</w:t>
      </w:r>
    </w:p>
    <w:p w14:paraId="03009470">
      <w:pPr>
        <w:keepNext w:val="0"/>
        <w:keepLines w:val="0"/>
        <w:pageBreakBefore w:val="0"/>
        <w:widowControl/>
        <w:kinsoku/>
        <w:wordWrap/>
        <w:overflowPunct/>
        <w:topLinePunct w:val="0"/>
        <w:autoSpaceDE/>
        <w:autoSpaceDN/>
        <w:bidi w:val="0"/>
        <w:spacing w:line="360" w:lineRule="auto"/>
        <w:jc w:val="left"/>
        <w:textAlignment w:val="auto"/>
        <w:rPr>
          <w:rFonts w:hint="eastAsia" w:eastAsia="宋体"/>
          <w:color w:val="auto"/>
          <w:kern w:val="0"/>
          <w:sz w:val="32"/>
          <w:szCs w:val="32"/>
          <w:lang w:val="en-US" w:eastAsia="zh-CN"/>
        </w:rPr>
        <w:sectPr>
          <w:pgSz w:w="11907" w:h="16840"/>
          <w:pgMar w:top="1701" w:right="1418" w:bottom="1418" w:left="1701" w:header="851" w:footer="1134" w:gutter="0"/>
          <w:cols w:space="720" w:num="1"/>
          <w:docGrid w:linePitch="317" w:charSpace="0"/>
        </w:sectPr>
      </w:pPr>
      <w:r>
        <w:rPr>
          <w:rFonts w:hint="eastAsia"/>
          <w:color w:val="auto"/>
          <w:kern w:val="0"/>
          <w:sz w:val="32"/>
          <w:szCs w:val="32"/>
          <w:lang w:val="en-US" w:eastAsia="zh-CN"/>
        </w:rPr>
        <w:t xml:space="preserve"> </w:t>
      </w:r>
    </w:p>
    <w:p w14:paraId="17381E35">
      <w:pPr>
        <w:pStyle w:val="81"/>
        <w:spacing w:after="0" w:afterAutospacing="0"/>
        <w:jc w:val="center"/>
        <w:outlineLvl w:val="0"/>
        <w:rPr>
          <w:rFonts w:ascii="Times New Roman" w:hAnsi="Times New Roman"/>
          <w:snapToGrid w:val="0"/>
          <w:color w:val="auto"/>
          <w:sz w:val="30"/>
          <w:szCs w:val="30"/>
        </w:rPr>
      </w:pPr>
      <w:r>
        <w:rPr>
          <w:rFonts w:ascii="Times New Roman" w:hAnsi="Times New Roman"/>
          <w:snapToGrid w:val="0"/>
          <w:color w:val="auto"/>
          <w:sz w:val="30"/>
          <w:szCs w:val="30"/>
        </w:rPr>
        <w:t>一、建设项目基本情况</w:t>
      </w:r>
    </w:p>
    <w:tbl>
      <w:tblPr>
        <w:tblStyle w:val="88"/>
        <w:tblpPr w:leftFromText="180" w:rightFromText="180" w:vertAnchor="text" w:tblpXSpec="center" w:tblpY="1"/>
        <w:tblOverlap w:val="never"/>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1433"/>
        <w:gridCol w:w="2840"/>
        <w:gridCol w:w="1538"/>
        <w:gridCol w:w="3013"/>
      </w:tblGrid>
      <w:tr w14:paraId="17381E3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433" w:type="dxa"/>
            <w:tcMar>
              <w:top w:w="16" w:type="dxa"/>
              <w:left w:w="16" w:type="dxa"/>
              <w:right w:w="16" w:type="dxa"/>
            </w:tcMar>
            <w:vAlign w:val="center"/>
          </w:tcPr>
          <w:p w14:paraId="17381E36">
            <w:pPr>
              <w:adjustRightInd w:val="0"/>
              <w:snapToGrid w:val="0"/>
              <w:jc w:val="center"/>
              <w:rPr>
                <w:color w:val="auto"/>
                <w:sz w:val="24"/>
              </w:rPr>
            </w:pPr>
            <w:r>
              <w:rPr>
                <w:color w:val="auto"/>
                <w:sz w:val="24"/>
              </w:rPr>
              <w:t>建设项目</w:t>
            </w:r>
          </w:p>
          <w:p w14:paraId="17381E37">
            <w:pPr>
              <w:adjustRightInd w:val="0"/>
              <w:snapToGrid w:val="0"/>
              <w:jc w:val="center"/>
              <w:rPr>
                <w:color w:val="auto"/>
                <w:sz w:val="24"/>
              </w:rPr>
            </w:pPr>
            <w:r>
              <w:rPr>
                <w:color w:val="auto"/>
                <w:sz w:val="24"/>
              </w:rPr>
              <w:t>名称</w:t>
            </w:r>
          </w:p>
        </w:tc>
        <w:tc>
          <w:tcPr>
            <w:tcW w:w="7391" w:type="dxa"/>
            <w:gridSpan w:val="3"/>
            <w:vAlign w:val="center"/>
          </w:tcPr>
          <w:p w14:paraId="17381E38">
            <w:pPr>
              <w:adjustRightInd w:val="0"/>
              <w:snapToGrid w:val="0"/>
              <w:jc w:val="center"/>
              <w:rPr>
                <w:color w:val="auto"/>
                <w:sz w:val="24"/>
              </w:rPr>
            </w:pPr>
            <w:r>
              <w:rPr>
                <w:rFonts w:hint="eastAsia"/>
                <w:color w:val="auto"/>
                <w:sz w:val="24"/>
              </w:rPr>
              <w:t>淮安市鸣锋工具有限公司五金工具加工项目</w:t>
            </w:r>
          </w:p>
        </w:tc>
      </w:tr>
      <w:tr w14:paraId="17381E3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340" w:hRule="atLeast"/>
          <w:jc w:val="center"/>
        </w:trPr>
        <w:tc>
          <w:tcPr>
            <w:tcW w:w="1433" w:type="dxa"/>
            <w:tcMar>
              <w:top w:w="16" w:type="dxa"/>
              <w:left w:w="16" w:type="dxa"/>
              <w:right w:w="16" w:type="dxa"/>
            </w:tcMar>
            <w:vAlign w:val="center"/>
          </w:tcPr>
          <w:p w14:paraId="17381E3A">
            <w:pPr>
              <w:adjustRightInd w:val="0"/>
              <w:snapToGrid w:val="0"/>
              <w:jc w:val="center"/>
              <w:rPr>
                <w:color w:val="auto"/>
                <w:sz w:val="24"/>
              </w:rPr>
            </w:pPr>
            <w:r>
              <w:rPr>
                <w:color w:val="auto"/>
                <w:sz w:val="24"/>
              </w:rPr>
              <w:t>项目代码</w:t>
            </w:r>
          </w:p>
        </w:tc>
        <w:tc>
          <w:tcPr>
            <w:tcW w:w="7391" w:type="dxa"/>
            <w:gridSpan w:val="3"/>
            <w:vAlign w:val="center"/>
          </w:tcPr>
          <w:p w14:paraId="17381E3B">
            <w:pPr>
              <w:adjustRightInd w:val="0"/>
              <w:snapToGrid w:val="0"/>
              <w:jc w:val="center"/>
              <w:rPr>
                <w:color w:val="auto"/>
                <w:sz w:val="24"/>
              </w:rPr>
            </w:pPr>
            <w:r>
              <w:rPr>
                <w:rFonts w:hint="eastAsia"/>
                <w:color w:val="auto"/>
                <w:sz w:val="24"/>
              </w:rPr>
              <w:t>2410-320804-89-01-487944</w:t>
            </w:r>
          </w:p>
        </w:tc>
      </w:tr>
      <w:tr w14:paraId="17381E4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433" w:type="dxa"/>
            <w:tcMar>
              <w:top w:w="16" w:type="dxa"/>
              <w:left w:w="16" w:type="dxa"/>
              <w:right w:w="16" w:type="dxa"/>
            </w:tcMar>
            <w:vAlign w:val="center"/>
          </w:tcPr>
          <w:p w14:paraId="17381E3D">
            <w:pPr>
              <w:adjustRightInd w:val="0"/>
              <w:snapToGrid w:val="0"/>
              <w:jc w:val="center"/>
              <w:rPr>
                <w:color w:val="auto"/>
                <w:sz w:val="24"/>
              </w:rPr>
            </w:pPr>
            <w:r>
              <w:rPr>
                <w:color w:val="auto"/>
                <w:sz w:val="24"/>
              </w:rPr>
              <w:t>建设单位联系人</w:t>
            </w:r>
          </w:p>
        </w:tc>
        <w:tc>
          <w:tcPr>
            <w:tcW w:w="2840" w:type="dxa"/>
            <w:vAlign w:val="center"/>
          </w:tcPr>
          <w:p w14:paraId="17381E3E">
            <w:pPr>
              <w:adjustRightInd w:val="0"/>
              <w:snapToGrid w:val="0"/>
              <w:jc w:val="center"/>
              <w:rPr>
                <w:rFonts w:hint="default" w:eastAsia="宋体"/>
                <w:color w:val="auto"/>
                <w:sz w:val="24"/>
                <w:lang w:val="en-US" w:eastAsia="zh-CN"/>
              </w:rPr>
            </w:pPr>
            <w:r>
              <w:rPr>
                <w:rFonts w:hint="eastAsia"/>
                <w:color w:val="auto"/>
                <w:sz w:val="24"/>
              </w:rPr>
              <w:t>梅</w:t>
            </w:r>
            <w:r>
              <w:rPr>
                <w:rFonts w:hint="eastAsia"/>
                <w:color w:val="auto"/>
                <w:sz w:val="24"/>
                <w:lang w:val="en-US" w:eastAsia="zh-CN"/>
              </w:rPr>
              <w:t>**</w:t>
            </w:r>
          </w:p>
        </w:tc>
        <w:tc>
          <w:tcPr>
            <w:tcW w:w="1538" w:type="dxa"/>
            <w:vAlign w:val="center"/>
          </w:tcPr>
          <w:p w14:paraId="17381E3F">
            <w:pPr>
              <w:adjustRightInd w:val="0"/>
              <w:snapToGrid w:val="0"/>
              <w:jc w:val="center"/>
              <w:rPr>
                <w:color w:val="auto"/>
                <w:sz w:val="24"/>
              </w:rPr>
            </w:pPr>
            <w:r>
              <w:rPr>
                <w:color w:val="auto"/>
                <w:sz w:val="24"/>
              </w:rPr>
              <w:t>联系方式</w:t>
            </w:r>
          </w:p>
        </w:tc>
        <w:tc>
          <w:tcPr>
            <w:tcW w:w="3013" w:type="dxa"/>
            <w:vAlign w:val="center"/>
          </w:tcPr>
          <w:p w14:paraId="17381E40">
            <w:pPr>
              <w:adjustRightInd w:val="0"/>
              <w:snapToGrid w:val="0"/>
              <w:jc w:val="center"/>
              <w:rPr>
                <w:color w:val="auto"/>
                <w:sz w:val="24"/>
              </w:rPr>
            </w:pPr>
            <w:r>
              <w:rPr>
                <w:color w:val="auto"/>
                <w:sz w:val="24"/>
              </w:rPr>
              <w:t>158</w:t>
            </w:r>
            <w:r>
              <w:rPr>
                <w:rFonts w:hint="eastAsia"/>
                <w:color w:val="auto"/>
                <w:sz w:val="24"/>
                <w:lang w:val="en-US" w:eastAsia="zh-CN"/>
              </w:rPr>
              <w:t>****</w:t>
            </w:r>
            <w:bookmarkStart w:id="13" w:name="_GoBack"/>
            <w:bookmarkEnd w:id="13"/>
            <w:r>
              <w:rPr>
                <w:color w:val="auto"/>
                <w:sz w:val="24"/>
              </w:rPr>
              <w:t>6771</w:t>
            </w:r>
          </w:p>
        </w:tc>
      </w:tr>
      <w:tr w14:paraId="17381E4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433" w:type="dxa"/>
            <w:tcMar>
              <w:top w:w="16" w:type="dxa"/>
              <w:left w:w="16" w:type="dxa"/>
              <w:right w:w="16" w:type="dxa"/>
            </w:tcMar>
            <w:vAlign w:val="center"/>
          </w:tcPr>
          <w:p w14:paraId="17381E42">
            <w:pPr>
              <w:adjustRightInd w:val="0"/>
              <w:snapToGrid w:val="0"/>
              <w:jc w:val="center"/>
              <w:rPr>
                <w:color w:val="auto"/>
                <w:sz w:val="24"/>
              </w:rPr>
            </w:pPr>
            <w:r>
              <w:rPr>
                <w:color w:val="auto"/>
                <w:sz w:val="24"/>
              </w:rPr>
              <w:t>建设地点</w:t>
            </w:r>
          </w:p>
        </w:tc>
        <w:tc>
          <w:tcPr>
            <w:tcW w:w="7391" w:type="dxa"/>
            <w:gridSpan w:val="3"/>
            <w:vAlign w:val="center"/>
          </w:tcPr>
          <w:p w14:paraId="17381E43">
            <w:pPr>
              <w:adjustRightInd w:val="0"/>
              <w:snapToGrid w:val="0"/>
              <w:jc w:val="center"/>
              <w:rPr>
                <w:color w:val="auto"/>
                <w:sz w:val="24"/>
              </w:rPr>
            </w:pPr>
            <w:r>
              <w:rPr>
                <w:color w:val="auto"/>
                <w:sz w:val="24"/>
                <w:u w:val="single"/>
              </w:rPr>
              <w:t>江苏</w:t>
            </w:r>
            <w:r>
              <w:rPr>
                <w:color w:val="auto"/>
                <w:sz w:val="24"/>
              </w:rPr>
              <w:t>省</w:t>
            </w:r>
            <w:r>
              <w:rPr>
                <w:color w:val="auto"/>
                <w:sz w:val="24"/>
                <w:u w:val="single"/>
              </w:rPr>
              <w:t>淮安</w:t>
            </w:r>
            <w:r>
              <w:rPr>
                <w:color w:val="auto"/>
                <w:sz w:val="24"/>
              </w:rPr>
              <w:t>市</w:t>
            </w:r>
            <w:r>
              <w:rPr>
                <w:rFonts w:hint="eastAsia"/>
                <w:color w:val="auto"/>
                <w:sz w:val="24"/>
                <w:u w:val="single"/>
              </w:rPr>
              <w:t>淮阴区马头镇东港路一号</w:t>
            </w:r>
          </w:p>
        </w:tc>
      </w:tr>
      <w:tr w14:paraId="17381E4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65" w:hRule="atLeast"/>
          <w:jc w:val="center"/>
        </w:trPr>
        <w:tc>
          <w:tcPr>
            <w:tcW w:w="1433" w:type="dxa"/>
            <w:tcMar>
              <w:top w:w="16" w:type="dxa"/>
              <w:left w:w="16" w:type="dxa"/>
              <w:right w:w="16" w:type="dxa"/>
            </w:tcMar>
            <w:vAlign w:val="center"/>
          </w:tcPr>
          <w:p w14:paraId="17381E45">
            <w:pPr>
              <w:adjustRightInd w:val="0"/>
              <w:snapToGrid w:val="0"/>
              <w:jc w:val="center"/>
              <w:rPr>
                <w:color w:val="auto"/>
                <w:sz w:val="24"/>
              </w:rPr>
            </w:pPr>
            <w:r>
              <w:rPr>
                <w:color w:val="auto"/>
                <w:sz w:val="24"/>
              </w:rPr>
              <w:t>地理坐标</w:t>
            </w:r>
          </w:p>
        </w:tc>
        <w:tc>
          <w:tcPr>
            <w:tcW w:w="7391" w:type="dxa"/>
            <w:gridSpan w:val="3"/>
            <w:vAlign w:val="center"/>
          </w:tcPr>
          <w:p w14:paraId="17381E46">
            <w:pPr>
              <w:jc w:val="center"/>
              <w:rPr>
                <w:color w:val="auto"/>
                <w:sz w:val="24"/>
              </w:rPr>
            </w:pPr>
            <w:r>
              <w:rPr>
                <w:color w:val="auto"/>
                <w:sz w:val="24"/>
              </w:rPr>
              <w:t>（</w:t>
            </w:r>
            <w:r>
              <w:rPr>
                <w:rFonts w:hint="eastAsia"/>
                <w:color w:val="auto"/>
                <w:sz w:val="24"/>
              </w:rPr>
              <w:t>E 118</w:t>
            </w:r>
            <w:r>
              <w:rPr>
                <w:color w:val="auto"/>
                <w:sz w:val="24"/>
              </w:rPr>
              <w:t>度</w:t>
            </w:r>
            <w:r>
              <w:rPr>
                <w:rFonts w:hint="eastAsia"/>
                <w:color w:val="auto"/>
                <w:sz w:val="24"/>
              </w:rPr>
              <w:t>55</w:t>
            </w:r>
            <w:r>
              <w:rPr>
                <w:color w:val="auto"/>
                <w:sz w:val="24"/>
              </w:rPr>
              <w:t>分</w:t>
            </w:r>
            <w:r>
              <w:rPr>
                <w:rFonts w:hint="eastAsia"/>
                <w:color w:val="auto"/>
                <w:sz w:val="24"/>
              </w:rPr>
              <w:t>43.327</w:t>
            </w:r>
            <w:r>
              <w:rPr>
                <w:color w:val="auto"/>
                <w:sz w:val="24"/>
              </w:rPr>
              <w:t>秒，</w:t>
            </w:r>
            <w:r>
              <w:rPr>
                <w:rFonts w:hint="eastAsia"/>
                <w:color w:val="auto"/>
                <w:sz w:val="24"/>
              </w:rPr>
              <w:t>N 33</w:t>
            </w:r>
            <w:r>
              <w:rPr>
                <w:color w:val="auto"/>
                <w:sz w:val="24"/>
              </w:rPr>
              <w:t>度</w:t>
            </w:r>
            <w:r>
              <w:rPr>
                <w:rFonts w:hint="eastAsia"/>
                <w:color w:val="auto"/>
                <w:sz w:val="24"/>
              </w:rPr>
              <w:t>32</w:t>
            </w:r>
            <w:r>
              <w:rPr>
                <w:color w:val="auto"/>
                <w:sz w:val="24"/>
              </w:rPr>
              <w:t>分</w:t>
            </w:r>
            <w:r>
              <w:rPr>
                <w:rFonts w:hint="eastAsia"/>
                <w:color w:val="auto"/>
                <w:sz w:val="24"/>
              </w:rPr>
              <w:t>0.466</w:t>
            </w:r>
            <w:r>
              <w:rPr>
                <w:color w:val="auto"/>
                <w:sz w:val="24"/>
              </w:rPr>
              <w:t>秒）</w:t>
            </w:r>
          </w:p>
        </w:tc>
      </w:tr>
      <w:tr w14:paraId="17381E4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433" w:type="dxa"/>
            <w:tcMar>
              <w:top w:w="16" w:type="dxa"/>
              <w:left w:w="16" w:type="dxa"/>
              <w:right w:w="16" w:type="dxa"/>
            </w:tcMar>
            <w:vAlign w:val="center"/>
          </w:tcPr>
          <w:p w14:paraId="17381E48">
            <w:pPr>
              <w:adjustRightInd w:val="0"/>
              <w:snapToGrid w:val="0"/>
              <w:jc w:val="center"/>
              <w:rPr>
                <w:color w:val="auto"/>
                <w:sz w:val="24"/>
              </w:rPr>
            </w:pPr>
            <w:r>
              <w:rPr>
                <w:color w:val="auto"/>
                <w:sz w:val="24"/>
              </w:rPr>
              <w:t>国民经济</w:t>
            </w:r>
          </w:p>
          <w:p w14:paraId="17381E49">
            <w:pPr>
              <w:adjustRightInd w:val="0"/>
              <w:snapToGrid w:val="0"/>
              <w:jc w:val="center"/>
              <w:rPr>
                <w:color w:val="auto"/>
                <w:sz w:val="24"/>
              </w:rPr>
            </w:pPr>
            <w:r>
              <w:rPr>
                <w:color w:val="auto"/>
                <w:sz w:val="24"/>
              </w:rPr>
              <w:t>行业类别</w:t>
            </w:r>
          </w:p>
        </w:tc>
        <w:tc>
          <w:tcPr>
            <w:tcW w:w="2840" w:type="dxa"/>
            <w:vAlign w:val="center"/>
          </w:tcPr>
          <w:p w14:paraId="17381E4A">
            <w:pPr>
              <w:adjustRightInd w:val="0"/>
              <w:snapToGrid w:val="0"/>
              <w:jc w:val="center"/>
              <w:rPr>
                <w:color w:val="auto"/>
                <w:sz w:val="24"/>
              </w:rPr>
            </w:pPr>
            <w:r>
              <w:rPr>
                <w:color w:val="auto"/>
                <w:sz w:val="24"/>
              </w:rPr>
              <w:t>C3062 玻璃纤维增强塑料制品制造</w:t>
            </w:r>
            <w:r>
              <w:rPr>
                <w:rFonts w:hint="eastAsia"/>
                <w:color w:val="auto"/>
                <w:sz w:val="24"/>
              </w:rPr>
              <w:t>、</w:t>
            </w:r>
            <w:r>
              <w:rPr>
                <w:color w:val="auto"/>
                <w:sz w:val="24"/>
              </w:rPr>
              <w:t>C3322手工具制造、C3323 农用及园林用金属工具制造</w:t>
            </w:r>
          </w:p>
        </w:tc>
        <w:tc>
          <w:tcPr>
            <w:tcW w:w="1538" w:type="dxa"/>
            <w:vAlign w:val="center"/>
          </w:tcPr>
          <w:p w14:paraId="17381E4B">
            <w:pPr>
              <w:adjustRightInd w:val="0"/>
              <w:snapToGrid w:val="0"/>
              <w:jc w:val="center"/>
              <w:rPr>
                <w:color w:val="auto"/>
                <w:sz w:val="24"/>
              </w:rPr>
            </w:pPr>
            <w:bookmarkStart w:id="0" w:name="_Hlk49843745"/>
            <w:r>
              <w:rPr>
                <w:color w:val="auto"/>
                <w:sz w:val="24"/>
              </w:rPr>
              <w:t>建设项目</w:t>
            </w:r>
          </w:p>
          <w:p w14:paraId="17381E4C">
            <w:pPr>
              <w:adjustRightInd w:val="0"/>
              <w:snapToGrid w:val="0"/>
              <w:jc w:val="center"/>
              <w:rPr>
                <w:color w:val="auto"/>
                <w:sz w:val="24"/>
              </w:rPr>
            </w:pPr>
            <w:r>
              <w:rPr>
                <w:color w:val="auto"/>
                <w:sz w:val="24"/>
              </w:rPr>
              <w:t>行业类别</w:t>
            </w:r>
            <w:bookmarkEnd w:id="0"/>
          </w:p>
        </w:tc>
        <w:tc>
          <w:tcPr>
            <w:tcW w:w="3013" w:type="dxa"/>
            <w:vAlign w:val="center"/>
          </w:tcPr>
          <w:p w14:paraId="17381E4D">
            <w:pPr>
              <w:adjustRightInd w:val="0"/>
              <w:snapToGrid w:val="0"/>
              <w:jc w:val="center"/>
              <w:rPr>
                <w:color w:val="auto"/>
                <w:sz w:val="24"/>
              </w:rPr>
            </w:pPr>
            <w:r>
              <w:rPr>
                <w:color w:val="auto"/>
                <w:sz w:val="24"/>
              </w:rPr>
              <w:t>二十七、非金属矿物制品业30、58玻璃纤维和玻璃纤维增强塑料制品制造 306</w:t>
            </w:r>
          </w:p>
          <w:p w14:paraId="17381E4E">
            <w:pPr>
              <w:adjustRightInd w:val="0"/>
              <w:snapToGrid w:val="0"/>
              <w:jc w:val="center"/>
              <w:rPr>
                <w:color w:val="auto"/>
              </w:rPr>
            </w:pPr>
            <w:r>
              <w:rPr>
                <w:color w:val="auto"/>
                <w:sz w:val="24"/>
              </w:rPr>
              <w:t>三十、金属制品业33、66金属工具制造332</w:t>
            </w:r>
            <w:r>
              <w:rPr>
                <w:rFonts w:hint="eastAsia"/>
                <w:color w:val="auto"/>
                <w:sz w:val="24"/>
              </w:rPr>
              <w:t>、67金属表面处理及热处理加工</w:t>
            </w:r>
          </w:p>
        </w:tc>
      </w:tr>
      <w:tr w14:paraId="17381E5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433" w:type="dxa"/>
            <w:tcMar>
              <w:top w:w="16" w:type="dxa"/>
              <w:left w:w="16" w:type="dxa"/>
              <w:right w:w="16" w:type="dxa"/>
            </w:tcMar>
            <w:vAlign w:val="center"/>
          </w:tcPr>
          <w:p w14:paraId="17381E50">
            <w:pPr>
              <w:adjustRightInd w:val="0"/>
              <w:snapToGrid w:val="0"/>
              <w:jc w:val="center"/>
              <w:rPr>
                <w:color w:val="auto"/>
                <w:sz w:val="24"/>
              </w:rPr>
            </w:pPr>
            <w:r>
              <w:rPr>
                <w:color w:val="auto"/>
                <w:sz w:val="24"/>
              </w:rPr>
              <w:t>建设性质</w:t>
            </w:r>
          </w:p>
        </w:tc>
        <w:tc>
          <w:tcPr>
            <w:tcW w:w="2840" w:type="dxa"/>
            <w:vAlign w:val="center"/>
          </w:tcPr>
          <w:p w14:paraId="17381E51">
            <w:pPr>
              <w:jc w:val="left"/>
              <w:rPr>
                <w:color w:val="auto"/>
                <w:sz w:val="24"/>
              </w:rPr>
            </w:pPr>
            <w:r>
              <w:rPr>
                <w:color w:val="auto"/>
                <w:sz w:val="24"/>
              </w:rPr>
              <w:sym w:font="Wingdings 2" w:char="0052"/>
            </w:r>
            <w:r>
              <w:rPr>
                <w:color w:val="auto"/>
                <w:sz w:val="24"/>
              </w:rPr>
              <w:t>新建（迁建）</w:t>
            </w:r>
          </w:p>
          <w:p w14:paraId="17381E52">
            <w:pPr>
              <w:jc w:val="left"/>
              <w:rPr>
                <w:color w:val="auto"/>
                <w:sz w:val="24"/>
              </w:rPr>
            </w:pPr>
            <w:r>
              <w:rPr>
                <w:color w:val="auto"/>
                <w:sz w:val="24"/>
              </w:rPr>
              <w:sym w:font="Wingdings 2" w:char="00A3"/>
            </w:r>
            <w:r>
              <w:rPr>
                <w:color w:val="auto"/>
                <w:sz w:val="24"/>
              </w:rPr>
              <w:t>改建</w:t>
            </w:r>
          </w:p>
          <w:p w14:paraId="17381E53">
            <w:pPr>
              <w:jc w:val="left"/>
              <w:rPr>
                <w:color w:val="auto"/>
                <w:sz w:val="24"/>
              </w:rPr>
            </w:pPr>
            <w:r>
              <w:rPr>
                <w:color w:val="auto"/>
                <w:sz w:val="24"/>
              </w:rPr>
              <w:sym w:font="Wingdings 2" w:char="00A3"/>
            </w:r>
            <w:r>
              <w:rPr>
                <w:color w:val="auto"/>
                <w:sz w:val="24"/>
              </w:rPr>
              <w:t>扩建</w:t>
            </w:r>
          </w:p>
          <w:p w14:paraId="17381E54">
            <w:pPr>
              <w:jc w:val="left"/>
              <w:rPr>
                <w:color w:val="auto"/>
                <w:sz w:val="24"/>
              </w:rPr>
            </w:pPr>
            <w:r>
              <w:rPr>
                <w:color w:val="auto"/>
                <w:sz w:val="24"/>
              </w:rPr>
              <w:sym w:font="Wingdings 2" w:char="00A3"/>
            </w:r>
            <w:r>
              <w:rPr>
                <w:color w:val="auto"/>
                <w:sz w:val="24"/>
              </w:rPr>
              <w:t>技术改造</w:t>
            </w:r>
          </w:p>
        </w:tc>
        <w:tc>
          <w:tcPr>
            <w:tcW w:w="1538" w:type="dxa"/>
            <w:vAlign w:val="center"/>
          </w:tcPr>
          <w:p w14:paraId="17381E55">
            <w:pPr>
              <w:adjustRightInd w:val="0"/>
              <w:snapToGrid w:val="0"/>
              <w:jc w:val="center"/>
              <w:rPr>
                <w:color w:val="auto"/>
                <w:sz w:val="24"/>
              </w:rPr>
            </w:pPr>
            <w:r>
              <w:rPr>
                <w:color w:val="auto"/>
                <w:sz w:val="24"/>
              </w:rPr>
              <w:t>建设项目</w:t>
            </w:r>
          </w:p>
          <w:p w14:paraId="17381E56">
            <w:pPr>
              <w:adjustRightInd w:val="0"/>
              <w:snapToGrid w:val="0"/>
              <w:jc w:val="center"/>
              <w:rPr>
                <w:color w:val="auto"/>
                <w:sz w:val="24"/>
              </w:rPr>
            </w:pPr>
            <w:r>
              <w:rPr>
                <w:color w:val="auto"/>
                <w:sz w:val="24"/>
              </w:rPr>
              <w:t>申报情形</w:t>
            </w:r>
          </w:p>
        </w:tc>
        <w:tc>
          <w:tcPr>
            <w:tcW w:w="3013" w:type="dxa"/>
            <w:vAlign w:val="center"/>
          </w:tcPr>
          <w:p w14:paraId="17381E57">
            <w:pPr>
              <w:jc w:val="left"/>
              <w:rPr>
                <w:color w:val="auto"/>
                <w:sz w:val="24"/>
              </w:rPr>
            </w:pPr>
            <w:r>
              <w:rPr>
                <w:color w:val="auto"/>
                <w:sz w:val="24"/>
              </w:rPr>
              <w:sym w:font="Wingdings 2" w:char="0052"/>
            </w:r>
            <w:r>
              <w:rPr>
                <w:color w:val="auto"/>
                <w:sz w:val="24"/>
              </w:rPr>
              <w:t>首次申报项目</w:t>
            </w:r>
          </w:p>
          <w:p w14:paraId="17381E58">
            <w:pPr>
              <w:jc w:val="left"/>
              <w:rPr>
                <w:color w:val="auto"/>
                <w:sz w:val="24"/>
              </w:rPr>
            </w:pPr>
            <w:r>
              <w:rPr>
                <w:color w:val="auto"/>
                <w:sz w:val="24"/>
              </w:rPr>
              <w:sym w:font="Wingdings 2" w:char="00A3"/>
            </w:r>
            <w:r>
              <w:rPr>
                <w:color w:val="auto"/>
                <w:sz w:val="24"/>
              </w:rPr>
              <w:t>不予批准后再次申报项目</w:t>
            </w:r>
          </w:p>
          <w:p w14:paraId="17381E59">
            <w:pPr>
              <w:jc w:val="left"/>
              <w:rPr>
                <w:color w:val="auto"/>
                <w:sz w:val="24"/>
              </w:rPr>
            </w:pPr>
            <w:r>
              <w:rPr>
                <w:color w:val="auto"/>
                <w:sz w:val="24"/>
              </w:rPr>
              <w:sym w:font="Wingdings 2" w:char="00A3"/>
            </w:r>
            <w:r>
              <w:rPr>
                <w:color w:val="auto"/>
                <w:sz w:val="24"/>
              </w:rPr>
              <w:t>超五年重新审核项目</w:t>
            </w:r>
          </w:p>
          <w:p w14:paraId="17381E5A">
            <w:pPr>
              <w:jc w:val="left"/>
              <w:rPr>
                <w:color w:val="auto"/>
                <w:sz w:val="24"/>
              </w:rPr>
            </w:pPr>
            <w:r>
              <w:rPr>
                <w:color w:val="auto"/>
                <w:sz w:val="24"/>
              </w:rPr>
              <w:sym w:font="Wingdings 2" w:char="00A3"/>
            </w:r>
            <w:r>
              <w:rPr>
                <w:color w:val="auto"/>
                <w:sz w:val="24"/>
              </w:rPr>
              <w:t>重大变动重新报批项目</w:t>
            </w:r>
          </w:p>
        </w:tc>
      </w:tr>
      <w:tr w14:paraId="17381E6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433" w:type="dxa"/>
            <w:tcMar>
              <w:top w:w="16" w:type="dxa"/>
              <w:left w:w="16" w:type="dxa"/>
              <w:right w:w="16" w:type="dxa"/>
            </w:tcMar>
            <w:vAlign w:val="center"/>
          </w:tcPr>
          <w:p w14:paraId="17381E5C">
            <w:pPr>
              <w:adjustRightInd w:val="0"/>
              <w:snapToGrid w:val="0"/>
              <w:jc w:val="center"/>
              <w:rPr>
                <w:color w:val="auto"/>
                <w:sz w:val="24"/>
              </w:rPr>
            </w:pPr>
            <w:r>
              <w:rPr>
                <w:color w:val="auto"/>
                <w:sz w:val="24"/>
              </w:rPr>
              <w:t>项目审批（核准/备案）部门（选填）</w:t>
            </w:r>
          </w:p>
        </w:tc>
        <w:tc>
          <w:tcPr>
            <w:tcW w:w="2840" w:type="dxa"/>
            <w:vAlign w:val="center"/>
          </w:tcPr>
          <w:p w14:paraId="17381E5D">
            <w:pPr>
              <w:adjustRightInd w:val="0"/>
              <w:snapToGrid w:val="0"/>
              <w:jc w:val="center"/>
              <w:rPr>
                <w:color w:val="auto"/>
                <w:sz w:val="24"/>
              </w:rPr>
            </w:pPr>
            <w:r>
              <w:rPr>
                <w:rFonts w:hint="eastAsia"/>
                <w:color w:val="auto"/>
                <w:sz w:val="24"/>
              </w:rPr>
              <w:t>淮安市淮阴区政务服务管理办公室</w:t>
            </w:r>
          </w:p>
        </w:tc>
        <w:tc>
          <w:tcPr>
            <w:tcW w:w="1538" w:type="dxa"/>
            <w:vAlign w:val="center"/>
          </w:tcPr>
          <w:p w14:paraId="17381E5E">
            <w:pPr>
              <w:adjustRightInd w:val="0"/>
              <w:snapToGrid w:val="0"/>
              <w:jc w:val="center"/>
              <w:rPr>
                <w:color w:val="auto"/>
                <w:sz w:val="24"/>
              </w:rPr>
            </w:pPr>
            <w:r>
              <w:rPr>
                <w:color w:val="auto"/>
                <w:sz w:val="24"/>
              </w:rPr>
              <w:t>项目审批（核准/备案）文号（选填）</w:t>
            </w:r>
          </w:p>
        </w:tc>
        <w:tc>
          <w:tcPr>
            <w:tcW w:w="3013" w:type="dxa"/>
            <w:vAlign w:val="center"/>
          </w:tcPr>
          <w:p w14:paraId="17381E5F">
            <w:pPr>
              <w:widowControl/>
              <w:tabs>
                <w:tab w:val="left" w:pos="1800"/>
              </w:tabs>
              <w:jc w:val="center"/>
              <w:rPr>
                <w:color w:val="auto"/>
                <w:sz w:val="24"/>
              </w:rPr>
            </w:pPr>
            <w:r>
              <w:rPr>
                <w:rFonts w:hint="eastAsia"/>
                <w:color w:val="auto"/>
                <w:sz w:val="24"/>
              </w:rPr>
              <w:t>淮阴区数据投资备[2024]94号</w:t>
            </w:r>
          </w:p>
        </w:tc>
      </w:tr>
      <w:tr w14:paraId="17381E6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433" w:type="dxa"/>
            <w:tcMar>
              <w:top w:w="16" w:type="dxa"/>
              <w:left w:w="16" w:type="dxa"/>
              <w:right w:w="16" w:type="dxa"/>
            </w:tcMar>
            <w:vAlign w:val="center"/>
          </w:tcPr>
          <w:p w14:paraId="17381E61">
            <w:pPr>
              <w:adjustRightInd w:val="0"/>
              <w:snapToGrid w:val="0"/>
              <w:jc w:val="center"/>
              <w:rPr>
                <w:color w:val="auto"/>
                <w:sz w:val="24"/>
              </w:rPr>
            </w:pPr>
            <w:r>
              <w:rPr>
                <w:color w:val="auto"/>
                <w:sz w:val="24"/>
              </w:rPr>
              <w:t>总投资</w:t>
            </w:r>
          </w:p>
          <w:p w14:paraId="17381E62">
            <w:pPr>
              <w:adjustRightInd w:val="0"/>
              <w:snapToGrid w:val="0"/>
              <w:jc w:val="center"/>
              <w:rPr>
                <w:color w:val="auto"/>
                <w:sz w:val="24"/>
              </w:rPr>
            </w:pPr>
            <w:r>
              <w:rPr>
                <w:color w:val="auto"/>
                <w:sz w:val="24"/>
              </w:rPr>
              <w:t>（万元）</w:t>
            </w:r>
          </w:p>
        </w:tc>
        <w:tc>
          <w:tcPr>
            <w:tcW w:w="2840" w:type="dxa"/>
            <w:vAlign w:val="center"/>
          </w:tcPr>
          <w:p w14:paraId="17381E63">
            <w:pPr>
              <w:adjustRightInd w:val="0"/>
              <w:snapToGrid w:val="0"/>
              <w:jc w:val="center"/>
              <w:rPr>
                <w:color w:val="auto"/>
                <w:sz w:val="24"/>
              </w:rPr>
            </w:pPr>
            <w:r>
              <w:rPr>
                <w:rFonts w:hint="eastAsia"/>
                <w:color w:val="auto"/>
                <w:sz w:val="24"/>
              </w:rPr>
              <w:t>500</w:t>
            </w:r>
          </w:p>
        </w:tc>
        <w:tc>
          <w:tcPr>
            <w:tcW w:w="1538" w:type="dxa"/>
            <w:tcMar>
              <w:top w:w="16" w:type="dxa"/>
              <w:left w:w="16" w:type="dxa"/>
              <w:right w:w="16" w:type="dxa"/>
            </w:tcMar>
            <w:vAlign w:val="center"/>
          </w:tcPr>
          <w:p w14:paraId="17381E64">
            <w:pPr>
              <w:adjustRightInd w:val="0"/>
              <w:snapToGrid w:val="0"/>
              <w:jc w:val="center"/>
              <w:rPr>
                <w:color w:val="auto"/>
                <w:sz w:val="24"/>
              </w:rPr>
            </w:pPr>
            <w:r>
              <w:rPr>
                <w:color w:val="auto"/>
                <w:sz w:val="24"/>
              </w:rPr>
              <w:t>环保投资（万元）</w:t>
            </w:r>
          </w:p>
        </w:tc>
        <w:tc>
          <w:tcPr>
            <w:tcW w:w="3013" w:type="dxa"/>
            <w:vAlign w:val="center"/>
          </w:tcPr>
          <w:p w14:paraId="17381E65">
            <w:pPr>
              <w:adjustRightInd w:val="0"/>
              <w:snapToGrid w:val="0"/>
              <w:jc w:val="center"/>
              <w:rPr>
                <w:color w:val="auto"/>
                <w:sz w:val="24"/>
              </w:rPr>
            </w:pPr>
            <w:r>
              <w:rPr>
                <w:rFonts w:hint="eastAsia"/>
                <w:color w:val="auto"/>
                <w:sz w:val="24"/>
              </w:rPr>
              <w:t>30</w:t>
            </w:r>
          </w:p>
        </w:tc>
      </w:tr>
      <w:tr w14:paraId="17381E6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433" w:type="dxa"/>
            <w:tcMar>
              <w:top w:w="16" w:type="dxa"/>
              <w:left w:w="16" w:type="dxa"/>
              <w:right w:w="16" w:type="dxa"/>
            </w:tcMar>
            <w:vAlign w:val="center"/>
          </w:tcPr>
          <w:p w14:paraId="17381E67">
            <w:pPr>
              <w:adjustRightInd w:val="0"/>
              <w:snapToGrid w:val="0"/>
              <w:jc w:val="center"/>
              <w:rPr>
                <w:color w:val="auto"/>
                <w:sz w:val="24"/>
              </w:rPr>
            </w:pPr>
            <w:r>
              <w:rPr>
                <w:color w:val="auto"/>
                <w:sz w:val="24"/>
              </w:rPr>
              <w:t>环保投资占比（%）</w:t>
            </w:r>
          </w:p>
        </w:tc>
        <w:tc>
          <w:tcPr>
            <w:tcW w:w="2840" w:type="dxa"/>
            <w:vAlign w:val="center"/>
          </w:tcPr>
          <w:p w14:paraId="17381E68">
            <w:pPr>
              <w:adjustRightInd w:val="0"/>
              <w:snapToGrid w:val="0"/>
              <w:jc w:val="center"/>
              <w:rPr>
                <w:color w:val="auto"/>
                <w:sz w:val="24"/>
              </w:rPr>
            </w:pPr>
            <w:r>
              <w:rPr>
                <w:rFonts w:hint="eastAsia"/>
                <w:color w:val="auto"/>
                <w:sz w:val="24"/>
              </w:rPr>
              <w:t>6</w:t>
            </w:r>
          </w:p>
        </w:tc>
        <w:tc>
          <w:tcPr>
            <w:tcW w:w="1538" w:type="dxa"/>
            <w:tcMar>
              <w:top w:w="16" w:type="dxa"/>
              <w:left w:w="16" w:type="dxa"/>
              <w:right w:w="16" w:type="dxa"/>
            </w:tcMar>
            <w:vAlign w:val="center"/>
          </w:tcPr>
          <w:p w14:paraId="17381E69">
            <w:pPr>
              <w:adjustRightInd w:val="0"/>
              <w:snapToGrid w:val="0"/>
              <w:jc w:val="center"/>
              <w:rPr>
                <w:color w:val="auto"/>
                <w:sz w:val="24"/>
              </w:rPr>
            </w:pPr>
            <w:r>
              <w:rPr>
                <w:color w:val="auto"/>
                <w:sz w:val="24"/>
              </w:rPr>
              <w:t>施工工期</w:t>
            </w:r>
          </w:p>
        </w:tc>
        <w:tc>
          <w:tcPr>
            <w:tcW w:w="3013" w:type="dxa"/>
            <w:vAlign w:val="center"/>
          </w:tcPr>
          <w:p w14:paraId="17381E6A">
            <w:pPr>
              <w:adjustRightInd w:val="0"/>
              <w:snapToGrid w:val="0"/>
              <w:jc w:val="center"/>
              <w:rPr>
                <w:rFonts w:hint="eastAsia" w:eastAsia="宋体"/>
                <w:color w:val="auto"/>
                <w:sz w:val="24"/>
                <w:lang w:eastAsia="zh-CN"/>
              </w:rPr>
            </w:pPr>
            <w:r>
              <w:rPr>
                <w:rFonts w:hint="eastAsia"/>
                <w:color w:val="auto"/>
                <w:sz w:val="24"/>
              </w:rPr>
              <w:t>2</w:t>
            </w:r>
            <w:r>
              <w:rPr>
                <w:rFonts w:hint="eastAsia"/>
                <w:color w:val="auto"/>
                <w:sz w:val="24"/>
                <w:lang w:eastAsia="zh-CN"/>
              </w:rPr>
              <w:t>个月</w:t>
            </w:r>
          </w:p>
        </w:tc>
      </w:tr>
      <w:tr w14:paraId="17381E7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433" w:type="dxa"/>
            <w:tcMar>
              <w:top w:w="16" w:type="dxa"/>
              <w:left w:w="16" w:type="dxa"/>
              <w:right w:w="16" w:type="dxa"/>
            </w:tcMar>
            <w:vAlign w:val="center"/>
          </w:tcPr>
          <w:p w14:paraId="17381E6C">
            <w:pPr>
              <w:adjustRightInd w:val="0"/>
              <w:snapToGrid w:val="0"/>
              <w:jc w:val="center"/>
              <w:rPr>
                <w:color w:val="auto"/>
                <w:sz w:val="24"/>
              </w:rPr>
            </w:pPr>
            <w:r>
              <w:rPr>
                <w:color w:val="auto"/>
                <w:sz w:val="24"/>
              </w:rPr>
              <w:t>是否开工建设</w:t>
            </w:r>
          </w:p>
        </w:tc>
        <w:tc>
          <w:tcPr>
            <w:tcW w:w="2840" w:type="dxa"/>
            <w:vAlign w:val="center"/>
          </w:tcPr>
          <w:p w14:paraId="17381E6D">
            <w:pPr>
              <w:adjustRightInd w:val="0"/>
              <w:snapToGrid w:val="0"/>
              <w:rPr>
                <w:color w:val="auto"/>
                <w:sz w:val="24"/>
              </w:rPr>
            </w:pPr>
            <w:r>
              <w:rPr>
                <w:color w:val="auto"/>
                <w:sz w:val="24"/>
              </w:rPr>
              <w:sym w:font="Wingdings 2" w:char="0052"/>
            </w:r>
            <w:r>
              <w:rPr>
                <w:color w:val="auto"/>
                <w:sz w:val="24"/>
              </w:rPr>
              <w:t>否</w:t>
            </w:r>
          </w:p>
          <w:p w14:paraId="17381E6E">
            <w:pPr>
              <w:adjustRightInd w:val="0"/>
              <w:snapToGrid w:val="0"/>
              <w:rPr>
                <w:color w:val="auto"/>
                <w:sz w:val="24"/>
              </w:rPr>
            </w:pPr>
            <w:r>
              <w:rPr>
                <w:rFonts w:hint="eastAsia"/>
                <w:color w:val="auto"/>
                <w:sz w:val="24"/>
              </w:rPr>
              <w:t>□</w:t>
            </w:r>
            <w:r>
              <w:rPr>
                <w:color w:val="auto"/>
                <w:sz w:val="24"/>
              </w:rPr>
              <w:t>是：</w:t>
            </w:r>
            <w:r>
              <w:rPr>
                <w:rFonts w:hint="eastAsia"/>
                <w:color w:val="auto"/>
                <w:sz w:val="24"/>
                <w:u w:val="single"/>
              </w:rPr>
              <w:t xml:space="preserve">         </w:t>
            </w:r>
          </w:p>
        </w:tc>
        <w:tc>
          <w:tcPr>
            <w:tcW w:w="1538" w:type="dxa"/>
            <w:tcMar>
              <w:top w:w="16" w:type="dxa"/>
              <w:left w:w="16" w:type="dxa"/>
              <w:right w:w="16" w:type="dxa"/>
            </w:tcMar>
            <w:vAlign w:val="center"/>
          </w:tcPr>
          <w:p w14:paraId="17381E6F">
            <w:pPr>
              <w:adjustRightInd w:val="0"/>
              <w:snapToGrid w:val="0"/>
              <w:jc w:val="center"/>
              <w:rPr>
                <w:color w:val="auto"/>
                <w:spacing w:val="-6"/>
                <w:sz w:val="24"/>
              </w:rPr>
            </w:pPr>
            <w:r>
              <w:rPr>
                <w:color w:val="auto"/>
                <w:spacing w:val="-6"/>
                <w:sz w:val="24"/>
              </w:rPr>
              <w:t>用地（用海）</w:t>
            </w:r>
          </w:p>
          <w:p w14:paraId="17381E70">
            <w:pPr>
              <w:adjustRightInd w:val="0"/>
              <w:snapToGrid w:val="0"/>
              <w:jc w:val="center"/>
              <w:rPr>
                <w:color w:val="auto"/>
                <w:sz w:val="24"/>
              </w:rPr>
            </w:pPr>
            <w:r>
              <w:rPr>
                <w:color w:val="auto"/>
                <w:spacing w:val="-6"/>
                <w:sz w:val="24"/>
              </w:rPr>
              <w:t>面积（m</w:t>
            </w:r>
            <w:r>
              <w:rPr>
                <w:color w:val="auto"/>
                <w:spacing w:val="-6"/>
                <w:sz w:val="24"/>
                <w:vertAlign w:val="superscript"/>
              </w:rPr>
              <w:t>2</w:t>
            </w:r>
            <w:r>
              <w:rPr>
                <w:color w:val="auto"/>
                <w:spacing w:val="-6"/>
                <w:sz w:val="24"/>
              </w:rPr>
              <w:t>）</w:t>
            </w:r>
          </w:p>
        </w:tc>
        <w:tc>
          <w:tcPr>
            <w:tcW w:w="3013" w:type="dxa"/>
            <w:vAlign w:val="center"/>
          </w:tcPr>
          <w:p w14:paraId="17381E71">
            <w:pPr>
              <w:adjustRightInd w:val="0"/>
              <w:snapToGrid w:val="0"/>
              <w:jc w:val="center"/>
              <w:rPr>
                <w:color w:val="auto"/>
                <w:sz w:val="24"/>
              </w:rPr>
            </w:pPr>
            <w:r>
              <w:rPr>
                <w:rFonts w:hint="eastAsia"/>
                <w:color w:val="auto"/>
                <w:sz w:val="24"/>
              </w:rPr>
              <w:t>1500</w:t>
            </w:r>
          </w:p>
        </w:tc>
      </w:tr>
      <w:tr w14:paraId="17381E7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06" w:hRule="atLeast"/>
          <w:jc w:val="center"/>
        </w:trPr>
        <w:tc>
          <w:tcPr>
            <w:tcW w:w="1433" w:type="dxa"/>
            <w:vAlign w:val="center"/>
          </w:tcPr>
          <w:p w14:paraId="17381E73">
            <w:pPr>
              <w:autoSpaceDE w:val="0"/>
              <w:autoSpaceDN w:val="0"/>
              <w:adjustRightInd w:val="0"/>
              <w:snapToGrid w:val="0"/>
              <w:jc w:val="center"/>
              <w:rPr>
                <w:color w:val="auto"/>
                <w:kern w:val="0"/>
                <w:sz w:val="24"/>
              </w:rPr>
            </w:pPr>
            <w:r>
              <w:rPr>
                <w:color w:val="auto"/>
                <w:kern w:val="0"/>
                <w:sz w:val="24"/>
              </w:rPr>
              <w:t>专项评价设置情况</w:t>
            </w:r>
          </w:p>
        </w:tc>
        <w:tc>
          <w:tcPr>
            <w:tcW w:w="7391" w:type="dxa"/>
            <w:gridSpan w:val="3"/>
            <w:vAlign w:val="center"/>
          </w:tcPr>
          <w:p w14:paraId="17381E74">
            <w:pPr>
              <w:autoSpaceDE w:val="0"/>
              <w:autoSpaceDN w:val="0"/>
              <w:adjustRightInd w:val="0"/>
              <w:snapToGrid w:val="0"/>
              <w:jc w:val="center"/>
              <w:rPr>
                <w:color w:val="auto"/>
                <w:kern w:val="0"/>
                <w:sz w:val="24"/>
              </w:rPr>
            </w:pPr>
            <w:r>
              <w:rPr>
                <w:color w:val="auto"/>
                <w:kern w:val="0"/>
                <w:sz w:val="24"/>
              </w:rPr>
              <w:t>无</w:t>
            </w:r>
          </w:p>
        </w:tc>
      </w:tr>
      <w:tr w14:paraId="17381E7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30" w:hRule="atLeast"/>
          <w:jc w:val="center"/>
        </w:trPr>
        <w:tc>
          <w:tcPr>
            <w:tcW w:w="1433" w:type="dxa"/>
            <w:vAlign w:val="center"/>
          </w:tcPr>
          <w:p w14:paraId="17381E76">
            <w:pPr>
              <w:autoSpaceDE w:val="0"/>
              <w:autoSpaceDN w:val="0"/>
              <w:adjustRightInd w:val="0"/>
              <w:snapToGrid w:val="0"/>
              <w:jc w:val="center"/>
              <w:rPr>
                <w:color w:val="auto"/>
                <w:kern w:val="0"/>
                <w:sz w:val="24"/>
              </w:rPr>
            </w:pPr>
            <w:r>
              <w:rPr>
                <w:color w:val="auto"/>
                <w:sz w:val="24"/>
              </w:rPr>
              <w:t>规划情况</w:t>
            </w:r>
          </w:p>
        </w:tc>
        <w:tc>
          <w:tcPr>
            <w:tcW w:w="7391" w:type="dxa"/>
            <w:gridSpan w:val="3"/>
            <w:vAlign w:val="center"/>
          </w:tcPr>
          <w:p w14:paraId="1CE6AB5C">
            <w:pPr>
              <w:keepNext w:val="0"/>
              <w:keepLines w:val="0"/>
              <w:pageBreakBefore w:val="0"/>
              <w:widowControl/>
              <w:suppressLineNumbers w:val="0"/>
              <w:kinsoku/>
              <w:wordWrap/>
              <w:overflowPunct/>
              <w:topLinePunct w:val="0"/>
              <w:bidi w:val="0"/>
              <w:adjustRightInd/>
              <w:snapToGrid/>
              <w:spacing w:before="0" w:beforeAutospacing="0" w:after="0" w:afterAutospacing="0" w:line="360" w:lineRule="auto"/>
              <w:ind w:left="0" w:right="0"/>
              <w:jc w:val="both"/>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kern w:val="0"/>
                <w:sz w:val="24"/>
                <w:szCs w:val="24"/>
                <w:highlight w:val="none"/>
              </w:rPr>
              <w:t>规划名称：《关于调整淮安市淮阴区土地利用总体规划</w:t>
            </w:r>
            <w:r>
              <w:rPr>
                <w:rFonts w:hint="default" w:ascii="Times New Roman" w:hAnsi="Times New Roman" w:eastAsia="宋体" w:cs="Times New Roman"/>
                <w:color w:val="auto"/>
                <w:kern w:val="0"/>
                <w:sz w:val="24"/>
                <w:szCs w:val="24"/>
                <w:highlight w:val="none"/>
                <w:lang w:eastAsia="zh-CN"/>
              </w:rPr>
              <w:t>（</w:t>
            </w:r>
            <w:r>
              <w:rPr>
                <w:rFonts w:hint="default" w:ascii="Times New Roman" w:hAnsi="Times New Roman" w:eastAsia="宋体" w:cs="Times New Roman"/>
                <w:color w:val="auto"/>
                <w:kern w:val="0"/>
                <w:sz w:val="24"/>
                <w:szCs w:val="24"/>
                <w:highlight w:val="none"/>
                <w:lang w:val="en-US" w:eastAsia="zh-CN"/>
              </w:rPr>
              <w:t>2006-2020年）</w:t>
            </w:r>
            <w:r>
              <w:rPr>
                <w:rFonts w:hint="default" w:ascii="Times New Roman" w:hAnsi="Times New Roman" w:eastAsia="宋体" w:cs="Times New Roman"/>
                <w:color w:val="auto"/>
                <w:kern w:val="0"/>
                <w:sz w:val="24"/>
                <w:szCs w:val="24"/>
                <w:highlight w:val="none"/>
              </w:rPr>
              <w:t>》</w:t>
            </w:r>
          </w:p>
          <w:p w14:paraId="3E9369D7">
            <w:pPr>
              <w:keepNext w:val="0"/>
              <w:keepLines w:val="0"/>
              <w:pageBreakBefore w:val="0"/>
              <w:suppressLineNumbers w:val="0"/>
              <w:kinsoku/>
              <w:wordWrap/>
              <w:overflowPunct/>
              <w:topLinePunct w:val="0"/>
              <w:autoSpaceDE w:val="0"/>
              <w:autoSpaceDN w:val="0"/>
              <w:bidi w:val="0"/>
              <w:adjustRightInd/>
              <w:snapToGrid/>
              <w:spacing w:before="0" w:beforeAutospacing="0" w:after="0" w:afterAutospacing="0" w:line="360" w:lineRule="auto"/>
              <w:ind w:left="0" w:right="0"/>
              <w:jc w:val="both"/>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审批机关：</w:t>
            </w:r>
            <w:r>
              <w:rPr>
                <w:rFonts w:hint="default" w:ascii="Times New Roman" w:hAnsi="Times New Roman" w:eastAsia="宋体" w:cs="Times New Roman"/>
                <w:color w:val="auto"/>
                <w:sz w:val="24"/>
                <w:szCs w:val="24"/>
                <w:highlight w:val="none"/>
                <w:lang w:val="en-US" w:eastAsia="zh-CN"/>
              </w:rPr>
              <w:t>江苏省</w:t>
            </w:r>
            <w:r>
              <w:rPr>
                <w:rFonts w:hint="default" w:ascii="Times New Roman" w:hAnsi="Times New Roman" w:eastAsia="宋体" w:cs="Times New Roman"/>
                <w:color w:val="auto"/>
                <w:sz w:val="24"/>
                <w:szCs w:val="24"/>
                <w:highlight w:val="none"/>
              </w:rPr>
              <w:t>人民政府</w:t>
            </w:r>
          </w:p>
          <w:p w14:paraId="2AEA7DA3">
            <w:pPr>
              <w:keepNext w:val="0"/>
              <w:keepLines w:val="0"/>
              <w:pageBreakBefore w:val="0"/>
              <w:kinsoku/>
              <w:wordWrap/>
              <w:overflowPunct/>
              <w:topLinePunct w:val="0"/>
              <w:autoSpaceDE w:val="0"/>
              <w:autoSpaceDN w:val="0"/>
              <w:bidi w:val="0"/>
              <w:adjustRightInd w:val="0"/>
              <w:snapToGrid w:val="0"/>
              <w:spacing w:line="360" w:lineRule="auto"/>
              <w:jc w:val="both"/>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rPr>
              <w:t>审批文件名称及文号：</w:t>
            </w:r>
            <w:r>
              <w:rPr>
                <w:rFonts w:hint="default" w:ascii="Times New Roman" w:hAnsi="Times New Roman" w:eastAsia="宋体" w:cs="Times New Roman"/>
                <w:color w:val="auto"/>
                <w:sz w:val="24"/>
                <w:szCs w:val="24"/>
                <w:highlight w:val="none"/>
                <w:lang w:val="en-US" w:eastAsia="zh-CN"/>
              </w:rPr>
              <w:t>苏政复[2017]44号</w:t>
            </w:r>
          </w:p>
          <w:p w14:paraId="17381E77">
            <w:pPr>
              <w:keepNext w:val="0"/>
              <w:keepLines w:val="0"/>
              <w:pageBreakBefore w:val="0"/>
              <w:kinsoku/>
              <w:wordWrap/>
              <w:overflowPunct/>
              <w:topLinePunct w:val="0"/>
              <w:autoSpaceDE w:val="0"/>
              <w:autoSpaceDN w:val="0"/>
              <w:bidi w:val="0"/>
              <w:adjustRightInd w:val="0"/>
              <w:snapToGrid w:val="0"/>
              <w:spacing w:line="360" w:lineRule="auto"/>
              <w:jc w:val="both"/>
              <w:textAlignment w:val="auto"/>
              <w:rPr>
                <w:color w:val="auto"/>
                <w:sz w:val="24"/>
              </w:rPr>
            </w:pPr>
            <w:r>
              <w:rPr>
                <w:rFonts w:hint="default" w:ascii="Times New Roman" w:hAnsi="Times New Roman" w:eastAsia="宋体" w:cs="Times New Roman"/>
                <w:color w:val="auto"/>
                <w:sz w:val="24"/>
                <w:szCs w:val="24"/>
                <w:highlight w:val="none"/>
                <w:lang w:val="en-US" w:eastAsia="zh-CN"/>
              </w:rPr>
              <w:t>由于</w:t>
            </w:r>
            <w:r>
              <w:rPr>
                <w:rFonts w:hint="default" w:ascii="Times New Roman" w:hAnsi="Times New Roman" w:eastAsia="宋体" w:cs="Times New Roman"/>
                <w:color w:val="auto"/>
                <w:kern w:val="0"/>
                <w:sz w:val="24"/>
                <w:szCs w:val="24"/>
                <w:highlight w:val="none"/>
              </w:rPr>
              <w:t>土地利用总体规划</w:t>
            </w:r>
            <w:r>
              <w:rPr>
                <w:rFonts w:hint="default" w:ascii="Times New Roman" w:hAnsi="Times New Roman" w:eastAsia="宋体" w:cs="Times New Roman"/>
                <w:color w:val="auto"/>
                <w:kern w:val="0"/>
                <w:sz w:val="24"/>
                <w:szCs w:val="24"/>
                <w:highlight w:val="none"/>
                <w:lang w:val="en-US" w:eastAsia="zh-CN"/>
              </w:rPr>
              <w:t>尚未更新，因此本次沿用现有的</w:t>
            </w:r>
            <w:r>
              <w:rPr>
                <w:rFonts w:hint="default" w:ascii="Times New Roman" w:hAnsi="Times New Roman" w:eastAsia="宋体" w:cs="Times New Roman"/>
                <w:color w:val="auto"/>
                <w:kern w:val="0"/>
                <w:sz w:val="24"/>
                <w:szCs w:val="24"/>
                <w:highlight w:val="none"/>
              </w:rPr>
              <w:t>《关于调整淮安市淮阴区土地利用总体规划</w:t>
            </w:r>
            <w:r>
              <w:rPr>
                <w:rFonts w:hint="default" w:ascii="Times New Roman" w:hAnsi="Times New Roman" w:eastAsia="宋体" w:cs="Times New Roman"/>
                <w:color w:val="auto"/>
                <w:kern w:val="0"/>
                <w:sz w:val="24"/>
                <w:szCs w:val="24"/>
                <w:highlight w:val="none"/>
                <w:lang w:eastAsia="zh-CN"/>
              </w:rPr>
              <w:t>（</w:t>
            </w:r>
            <w:r>
              <w:rPr>
                <w:rFonts w:hint="default" w:ascii="Times New Roman" w:hAnsi="Times New Roman" w:eastAsia="宋体" w:cs="Times New Roman"/>
                <w:color w:val="auto"/>
                <w:kern w:val="0"/>
                <w:sz w:val="24"/>
                <w:szCs w:val="24"/>
                <w:highlight w:val="none"/>
                <w:lang w:val="en-US" w:eastAsia="zh-CN"/>
              </w:rPr>
              <w:t>2006-2020年）</w:t>
            </w:r>
            <w:r>
              <w:rPr>
                <w:rFonts w:hint="default" w:ascii="Times New Roman" w:hAnsi="Times New Roman" w:eastAsia="宋体" w:cs="Times New Roman"/>
                <w:color w:val="auto"/>
                <w:kern w:val="0"/>
                <w:sz w:val="24"/>
                <w:szCs w:val="24"/>
                <w:highlight w:val="none"/>
              </w:rPr>
              <w:t>》</w:t>
            </w:r>
            <w:r>
              <w:rPr>
                <w:rFonts w:hint="default" w:ascii="Times New Roman" w:hAnsi="Times New Roman" w:eastAsia="宋体" w:cs="Times New Roman"/>
                <w:color w:val="auto"/>
                <w:sz w:val="24"/>
                <w:szCs w:val="24"/>
                <w:lang w:eastAsia="zh-CN"/>
              </w:rPr>
              <w:t>进行规划相符性分析</w:t>
            </w:r>
          </w:p>
        </w:tc>
      </w:tr>
      <w:tr w14:paraId="17381E7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37" w:hRule="atLeast"/>
          <w:jc w:val="center"/>
        </w:trPr>
        <w:tc>
          <w:tcPr>
            <w:tcW w:w="1433" w:type="dxa"/>
            <w:vAlign w:val="center"/>
          </w:tcPr>
          <w:p w14:paraId="17381E79">
            <w:pPr>
              <w:adjustRightInd w:val="0"/>
              <w:snapToGrid w:val="0"/>
              <w:jc w:val="center"/>
              <w:rPr>
                <w:color w:val="auto"/>
                <w:sz w:val="24"/>
              </w:rPr>
            </w:pPr>
            <w:r>
              <w:rPr>
                <w:color w:val="auto"/>
                <w:sz w:val="24"/>
              </w:rPr>
              <w:t>规划环境影响评价情况</w:t>
            </w:r>
          </w:p>
        </w:tc>
        <w:tc>
          <w:tcPr>
            <w:tcW w:w="7391" w:type="dxa"/>
            <w:gridSpan w:val="3"/>
            <w:vAlign w:val="center"/>
          </w:tcPr>
          <w:p w14:paraId="17381E7A">
            <w:pPr>
              <w:autoSpaceDE w:val="0"/>
              <w:autoSpaceDN w:val="0"/>
              <w:adjustRightInd w:val="0"/>
              <w:snapToGrid w:val="0"/>
              <w:jc w:val="center"/>
              <w:rPr>
                <w:color w:val="auto"/>
                <w:sz w:val="24"/>
              </w:rPr>
            </w:pPr>
            <w:r>
              <w:rPr>
                <w:rFonts w:hint="eastAsia"/>
                <w:color w:val="auto"/>
                <w:sz w:val="24"/>
              </w:rPr>
              <w:t>无</w:t>
            </w:r>
          </w:p>
        </w:tc>
      </w:tr>
      <w:tr w14:paraId="17381E7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433" w:type="dxa"/>
            <w:vAlign w:val="center"/>
          </w:tcPr>
          <w:p w14:paraId="17381E7C">
            <w:pPr>
              <w:autoSpaceDE w:val="0"/>
              <w:autoSpaceDN w:val="0"/>
              <w:adjustRightInd w:val="0"/>
              <w:snapToGrid w:val="0"/>
              <w:jc w:val="center"/>
              <w:rPr>
                <w:color w:val="auto"/>
                <w:kern w:val="0"/>
                <w:sz w:val="24"/>
              </w:rPr>
            </w:pPr>
            <w:r>
              <w:rPr>
                <w:color w:val="auto"/>
                <w:kern w:val="0"/>
                <w:sz w:val="24"/>
              </w:rPr>
              <w:t>规划及规划环境影响评价符合性分析</w:t>
            </w:r>
          </w:p>
        </w:tc>
        <w:tc>
          <w:tcPr>
            <w:tcW w:w="7391" w:type="dxa"/>
            <w:gridSpan w:val="3"/>
            <w:vAlign w:val="center"/>
          </w:tcPr>
          <w:p w14:paraId="3794A0DE">
            <w:pPr>
              <w:keepNext w:val="0"/>
              <w:keepLines w:val="0"/>
              <w:pageBreakBefore w:val="0"/>
              <w:suppressLineNumbers w:val="0"/>
              <w:kinsoku/>
              <w:wordWrap/>
              <w:overflowPunct/>
              <w:topLinePunct w:val="0"/>
              <w:autoSpaceDE w:val="0"/>
              <w:autoSpaceDN w:val="0"/>
              <w:bidi w:val="0"/>
              <w:adjustRightInd w:val="0"/>
              <w:snapToGrid w:val="0"/>
              <w:spacing w:before="0" w:beforeAutospacing="0" w:after="0" w:afterAutospacing="0" w:line="360" w:lineRule="auto"/>
              <w:ind w:left="0" w:right="0" w:firstLine="482" w:firstLineChars="200"/>
              <w:textAlignment w:val="auto"/>
              <w:rPr>
                <w:b/>
                <w:color w:val="auto"/>
                <w:kern w:val="0"/>
                <w:sz w:val="24"/>
              </w:rPr>
            </w:pPr>
            <w:r>
              <w:rPr>
                <w:rFonts w:hint="eastAsia" w:eastAsia="宋体" w:cs="宋体"/>
                <w:b/>
                <w:bCs w:val="0"/>
                <w:color w:val="auto"/>
                <w:sz w:val="24"/>
              </w:rPr>
              <w:t>与</w:t>
            </w:r>
            <w:r>
              <w:rPr>
                <w:rFonts w:hint="default" w:ascii="Times New Roman" w:hAnsi="Times New Roman" w:eastAsia="宋体" w:cs="Times New Roman"/>
                <w:b/>
                <w:bCs w:val="0"/>
                <w:color w:val="auto"/>
                <w:kern w:val="0"/>
                <w:sz w:val="24"/>
                <w:szCs w:val="24"/>
                <w:highlight w:val="none"/>
              </w:rPr>
              <w:t>《关于调整淮安市淮阴区土地利用总体规划</w:t>
            </w:r>
            <w:r>
              <w:rPr>
                <w:rFonts w:hint="eastAsia" w:ascii="Times New Roman" w:hAnsi="Times New Roman" w:eastAsia="宋体" w:cs="Times New Roman"/>
                <w:b/>
                <w:bCs w:val="0"/>
                <w:color w:val="auto"/>
                <w:kern w:val="0"/>
                <w:sz w:val="24"/>
                <w:szCs w:val="24"/>
                <w:highlight w:val="none"/>
                <w:lang w:eastAsia="zh-CN"/>
              </w:rPr>
              <w:t>（</w:t>
            </w:r>
            <w:r>
              <w:rPr>
                <w:rFonts w:hint="eastAsia" w:ascii="Times New Roman" w:hAnsi="Times New Roman" w:eastAsia="宋体" w:cs="Times New Roman"/>
                <w:b/>
                <w:bCs w:val="0"/>
                <w:color w:val="auto"/>
                <w:kern w:val="0"/>
                <w:sz w:val="24"/>
                <w:szCs w:val="24"/>
                <w:highlight w:val="none"/>
                <w:lang w:val="en-US" w:eastAsia="zh-CN"/>
              </w:rPr>
              <w:t>2006-2020年）</w:t>
            </w:r>
            <w:r>
              <w:rPr>
                <w:rFonts w:hint="default" w:ascii="Times New Roman" w:hAnsi="Times New Roman" w:eastAsia="宋体" w:cs="Times New Roman"/>
                <w:b/>
                <w:bCs w:val="0"/>
                <w:color w:val="auto"/>
                <w:kern w:val="0"/>
                <w:sz w:val="24"/>
                <w:szCs w:val="24"/>
                <w:highlight w:val="none"/>
              </w:rPr>
              <w:t>》</w:t>
            </w:r>
            <w:r>
              <w:rPr>
                <w:rFonts w:hint="eastAsia" w:eastAsia="宋体" w:cs="宋体"/>
                <w:b/>
                <w:color w:val="auto"/>
                <w:sz w:val="24"/>
              </w:rPr>
              <w:t>相符性分析</w:t>
            </w:r>
          </w:p>
          <w:p w14:paraId="028FED1C">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sz w:val="24"/>
                <w:szCs w:val="24"/>
              </w:rPr>
            </w:pPr>
            <w:r>
              <w:rPr>
                <w:rFonts w:hint="eastAsia" w:ascii="宋体" w:hAnsi="宋体" w:eastAsia="宋体" w:cs="宋体"/>
                <w:color w:val="auto"/>
                <w:kern w:val="0"/>
                <w:sz w:val="24"/>
                <w:highlight w:val="none"/>
              </w:rPr>
              <w:t>根据</w:t>
            </w:r>
            <w:r>
              <w:rPr>
                <w:rFonts w:hint="default" w:ascii="Times New Roman" w:hAnsi="Times New Roman" w:eastAsia="宋体" w:cs="Times New Roman"/>
                <w:color w:val="auto"/>
                <w:kern w:val="0"/>
                <w:sz w:val="24"/>
                <w:szCs w:val="24"/>
                <w:highlight w:val="none"/>
              </w:rPr>
              <w:t>《关于调整淮安市淮阴区土地利用总体规划</w:t>
            </w:r>
            <w:r>
              <w:rPr>
                <w:rFonts w:hint="eastAsia" w:ascii="Times New Roman" w:hAnsi="Times New Roman" w:eastAsia="宋体" w:cs="Times New Roman"/>
                <w:color w:val="auto"/>
                <w:kern w:val="0"/>
                <w:sz w:val="24"/>
                <w:szCs w:val="24"/>
                <w:highlight w:val="none"/>
                <w:lang w:eastAsia="zh-CN"/>
              </w:rPr>
              <w:t>（</w:t>
            </w:r>
            <w:r>
              <w:rPr>
                <w:rFonts w:hint="eastAsia" w:ascii="Times New Roman" w:hAnsi="Times New Roman" w:eastAsia="宋体" w:cs="Times New Roman"/>
                <w:color w:val="auto"/>
                <w:kern w:val="0"/>
                <w:sz w:val="24"/>
                <w:szCs w:val="24"/>
                <w:highlight w:val="none"/>
                <w:lang w:val="en-US" w:eastAsia="zh-CN"/>
              </w:rPr>
              <w:t>2006-2020年）</w:t>
            </w:r>
            <w:r>
              <w:rPr>
                <w:rFonts w:hint="default" w:ascii="Times New Roman" w:hAnsi="Times New Roman" w:eastAsia="宋体" w:cs="Times New Roman"/>
                <w:color w:val="auto"/>
                <w:kern w:val="0"/>
                <w:sz w:val="24"/>
                <w:szCs w:val="24"/>
                <w:highlight w:val="none"/>
              </w:rPr>
              <w:t>》</w:t>
            </w:r>
            <w:r>
              <w:rPr>
                <w:rFonts w:hint="eastAsia" w:ascii="宋体" w:hAnsi="宋体" w:eastAsia="宋体" w:cs="宋体"/>
                <w:color w:val="auto"/>
                <w:kern w:val="0"/>
                <w:sz w:val="24"/>
                <w:highlight w:val="none"/>
              </w:rPr>
              <w:t>，</w:t>
            </w:r>
            <w:r>
              <w:rPr>
                <w:rFonts w:hint="default" w:ascii="Times New Roman" w:hAnsi="Times New Roman" w:eastAsia="宋体" w:cs="Times New Roman"/>
                <w:color w:val="auto"/>
                <w:sz w:val="24"/>
                <w:szCs w:val="24"/>
                <w:highlight w:val="none"/>
              </w:rPr>
              <w:t>区</w:t>
            </w:r>
            <w:r>
              <w:rPr>
                <w:rFonts w:hint="default" w:ascii="Times New Roman" w:hAnsi="Times New Roman" w:eastAsia="宋体" w:cs="Times New Roman"/>
                <w:color w:val="auto"/>
                <w:sz w:val="24"/>
                <w:szCs w:val="24"/>
              </w:rPr>
              <w:t>委、区政府从淮阴实际出发，主动创新求变，在做好</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多规合一</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的基础上，融合乡村振兴战略发展规划，形成全域规划</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一张图</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，着力构筑</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1+2+7+X</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发展模式。</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1</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就是中心城区为中心，主要起到人口集聚和公共服务的作用。</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2</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就是渔沟、徐溜两个国家级重点中心镇，打造城市副中心。</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7</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就是鼓励布局优化后的7个农村乡镇特色化发展，马头镇、刘老庄镇、高家堰镇重点发展文旅休闲产业和现代农业；淮高镇、三树镇、南陈集镇以片区产业园区为支撑，重点发展新型工业；丁集镇以融入商贸服务中心为重点，大力发展现代物流业。</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X</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就是选择一批村庄作为中心村，建成能够辐射周边村庄的集聚点。</w:t>
            </w:r>
          </w:p>
          <w:p w14:paraId="0CA1FD9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kern w:val="0"/>
                <w:sz w:val="24"/>
                <w:highlight w:val="none"/>
              </w:rPr>
            </w:pPr>
            <w:r>
              <w:rPr>
                <w:rFonts w:hint="default" w:ascii="Times New Roman" w:hAnsi="Times New Roman" w:eastAsia="宋体" w:cs="Times New Roman"/>
                <w:color w:val="auto"/>
                <w:kern w:val="0"/>
                <w:sz w:val="24"/>
                <w:highlight w:val="none"/>
                <w:lang w:val="en-US" w:eastAsia="zh-CN"/>
              </w:rPr>
              <w:t>马头镇：</w:t>
            </w:r>
            <w:r>
              <w:rPr>
                <w:rFonts w:hint="default" w:ascii="Times New Roman" w:hAnsi="Times New Roman" w:eastAsia="宋体" w:cs="Times New Roman"/>
                <w:color w:val="auto"/>
                <w:kern w:val="0"/>
                <w:sz w:val="24"/>
                <w:highlight w:val="none"/>
              </w:rPr>
              <w:t>本次规划修改共调整地块78块，总面积197.0028公顷，其中：有条件建设区调整为允许建设区13块，面积20.2209公顷；限制建设区调整为允许建设区41块，面积76.9232公顷；限制建设区调整为有条件建设区2块，面积25.5740公顷；允许建设区调整为有条件建设区5块，面积18.0919公顷；允许建设区调整为限制建设区17块，面积56.1928公顷。调出地块均为未批未用地块。</w:t>
            </w:r>
          </w:p>
          <w:p w14:paraId="3C24B3D9">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kern w:val="0"/>
                <w:sz w:val="24"/>
                <w:highlight w:val="none"/>
              </w:rPr>
            </w:pPr>
            <w:r>
              <w:rPr>
                <w:rFonts w:hint="default" w:ascii="Times New Roman" w:hAnsi="Times New Roman" w:eastAsia="宋体" w:cs="Times New Roman"/>
                <w:color w:val="auto"/>
                <w:kern w:val="0"/>
                <w:sz w:val="24"/>
                <w:highlight w:val="none"/>
              </w:rPr>
              <w:t>规划修改将91.6183公顷一般农地区调整为城镇建设用地区、24.7867公顷一般农地区不作调整；将3.3233公林业用地区调整为城镇建设用地区；将2.2025公顷其他用地区调整为城镇建设用地区、0.7873公顷其他用地区不作调整；将18.0920公城镇建设用地区调整为一般农地区；将56.1927公村镇建设用地区调整为一般农地区。</w:t>
            </w:r>
          </w:p>
          <w:p w14:paraId="50EB075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kern w:val="0"/>
                <w:sz w:val="24"/>
                <w:highlight w:val="none"/>
              </w:rPr>
            </w:pPr>
            <w:r>
              <w:rPr>
                <w:rFonts w:hint="default" w:ascii="Times New Roman" w:hAnsi="Times New Roman" w:eastAsia="宋体" w:cs="Times New Roman"/>
                <w:color w:val="auto"/>
                <w:kern w:val="0"/>
                <w:sz w:val="24"/>
                <w:highlight w:val="none"/>
              </w:rPr>
              <w:t>规划修改后，一般农地区减17.3336公顷，其他用地区减少2.2025公顷，城镇建设用地区面积增加79.0521公顷，村镇建设用地区减少56.1927公顷，林业用地区减少3.3233公顷。</w:t>
            </w:r>
          </w:p>
          <w:p w14:paraId="7437AF62">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both"/>
              <w:textAlignment w:val="auto"/>
              <w:rPr>
                <w:color w:val="auto"/>
                <w:sz w:val="24"/>
              </w:rPr>
            </w:pPr>
            <w:r>
              <w:rPr>
                <w:rFonts w:hint="eastAsia" w:ascii="Times New Roman" w:hAnsi="Times New Roman" w:eastAsia="宋体" w:cs="Times New Roman"/>
                <w:color w:val="auto"/>
                <w:kern w:val="0"/>
                <w:sz w:val="24"/>
                <w:highlight w:val="none"/>
              </w:rPr>
              <w:t>本项目为</w:t>
            </w:r>
            <w:r>
              <w:rPr>
                <w:rFonts w:hint="eastAsia" w:ascii="Times New Roman" w:hAnsi="Times New Roman" w:eastAsia="宋体" w:cs="Times New Roman"/>
                <w:color w:val="auto"/>
                <w:kern w:val="0"/>
                <w:sz w:val="24"/>
                <w:highlight w:val="none"/>
                <w:lang w:val="en-US" w:eastAsia="zh-CN"/>
              </w:rPr>
              <w:t>五金工具加工</w:t>
            </w:r>
            <w:r>
              <w:rPr>
                <w:rFonts w:hint="eastAsia" w:ascii="Times New Roman" w:hAnsi="Times New Roman" w:eastAsia="宋体" w:cs="Times New Roman"/>
                <w:color w:val="auto"/>
                <w:kern w:val="0"/>
                <w:sz w:val="24"/>
                <w:highlight w:val="none"/>
              </w:rPr>
              <w:t>项目，属于</w:t>
            </w:r>
            <w:r>
              <w:rPr>
                <w:rFonts w:hint="default" w:ascii="Times New Roman" w:hAnsi="Times New Roman" w:eastAsia="宋体" w:cs="Times New Roman"/>
                <w:color w:val="auto"/>
                <w:kern w:val="0"/>
                <w:sz w:val="24"/>
                <w:highlight w:val="none"/>
              </w:rPr>
              <w:t>C3062 玻璃纤维增强塑料制品制造</w:t>
            </w:r>
            <w:r>
              <w:rPr>
                <w:rFonts w:hint="eastAsia" w:ascii="Times New Roman" w:hAnsi="Times New Roman" w:eastAsia="宋体" w:cs="Times New Roman"/>
                <w:color w:val="auto"/>
                <w:kern w:val="0"/>
                <w:sz w:val="24"/>
                <w:highlight w:val="none"/>
              </w:rPr>
              <w:t>、</w:t>
            </w:r>
            <w:r>
              <w:rPr>
                <w:rFonts w:hint="default" w:ascii="Times New Roman" w:hAnsi="Times New Roman" w:eastAsia="宋体" w:cs="Times New Roman"/>
                <w:color w:val="auto"/>
                <w:kern w:val="0"/>
                <w:sz w:val="24"/>
                <w:highlight w:val="none"/>
              </w:rPr>
              <w:t>C3322手工具制造、C3323 农用及园林用金属工具制造</w:t>
            </w:r>
            <w:r>
              <w:rPr>
                <w:rFonts w:hint="eastAsia" w:ascii="Times New Roman" w:hAnsi="Times New Roman" w:eastAsia="宋体" w:cs="Times New Roman"/>
                <w:color w:val="auto"/>
                <w:kern w:val="0"/>
                <w:sz w:val="24"/>
                <w:highlight w:val="none"/>
              </w:rPr>
              <w:t>，位于</w:t>
            </w:r>
            <w:r>
              <w:rPr>
                <w:rFonts w:hint="eastAsia" w:ascii="Times New Roman" w:hAnsi="Times New Roman" w:eastAsia="宋体" w:cs="Times New Roman"/>
                <w:color w:val="auto"/>
                <w:kern w:val="0"/>
                <w:sz w:val="24"/>
                <w:highlight w:val="none"/>
                <w:lang w:val="en-US" w:eastAsia="zh-CN"/>
              </w:rPr>
              <w:t>淮安市淮阴区马头镇东港路一号</w:t>
            </w:r>
            <w:r>
              <w:rPr>
                <w:rFonts w:hint="eastAsia" w:cs="Times New Roman"/>
                <w:color w:val="auto"/>
                <w:kern w:val="0"/>
                <w:sz w:val="24"/>
                <w:highlight w:val="none"/>
                <w:lang w:val="en-US" w:eastAsia="zh-CN"/>
              </w:rPr>
              <w:t>。</w:t>
            </w:r>
            <w:r>
              <w:rPr>
                <w:rFonts w:hint="eastAsia" w:ascii="Times New Roman" w:hAnsi="Times New Roman" w:eastAsia="宋体" w:cs="Times New Roman"/>
                <w:color w:val="auto"/>
                <w:kern w:val="0"/>
                <w:sz w:val="24"/>
                <w:highlight w:val="none"/>
                <w:lang w:val="en-US" w:eastAsia="zh-CN"/>
              </w:rPr>
              <w:t>根据附件</w:t>
            </w:r>
            <w:r>
              <w:rPr>
                <w:rFonts w:hint="eastAsia" w:cs="Times New Roman"/>
                <w:color w:val="auto"/>
                <w:kern w:val="0"/>
                <w:sz w:val="24"/>
                <w:highlight w:val="none"/>
                <w:lang w:val="en-US" w:eastAsia="zh-CN"/>
              </w:rPr>
              <w:t>6</w:t>
            </w:r>
            <w:r>
              <w:rPr>
                <w:rFonts w:hint="eastAsia" w:ascii="Times New Roman" w:hAnsi="Times New Roman" w:eastAsia="宋体" w:cs="Times New Roman"/>
                <w:color w:val="auto"/>
                <w:kern w:val="0"/>
                <w:sz w:val="24"/>
                <w:highlight w:val="none"/>
                <w:lang w:val="en-US" w:eastAsia="zh-CN"/>
              </w:rPr>
              <w:t>淮安市淮阴区马头镇人民政府出具的证明</w:t>
            </w:r>
            <w:r>
              <w:rPr>
                <w:rFonts w:hint="eastAsia" w:cs="Times New Roman"/>
                <w:color w:val="auto"/>
                <w:kern w:val="0"/>
                <w:sz w:val="24"/>
                <w:highlight w:val="none"/>
                <w:lang w:val="en-US" w:eastAsia="zh-CN"/>
              </w:rPr>
              <w:t>（关于淮安市鸣锋工具有限公司五金工具加工项目的情况说明）</w:t>
            </w:r>
            <w:r>
              <w:rPr>
                <w:rFonts w:hint="eastAsia" w:ascii="Times New Roman" w:hAnsi="Times New Roman" w:eastAsia="宋体" w:cs="Times New Roman"/>
                <w:color w:val="auto"/>
                <w:kern w:val="0"/>
                <w:sz w:val="24"/>
                <w:highlight w:val="none"/>
                <w:lang w:val="en-US" w:eastAsia="zh-CN"/>
              </w:rPr>
              <w:t>，项目所在地</w:t>
            </w:r>
            <w:r>
              <w:rPr>
                <w:rFonts w:hint="eastAsia" w:cs="Times New Roman"/>
                <w:color w:val="auto"/>
                <w:kern w:val="0"/>
                <w:sz w:val="24"/>
                <w:highlight w:val="none"/>
                <w:lang w:val="en-US" w:eastAsia="zh-CN"/>
              </w:rPr>
              <w:t>属于马头镇原工业集中区，后续将纳入马头镇张庄镇村工业集中区。</w:t>
            </w:r>
            <w:r>
              <w:rPr>
                <w:rFonts w:hint="eastAsia" w:ascii="Times New Roman" w:hAnsi="Times New Roman" w:eastAsia="宋体" w:cs="Times New Roman"/>
                <w:color w:val="auto"/>
                <w:kern w:val="0"/>
                <w:sz w:val="24"/>
                <w:highlight w:val="none"/>
                <w:lang w:val="en-US" w:eastAsia="zh-CN"/>
              </w:rPr>
              <w:t>根据附件</w:t>
            </w:r>
            <w:r>
              <w:rPr>
                <w:rFonts w:hint="eastAsia" w:cs="Times New Roman"/>
                <w:color w:val="auto"/>
                <w:kern w:val="0"/>
                <w:sz w:val="24"/>
                <w:highlight w:val="none"/>
                <w:lang w:val="en-US" w:eastAsia="zh-CN"/>
              </w:rPr>
              <w:t>7</w:t>
            </w:r>
            <w:r>
              <w:rPr>
                <w:rFonts w:hint="eastAsia" w:ascii="Times New Roman" w:hAnsi="Times New Roman" w:eastAsia="宋体" w:cs="Times New Roman"/>
                <w:color w:val="auto"/>
                <w:kern w:val="0"/>
                <w:sz w:val="24"/>
                <w:highlight w:val="none"/>
                <w:lang w:val="en-US" w:eastAsia="zh-CN"/>
              </w:rPr>
              <w:t>淮安市淮阴区马头镇人民政府</w:t>
            </w:r>
            <w:r>
              <w:rPr>
                <w:rFonts w:hint="eastAsia" w:cs="Times New Roman"/>
                <w:color w:val="auto"/>
                <w:kern w:val="0"/>
                <w:sz w:val="24"/>
                <w:highlight w:val="none"/>
                <w:lang w:val="en-US" w:eastAsia="zh-CN"/>
              </w:rPr>
              <w:t>、淮安市自然资源和规划局淮阴分局</w:t>
            </w:r>
            <w:r>
              <w:rPr>
                <w:rFonts w:hint="eastAsia" w:ascii="Times New Roman" w:hAnsi="Times New Roman" w:eastAsia="宋体" w:cs="Times New Roman"/>
                <w:color w:val="auto"/>
                <w:kern w:val="0"/>
                <w:sz w:val="24"/>
                <w:highlight w:val="none"/>
                <w:lang w:val="en-US" w:eastAsia="zh-CN"/>
              </w:rPr>
              <w:t>出具的证明</w:t>
            </w:r>
            <w:r>
              <w:rPr>
                <w:rFonts w:hint="eastAsia" w:cs="Times New Roman"/>
                <w:color w:val="auto"/>
                <w:kern w:val="0"/>
                <w:sz w:val="24"/>
                <w:highlight w:val="none"/>
                <w:lang w:val="en-US" w:eastAsia="zh-CN"/>
              </w:rPr>
              <w:t>，项目所在地</w:t>
            </w:r>
            <w:r>
              <w:rPr>
                <w:rFonts w:hint="eastAsia" w:ascii="Times New Roman" w:hAnsi="Times New Roman" w:eastAsia="宋体" w:cs="Times New Roman"/>
                <w:color w:val="auto"/>
                <w:kern w:val="0"/>
                <w:sz w:val="24"/>
                <w:highlight w:val="none"/>
                <w:lang w:eastAsia="zh-CN"/>
              </w:rPr>
              <w:t>用地性质为工业用地</w:t>
            </w:r>
            <w:r>
              <w:rPr>
                <w:rFonts w:hint="eastAsia" w:cs="Times New Roman"/>
                <w:color w:val="auto"/>
                <w:kern w:val="0"/>
                <w:sz w:val="24"/>
                <w:highlight w:val="none"/>
                <w:lang w:val="en-US" w:eastAsia="zh-CN"/>
              </w:rPr>
              <w:t>，</w:t>
            </w:r>
            <w:r>
              <w:rPr>
                <w:rFonts w:hint="eastAsia" w:ascii="Times New Roman" w:hAnsi="Times New Roman" w:eastAsia="宋体" w:cs="Times New Roman"/>
                <w:color w:val="auto"/>
                <w:kern w:val="0"/>
                <w:sz w:val="24"/>
                <w:highlight w:val="none"/>
              </w:rPr>
              <w:t>与</w:t>
            </w:r>
            <w:r>
              <w:rPr>
                <w:rFonts w:hint="eastAsia" w:ascii="Times New Roman" w:hAnsi="Times New Roman" w:eastAsia="宋体" w:cs="Times New Roman"/>
                <w:color w:val="auto"/>
                <w:kern w:val="0"/>
                <w:sz w:val="24"/>
                <w:highlight w:val="none"/>
                <w:lang w:val="en-US" w:eastAsia="zh-CN"/>
              </w:rPr>
              <w:t>土地</w:t>
            </w:r>
            <w:r>
              <w:rPr>
                <w:rFonts w:hint="eastAsia" w:ascii="Times New Roman" w:hAnsi="Times New Roman" w:eastAsia="宋体" w:cs="Times New Roman"/>
                <w:color w:val="auto"/>
                <w:kern w:val="0"/>
                <w:sz w:val="24"/>
                <w:highlight w:val="none"/>
              </w:rPr>
              <w:t>规划相符。</w:t>
            </w:r>
          </w:p>
        </w:tc>
      </w:tr>
      <w:tr w14:paraId="1738205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433" w:type="dxa"/>
            <w:vAlign w:val="center"/>
          </w:tcPr>
          <w:p w14:paraId="17381E7F">
            <w:pPr>
              <w:autoSpaceDE w:val="0"/>
              <w:autoSpaceDN w:val="0"/>
              <w:adjustRightInd w:val="0"/>
              <w:snapToGrid w:val="0"/>
              <w:jc w:val="center"/>
              <w:rPr>
                <w:color w:val="auto"/>
                <w:kern w:val="0"/>
                <w:sz w:val="24"/>
              </w:rPr>
            </w:pPr>
            <w:r>
              <w:rPr>
                <w:color w:val="auto"/>
                <w:kern w:val="0"/>
                <w:sz w:val="24"/>
              </w:rPr>
              <w:t>其他符合性分析</w:t>
            </w:r>
          </w:p>
        </w:tc>
        <w:tc>
          <w:tcPr>
            <w:tcW w:w="7391" w:type="dxa"/>
            <w:gridSpan w:val="3"/>
            <w:vAlign w:val="center"/>
          </w:tcPr>
          <w:p w14:paraId="17381E80">
            <w:pPr>
              <w:adjustRightInd w:val="0"/>
              <w:snapToGrid w:val="0"/>
              <w:spacing w:line="360" w:lineRule="auto"/>
              <w:ind w:firstLine="482" w:firstLineChars="200"/>
              <w:rPr>
                <w:b/>
                <w:bCs/>
                <w:color w:val="auto"/>
                <w:sz w:val="24"/>
              </w:rPr>
            </w:pPr>
            <w:r>
              <w:rPr>
                <w:b/>
                <w:color w:val="auto"/>
                <w:sz w:val="24"/>
              </w:rPr>
              <w:t>1</w:t>
            </w:r>
            <w:r>
              <w:rPr>
                <w:rFonts w:hint="eastAsia"/>
                <w:b/>
                <w:color w:val="auto"/>
                <w:sz w:val="24"/>
              </w:rPr>
              <w:t>、</w:t>
            </w:r>
            <w:r>
              <w:rPr>
                <w:rFonts w:hint="eastAsia"/>
                <w:b/>
                <w:bCs/>
                <w:color w:val="auto"/>
                <w:sz w:val="24"/>
              </w:rPr>
              <w:t>“</w:t>
            </w:r>
            <w:r>
              <w:rPr>
                <w:b/>
                <w:bCs/>
                <w:color w:val="auto"/>
                <w:sz w:val="24"/>
              </w:rPr>
              <w:t>三线一单</w:t>
            </w:r>
            <w:r>
              <w:rPr>
                <w:rFonts w:hint="eastAsia"/>
                <w:b/>
                <w:bCs/>
                <w:color w:val="auto"/>
                <w:sz w:val="24"/>
              </w:rPr>
              <w:t>”</w:t>
            </w:r>
            <w:r>
              <w:rPr>
                <w:b/>
                <w:bCs/>
                <w:color w:val="auto"/>
                <w:sz w:val="24"/>
              </w:rPr>
              <w:t>相符性分析</w:t>
            </w:r>
          </w:p>
          <w:p w14:paraId="17381E8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kern w:val="0"/>
                <w:sz w:val="24"/>
                <w:highlight w:val="none"/>
              </w:rPr>
            </w:pPr>
            <w:r>
              <w:rPr>
                <w:rFonts w:hint="default" w:ascii="Times New Roman" w:hAnsi="Times New Roman" w:eastAsia="宋体" w:cs="Times New Roman"/>
                <w:color w:val="auto"/>
                <w:kern w:val="0"/>
                <w:sz w:val="24"/>
                <w:highlight w:val="none"/>
              </w:rPr>
              <w:t>（1）生态红线</w:t>
            </w:r>
          </w:p>
          <w:p w14:paraId="3AEE8EA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kern w:val="0"/>
                <w:sz w:val="24"/>
                <w:highlight w:val="none"/>
              </w:rPr>
            </w:pPr>
            <w:r>
              <w:rPr>
                <w:rFonts w:hint="default" w:ascii="Times New Roman" w:hAnsi="Times New Roman" w:eastAsia="宋体" w:cs="Times New Roman"/>
                <w:color w:val="auto"/>
                <w:kern w:val="0"/>
                <w:sz w:val="24"/>
                <w:highlight w:val="none"/>
                <w:lang w:val="en-US" w:eastAsia="zh-CN"/>
              </w:rPr>
              <w:t>①本项目与</w:t>
            </w:r>
            <w:r>
              <w:rPr>
                <w:rFonts w:hint="default" w:ascii="Times New Roman" w:hAnsi="Times New Roman" w:eastAsia="宋体" w:cs="Times New Roman"/>
                <w:color w:val="auto"/>
                <w:kern w:val="0"/>
                <w:sz w:val="24"/>
                <w:highlight w:val="none"/>
              </w:rPr>
              <w:t>《省政府关于印发江苏省国家级生态保护红线规划的通知》</w:t>
            </w:r>
            <w:r>
              <w:rPr>
                <w:rFonts w:hint="default" w:ascii="Times New Roman" w:hAnsi="Times New Roman" w:eastAsia="宋体" w:cs="Times New Roman"/>
                <w:color w:val="auto"/>
                <w:kern w:val="0"/>
                <w:sz w:val="24"/>
                <w:highlight w:val="none"/>
                <w:lang w:eastAsia="zh-CN"/>
              </w:rPr>
              <w:t>（</w:t>
            </w:r>
            <w:r>
              <w:rPr>
                <w:rFonts w:hint="default" w:ascii="Times New Roman" w:hAnsi="Times New Roman" w:eastAsia="宋体" w:cs="Times New Roman"/>
                <w:color w:val="auto"/>
                <w:kern w:val="0"/>
                <w:sz w:val="24"/>
                <w:highlight w:val="none"/>
              </w:rPr>
              <w:t>苏政发[2018]74号</w:t>
            </w:r>
            <w:r>
              <w:rPr>
                <w:rFonts w:hint="default" w:ascii="Times New Roman" w:hAnsi="Times New Roman" w:eastAsia="宋体" w:cs="Times New Roman"/>
                <w:color w:val="auto"/>
                <w:kern w:val="0"/>
                <w:sz w:val="24"/>
                <w:highlight w:val="none"/>
                <w:lang w:eastAsia="zh-CN"/>
              </w:rPr>
              <w:t>）</w:t>
            </w:r>
            <w:r>
              <w:rPr>
                <w:rFonts w:hint="default" w:ascii="Times New Roman" w:hAnsi="Times New Roman" w:eastAsia="宋体" w:cs="Times New Roman"/>
                <w:color w:val="auto"/>
                <w:kern w:val="0"/>
                <w:sz w:val="24"/>
                <w:highlight w:val="none"/>
              </w:rPr>
              <w:t>相符性分析</w:t>
            </w:r>
          </w:p>
          <w:p w14:paraId="59F9A50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color w:val="auto"/>
                <w:kern w:val="0"/>
                <w:sz w:val="24"/>
                <w:highlight w:val="none"/>
              </w:rPr>
            </w:pPr>
            <w:r>
              <w:rPr>
                <w:rFonts w:hint="default" w:ascii="Times New Roman" w:hAnsi="Times New Roman" w:eastAsia="宋体" w:cs="Times New Roman"/>
                <w:color w:val="auto"/>
                <w:kern w:val="0"/>
                <w:sz w:val="24"/>
                <w:highlight w:val="none"/>
                <w:lang w:val="en-US" w:eastAsia="zh-CN"/>
              </w:rPr>
              <w:t>本项目</w:t>
            </w:r>
            <w:r>
              <w:rPr>
                <w:rFonts w:hint="default" w:ascii="Times New Roman" w:hAnsi="Times New Roman" w:eastAsia="宋体" w:cs="Times New Roman"/>
                <w:color w:val="auto"/>
                <w:kern w:val="0"/>
                <w:sz w:val="24"/>
                <w:highlight w:val="none"/>
              </w:rPr>
              <w:t>与《省政府关于印发江苏省国家级生态保护红线规划的通知》</w:t>
            </w:r>
            <w:r>
              <w:rPr>
                <w:rFonts w:hint="default" w:ascii="Times New Roman" w:hAnsi="Times New Roman" w:eastAsia="宋体" w:cs="Times New Roman"/>
                <w:color w:val="auto"/>
                <w:kern w:val="0"/>
                <w:sz w:val="24"/>
                <w:highlight w:val="none"/>
                <w:lang w:eastAsia="zh-CN"/>
              </w:rPr>
              <w:t>（</w:t>
            </w:r>
            <w:r>
              <w:rPr>
                <w:rFonts w:hint="default" w:ascii="Times New Roman" w:hAnsi="Times New Roman" w:eastAsia="宋体" w:cs="Times New Roman"/>
                <w:color w:val="auto"/>
                <w:kern w:val="0"/>
                <w:sz w:val="24"/>
                <w:highlight w:val="none"/>
              </w:rPr>
              <w:t>苏政发[2018]74号</w:t>
            </w:r>
            <w:r>
              <w:rPr>
                <w:rFonts w:hint="default" w:ascii="Times New Roman" w:hAnsi="Times New Roman" w:eastAsia="宋体" w:cs="Times New Roman"/>
                <w:color w:val="auto"/>
                <w:kern w:val="0"/>
                <w:sz w:val="24"/>
                <w:highlight w:val="none"/>
                <w:lang w:eastAsia="zh-CN"/>
              </w:rPr>
              <w:t>）</w:t>
            </w:r>
            <w:r>
              <w:rPr>
                <w:rFonts w:hint="default" w:ascii="Times New Roman" w:hAnsi="Times New Roman" w:eastAsia="宋体" w:cs="Times New Roman"/>
                <w:color w:val="auto"/>
                <w:kern w:val="0"/>
                <w:sz w:val="24"/>
                <w:highlight w:val="none"/>
              </w:rPr>
              <w:t>相符性分析</w:t>
            </w:r>
            <w:r>
              <w:rPr>
                <w:rFonts w:hint="default" w:ascii="Times New Roman" w:hAnsi="Times New Roman" w:eastAsia="宋体" w:cs="Times New Roman"/>
                <w:color w:val="auto"/>
                <w:kern w:val="0"/>
                <w:sz w:val="24"/>
                <w:highlight w:val="none"/>
                <w:lang w:val="en-US" w:eastAsia="zh-CN"/>
              </w:rPr>
              <w:t>详</w:t>
            </w:r>
            <w:r>
              <w:rPr>
                <w:rFonts w:hint="default" w:ascii="Times New Roman" w:hAnsi="Times New Roman" w:eastAsia="宋体" w:cs="Times New Roman"/>
                <w:color w:val="auto"/>
                <w:kern w:val="0"/>
                <w:sz w:val="24"/>
                <w:highlight w:val="none"/>
              </w:rPr>
              <w:t>见</w:t>
            </w:r>
            <w:r>
              <w:rPr>
                <w:rFonts w:hint="default" w:ascii="Times New Roman" w:hAnsi="Times New Roman" w:eastAsia="宋体" w:cs="Times New Roman"/>
                <w:color w:val="auto"/>
                <w:kern w:val="0"/>
                <w:sz w:val="24"/>
                <w:highlight w:val="none"/>
                <w:lang w:val="en-US" w:eastAsia="zh-CN"/>
              </w:rPr>
              <w:t>表1-1</w:t>
            </w:r>
            <w:r>
              <w:rPr>
                <w:rFonts w:hint="default" w:ascii="Times New Roman" w:hAnsi="Times New Roman" w:eastAsia="宋体" w:cs="Times New Roman"/>
                <w:color w:val="auto"/>
                <w:kern w:val="0"/>
                <w:sz w:val="24"/>
                <w:highlight w:val="none"/>
              </w:rPr>
              <w:t>。</w:t>
            </w:r>
          </w:p>
          <w:p w14:paraId="2EA900B0">
            <w:pPr>
              <w:widowControl/>
              <w:adjustRightInd w:val="0"/>
              <w:snapToGrid w:val="0"/>
              <w:jc w:val="center"/>
              <w:rPr>
                <w:rFonts w:ascii="Times New Roman" w:hAnsi="Times New Roman" w:eastAsia="宋体" w:cs="Times New Roman"/>
                <w:b/>
                <w:color w:val="auto"/>
                <w:kern w:val="0"/>
                <w:sz w:val="24"/>
                <w:lang w:val="en-US" w:eastAsia="zh-CN"/>
              </w:rPr>
            </w:pPr>
            <w:r>
              <w:rPr>
                <w:rFonts w:ascii="Times New Roman" w:hAnsi="Times New Roman" w:eastAsia="宋体" w:cs="Times New Roman"/>
                <w:b/>
                <w:color w:val="auto"/>
                <w:kern w:val="0"/>
                <w:sz w:val="24"/>
                <w:lang w:val="en-US" w:eastAsia="zh-CN"/>
              </w:rPr>
              <w:t>表</w:t>
            </w:r>
            <w:r>
              <w:rPr>
                <w:rFonts w:hint="eastAsia" w:ascii="Times New Roman" w:hAnsi="Times New Roman" w:eastAsia="宋体" w:cs="Times New Roman"/>
                <w:b/>
                <w:color w:val="auto"/>
                <w:kern w:val="0"/>
                <w:sz w:val="24"/>
                <w:lang w:val="en-US" w:eastAsia="zh-CN"/>
              </w:rPr>
              <w:t>1-1本</w:t>
            </w:r>
            <w:r>
              <w:rPr>
                <w:rFonts w:hint="default" w:ascii="Times New Roman" w:hAnsi="Times New Roman" w:eastAsia="宋体" w:cs="Times New Roman"/>
                <w:b/>
                <w:color w:val="auto"/>
                <w:kern w:val="0"/>
                <w:sz w:val="24"/>
              </w:rPr>
              <w:t>项目与《江苏省国家级生态保护红线规划》相符性分析</w:t>
            </w:r>
          </w:p>
          <w:tbl>
            <w:tblPr>
              <w:tblStyle w:val="88"/>
              <w:tblW w:w="5000" w:type="pct"/>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fixed"/>
              <w:tblCellMar>
                <w:top w:w="0" w:type="dxa"/>
                <w:left w:w="108" w:type="dxa"/>
                <w:bottom w:w="0" w:type="dxa"/>
                <w:right w:w="108" w:type="dxa"/>
              </w:tblCellMar>
            </w:tblPr>
            <w:tblGrid>
              <w:gridCol w:w="411"/>
              <w:gridCol w:w="411"/>
              <w:gridCol w:w="732"/>
              <w:gridCol w:w="699"/>
              <w:gridCol w:w="2539"/>
              <w:gridCol w:w="1012"/>
              <w:gridCol w:w="1371"/>
            </w:tblGrid>
            <w:tr w14:paraId="154DA360">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572" w:type="pct"/>
                  <w:gridSpan w:val="2"/>
                  <w:vAlign w:val="center"/>
                </w:tcPr>
                <w:p w14:paraId="0917E232">
                  <w:pPr>
                    <w:adjustRightInd w:val="0"/>
                    <w:snapToGrid w:val="0"/>
                    <w:jc w:val="center"/>
                    <w:rPr>
                      <w:b/>
                      <w:snapToGrid w:val="0"/>
                      <w:color w:val="auto"/>
                      <w:szCs w:val="21"/>
                    </w:rPr>
                  </w:pPr>
                  <w:r>
                    <w:rPr>
                      <w:b/>
                      <w:snapToGrid w:val="0"/>
                      <w:color w:val="auto"/>
                      <w:szCs w:val="21"/>
                    </w:rPr>
                    <w:t>所在行政区域</w:t>
                  </w:r>
                </w:p>
              </w:tc>
              <w:tc>
                <w:tcPr>
                  <w:tcW w:w="510" w:type="pct"/>
                  <w:vMerge w:val="restart"/>
                  <w:vAlign w:val="center"/>
                </w:tcPr>
                <w:p w14:paraId="744D4F89">
                  <w:pPr>
                    <w:adjustRightInd w:val="0"/>
                    <w:snapToGrid w:val="0"/>
                    <w:jc w:val="center"/>
                    <w:rPr>
                      <w:b/>
                      <w:snapToGrid w:val="0"/>
                      <w:color w:val="auto"/>
                      <w:szCs w:val="21"/>
                    </w:rPr>
                  </w:pPr>
                  <w:r>
                    <w:rPr>
                      <w:b/>
                      <w:snapToGrid w:val="0"/>
                      <w:color w:val="auto"/>
                      <w:szCs w:val="21"/>
                    </w:rPr>
                    <w:t>生态保护红线名称</w:t>
                  </w:r>
                </w:p>
              </w:tc>
              <w:tc>
                <w:tcPr>
                  <w:tcW w:w="487" w:type="pct"/>
                  <w:vMerge w:val="restart"/>
                  <w:vAlign w:val="center"/>
                </w:tcPr>
                <w:p w14:paraId="54F11D86">
                  <w:pPr>
                    <w:adjustRightInd w:val="0"/>
                    <w:snapToGrid w:val="0"/>
                    <w:jc w:val="center"/>
                    <w:rPr>
                      <w:b/>
                      <w:snapToGrid w:val="0"/>
                      <w:color w:val="auto"/>
                      <w:szCs w:val="21"/>
                    </w:rPr>
                  </w:pPr>
                  <w:r>
                    <w:rPr>
                      <w:b/>
                      <w:snapToGrid w:val="0"/>
                      <w:color w:val="auto"/>
                      <w:szCs w:val="21"/>
                    </w:rPr>
                    <w:t>类型</w:t>
                  </w:r>
                </w:p>
              </w:tc>
              <w:tc>
                <w:tcPr>
                  <w:tcW w:w="1769" w:type="pct"/>
                  <w:vMerge w:val="restart"/>
                  <w:vAlign w:val="center"/>
                </w:tcPr>
                <w:p w14:paraId="4106871B">
                  <w:pPr>
                    <w:adjustRightInd w:val="0"/>
                    <w:snapToGrid w:val="0"/>
                    <w:jc w:val="center"/>
                    <w:rPr>
                      <w:b/>
                      <w:snapToGrid w:val="0"/>
                      <w:color w:val="auto"/>
                      <w:szCs w:val="21"/>
                    </w:rPr>
                  </w:pPr>
                  <w:r>
                    <w:rPr>
                      <w:b/>
                      <w:snapToGrid w:val="0"/>
                      <w:color w:val="auto"/>
                      <w:szCs w:val="21"/>
                    </w:rPr>
                    <w:t>地理位置</w:t>
                  </w:r>
                </w:p>
              </w:tc>
              <w:tc>
                <w:tcPr>
                  <w:tcW w:w="705" w:type="pct"/>
                  <w:vMerge w:val="restart"/>
                  <w:vAlign w:val="center"/>
                </w:tcPr>
                <w:p w14:paraId="3279E017">
                  <w:pPr>
                    <w:adjustRightInd w:val="0"/>
                    <w:snapToGrid w:val="0"/>
                    <w:jc w:val="center"/>
                    <w:rPr>
                      <w:b/>
                      <w:snapToGrid w:val="0"/>
                      <w:color w:val="auto"/>
                      <w:szCs w:val="21"/>
                    </w:rPr>
                  </w:pPr>
                  <w:r>
                    <w:rPr>
                      <w:b/>
                      <w:snapToGrid w:val="0"/>
                      <w:color w:val="auto"/>
                      <w:szCs w:val="21"/>
                    </w:rPr>
                    <w:t>区域面积（平方公里）</w:t>
                  </w:r>
                </w:p>
              </w:tc>
              <w:tc>
                <w:tcPr>
                  <w:tcW w:w="955" w:type="pct"/>
                  <w:vMerge w:val="restart"/>
                  <w:vAlign w:val="center"/>
                </w:tcPr>
                <w:p w14:paraId="08969E90">
                  <w:pPr>
                    <w:adjustRightInd w:val="0"/>
                    <w:snapToGrid w:val="0"/>
                    <w:jc w:val="center"/>
                    <w:rPr>
                      <w:b/>
                      <w:color w:val="auto"/>
                      <w:szCs w:val="21"/>
                    </w:rPr>
                  </w:pPr>
                  <w:r>
                    <w:rPr>
                      <w:b/>
                      <w:color w:val="auto"/>
                      <w:szCs w:val="21"/>
                    </w:rPr>
                    <w:t>相符性分析</w:t>
                  </w:r>
                </w:p>
              </w:tc>
            </w:tr>
            <w:tr w14:paraId="0550BA92">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286" w:type="pct"/>
                  <w:vAlign w:val="center"/>
                </w:tcPr>
                <w:p w14:paraId="5E816208">
                  <w:pPr>
                    <w:adjustRightInd w:val="0"/>
                    <w:snapToGrid w:val="0"/>
                    <w:jc w:val="center"/>
                    <w:rPr>
                      <w:b/>
                      <w:snapToGrid w:val="0"/>
                      <w:color w:val="auto"/>
                      <w:szCs w:val="21"/>
                    </w:rPr>
                  </w:pPr>
                  <w:r>
                    <w:rPr>
                      <w:b/>
                      <w:snapToGrid w:val="0"/>
                      <w:color w:val="auto"/>
                      <w:szCs w:val="21"/>
                    </w:rPr>
                    <w:t>市级</w:t>
                  </w:r>
                </w:p>
              </w:tc>
              <w:tc>
                <w:tcPr>
                  <w:tcW w:w="286" w:type="pct"/>
                  <w:vAlign w:val="center"/>
                </w:tcPr>
                <w:p w14:paraId="249AA3AD">
                  <w:pPr>
                    <w:adjustRightInd w:val="0"/>
                    <w:snapToGrid w:val="0"/>
                    <w:jc w:val="center"/>
                    <w:rPr>
                      <w:b/>
                      <w:snapToGrid w:val="0"/>
                      <w:color w:val="auto"/>
                      <w:szCs w:val="21"/>
                    </w:rPr>
                  </w:pPr>
                  <w:r>
                    <w:rPr>
                      <w:b/>
                      <w:snapToGrid w:val="0"/>
                      <w:color w:val="auto"/>
                      <w:szCs w:val="21"/>
                    </w:rPr>
                    <w:t>县级</w:t>
                  </w:r>
                </w:p>
              </w:tc>
              <w:tc>
                <w:tcPr>
                  <w:tcW w:w="510" w:type="pct"/>
                  <w:vMerge w:val="continue"/>
                  <w:vAlign w:val="center"/>
                </w:tcPr>
                <w:p w14:paraId="5B85E45C">
                  <w:pPr>
                    <w:adjustRightInd w:val="0"/>
                    <w:snapToGrid w:val="0"/>
                    <w:jc w:val="center"/>
                    <w:rPr>
                      <w:snapToGrid w:val="0"/>
                      <w:color w:val="auto"/>
                      <w:szCs w:val="21"/>
                    </w:rPr>
                  </w:pPr>
                </w:p>
              </w:tc>
              <w:tc>
                <w:tcPr>
                  <w:tcW w:w="487" w:type="pct"/>
                  <w:vMerge w:val="continue"/>
                  <w:vAlign w:val="center"/>
                </w:tcPr>
                <w:p w14:paraId="3A968652">
                  <w:pPr>
                    <w:adjustRightInd w:val="0"/>
                    <w:snapToGrid w:val="0"/>
                    <w:jc w:val="center"/>
                    <w:rPr>
                      <w:snapToGrid w:val="0"/>
                      <w:color w:val="auto"/>
                      <w:szCs w:val="21"/>
                    </w:rPr>
                  </w:pPr>
                </w:p>
              </w:tc>
              <w:tc>
                <w:tcPr>
                  <w:tcW w:w="1769" w:type="pct"/>
                  <w:vMerge w:val="continue"/>
                  <w:vAlign w:val="center"/>
                </w:tcPr>
                <w:p w14:paraId="3BABDD05">
                  <w:pPr>
                    <w:adjustRightInd w:val="0"/>
                    <w:snapToGrid w:val="0"/>
                    <w:jc w:val="center"/>
                    <w:rPr>
                      <w:b/>
                      <w:snapToGrid w:val="0"/>
                      <w:color w:val="auto"/>
                      <w:szCs w:val="21"/>
                    </w:rPr>
                  </w:pPr>
                </w:p>
              </w:tc>
              <w:tc>
                <w:tcPr>
                  <w:tcW w:w="705" w:type="pct"/>
                  <w:vMerge w:val="continue"/>
                  <w:vAlign w:val="center"/>
                </w:tcPr>
                <w:p w14:paraId="4B4ACB81">
                  <w:pPr>
                    <w:adjustRightInd w:val="0"/>
                    <w:snapToGrid w:val="0"/>
                    <w:jc w:val="center"/>
                    <w:rPr>
                      <w:b/>
                      <w:snapToGrid w:val="0"/>
                      <w:color w:val="auto"/>
                      <w:szCs w:val="21"/>
                    </w:rPr>
                  </w:pPr>
                </w:p>
              </w:tc>
              <w:tc>
                <w:tcPr>
                  <w:tcW w:w="955" w:type="pct"/>
                  <w:vMerge w:val="continue"/>
                  <w:vAlign w:val="center"/>
                </w:tcPr>
                <w:p w14:paraId="0F6DE0AB">
                  <w:pPr>
                    <w:adjustRightInd w:val="0"/>
                    <w:snapToGrid w:val="0"/>
                    <w:jc w:val="center"/>
                    <w:rPr>
                      <w:color w:val="auto"/>
                      <w:szCs w:val="21"/>
                    </w:rPr>
                  </w:pPr>
                </w:p>
              </w:tc>
            </w:tr>
            <w:tr w14:paraId="36A176CD">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286" w:type="pct"/>
                  <w:vAlign w:val="center"/>
                </w:tcPr>
                <w:p w14:paraId="05121A3B">
                  <w:pPr>
                    <w:jc w:val="center"/>
                    <w:rPr>
                      <w:bCs/>
                      <w:color w:val="auto"/>
                      <w:szCs w:val="21"/>
                    </w:rPr>
                  </w:pPr>
                  <w:r>
                    <w:rPr>
                      <w:bCs/>
                      <w:color w:val="auto"/>
                      <w:szCs w:val="21"/>
                    </w:rPr>
                    <w:t>淮安市</w:t>
                  </w:r>
                </w:p>
              </w:tc>
              <w:tc>
                <w:tcPr>
                  <w:tcW w:w="286" w:type="pct"/>
                  <w:vAlign w:val="center"/>
                </w:tcPr>
                <w:p w14:paraId="2284FCD6">
                  <w:pPr>
                    <w:jc w:val="center"/>
                    <w:rPr>
                      <w:color w:val="auto"/>
                      <w:szCs w:val="21"/>
                    </w:rPr>
                  </w:pPr>
                  <w:r>
                    <w:rPr>
                      <w:color w:val="auto"/>
                      <w:szCs w:val="21"/>
                    </w:rPr>
                    <w:t>淮阴区</w:t>
                  </w:r>
                </w:p>
              </w:tc>
              <w:tc>
                <w:tcPr>
                  <w:tcW w:w="510" w:type="pct"/>
                  <w:vAlign w:val="center"/>
                </w:tcPr>
                <w:p w14:paraId="62E46872">
                  <w:pPr>
                    <w:autoSpaceDE w:val="0"/>
                    <w:autoSpaceDN w:val="0"/>
                    <w:adjustRightInd w:val="0"/>
                    <w:jc w:val="center"/>
                    <w:rPr>
                      <w:color w:val="auto"/>
                      <w:kern w:val="0"/>
                      <w:szCs w:val="21"/>
                    </w:rPr>
                  </w:pPr>
                  <w:r>
                    <w:rPr>
                      <w:color w:val="auto"/>
                      <w:kern w:val="0"/>
                      <w:szCs w:val="21"/>
                    </w:rPr>
                    <w:t>二河淮阴区饮用水水源保护区</w:t>
                  </w:r>
                </w:p>
              </w:tc>
              <w:tc>
                <w:tcPr>
                  <w:tcW w:w="487" w:type="pct"/>
                  <w:vAlign w:val="center"/>
                </w:tcPr>
                <w:p w14:paraId="6F87BAEC">
                  <w:pPr>
                    <w:autoSpaceDE w:val="0"/>
                    <w:autoSpaceDN w:val="0"/>
                    <w:adjustRightInd w:val="0"/>
                    <w:jc w:val="center"/>
                    <w:rPr>
                      <w:color w:val="auto"/>
                      <w:kern w:val="0"/>
                      <w:szCs w:val="21"/>
                    </w:rPr>
                  </w:pPr>
                  <w:r>
                    <w:rPr>
                      <w:color w:val="auto"/>
                      <w:kern w:val="0"/>
                      <w:szCs w:val="21"/>
                    </w:rPr>
                    <w:t>饮用水水源保护区</w:t>
                  </w:r>
                </w:p>
              </w:tc>
              <w:tc>
                <w:tcPr>
                  <w:tcW w:w="1769" w:type="pct"/>
                  <w:vAlign w:val="center"/>
                </w:tcPr>
                <w:p w14:paraId="33A7B0A1">
                  <w:pPr>
                    <w:autoSpaceDE w:val="0"/>
                    <w:autoSpaceDN w:val="0"/>
                    <w:adjustRightInd w:val="0"/>
                    <w:jc w:val="center"/>
                    <w:rPr>
                      <w:bCs/>
                      <w:color w:val="auto"/>
                      <w:kern w:val="0"/>
                      <w:szCs w:val="21"/>
                    </w:rPr>
                  </w:pPr>
                  <w:r>
                    <w:rPr>
                      <w:color w:val="auto"/>
                      <w:kern w:val="0"/>
                      <w:szCs w:val="21"/>
                    </w:rPr>
                    <w:t>一级保护区：取水口上游1000米至下游1000米，及其岸背水坡之间的水域范围和一级保护区水域与两岸背水坡堤脚之间的陆域范围</w:t>
                  </w:r>
                  <w:r>
                    <w:rPr>
                      <w:rFonts w:hint="eastAsia"/>
                      <w:color w:val="auto"/>
                      <w:kern w:val="0"/>
                      <w:szCs w:val="21"/>
                      <w:lang w:eastAsia="zh-CN"/>
                    </w:rPr>
                    <w:t>。</w:t>
                  </w:r>
                  <w:r>
                    <w:rPr>
                      <w:color w:val="auto"/>
                      <w:kern w:val="0"/>
                      <w:szCs w:val="21"/>
                    </w:rPr>
                    <w:t>二级保护区：自二河闸至淮阴闸段除一级保护区的水域范围和该水域与西岸纵深100米的陆域范围。</w:t>
                  </w:r>
                </w:p>
              </w:tc>
              <w:tc>
                <w:tcPr>
                  <w:tcW w:w="705" w:type="pct"/>
                  <w:vAlign w:val="center"/>
                </w:tcPr>
                <w:p w14:paraId="432FD1AD">
                  <w:pPr>
                    <w:adjustRightInd w:val="0"/>
                    <w:snapToGrid w:val="0"/>
                    <w:jc w:val="center"/>
                    <w:rPr>
                      <w:color w:val="auto"/>
                      <w:szCs w:val="21"/>
                    </w:rPr>
                  </w:pPr>
                  <w:r>
                    <w:rPr>
                      <w:color w:val="auto"/>
                      <w:szCs w:val="21"/>
                    </w:rPr>
                    <w:t>12.18</w:t>
                  </w:r>
                </w:p>
              </w:tc>
              <w:tc>
                <w:tcPr>
                  <w:tcW w:w="955" w:type="pct"/>
                  <w:vAlign w:val="center"/>
                </w:tcPr>
                <w:p w14:paraId="1C8BB4BD">
                  <w:pPr>
                    <w:adjustRightInd w:val="0"/>
                    <w:snapToGrid w:val="0"/>
                    <w:jc w:val="center"/>
                    <w:rPr>
                      <w:color w:val="auto"/>
                      <w:szCs w:val="21"/>
                    </w:rPr>
                  </w:pPr>
                  <w:r>
                    <w:rPr>
                      <w:rFonts w:hint="eastAsia"/>
                      <w:bCs/>
                      <w:color w:val="auto"/>
                      <w:kern w:val="0"/>
                      <w:szCs w:val="21"/>
                      <w:lang w:val="en-US" w:eastAsia="zh-CN"/>
                    </w:rPr>
                    <w:t>本</w:t>
                  </w:r>
                  <w:r>
                    <w:rPr>
                      <w:bCs/>
                      <w:color w:val="auto"/>
                      <w:kern w:val="0"/>
                      <w:szCs w:val="21"/>
                    </w:rPr>
                    <w:t>项目在生态红线西南侧，最近距离</w:t>
                  </w:r>
                  <w:r>
                    <w:rPr>
                      <w:rFonts w:hint="eastAsia"/>
                      <w:bCs/>
                      <w:color w:val="auto"/>
                      <w:kern w:val="0"/>
                      <w:szCs w:val="21"/>
                    </w:rPr>
                    <w:t>2.54</w:t>
                  </w:r>
                  <w:r>
                    <w:rPr>
                      <w:bCs/>
                      <w:color w:val="auto"/>
                      <w:kern w:val="0"/>
                      <w:szCs w:val="21"/>
                    </w:rPr>
                    <w:t>km</w:t>
                  </w:r>
                  <w:r>
                    <w:rPr>
                      <w:rFonts w:hint="eastAsia"/>
                      <w:bCs/>
                      <w:color w:val="auto"/>
                      <w:kern w:val="0"/>
                      <w:szCs w:val="21"/>
                      <w:lang w:val="en-US" w:eastAsia="zh-CN"/>
                    </w:rPr>
                    <w:t>左右</w:t>
                  </w:r>
                  <w:r>
                    <w:rPr>
                      <w:color w:val="auto"/>
                      <w:szCs w:val="21"/>
                    </w:rPr>
                    <w:t>，不在管控范围之内</w:t>
                  </w:r>
                </w:p>
              </w:tc>
            </w:tr>
          </w:tbl>
          <w:p w14:paraId="17381E8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ascii="Times New Roman" w:hAnsi="Times New Roman" w:cs="Times New Roman"/>
                <w:b w:val="0"/>
                <w:bCs/>
                <w:color w:val="auto"/>
              </w:rPr>
            </w:pPr>
            <w:r>
              <w:rPr>
                <w:rFonts w:hint="default" w:ascii="Times New Roman" w:hAnsi="Times New Roman" w:eastAsia="宋体" w:cs="Times New Roman"/>
                <w:color w:val="auto"/>
                <w:kern w:val="0"/>
                <w:sz w:val="24"/>
                <w:highlight w:val="none"/>
              </w:rPr>
              <w:t>由</w:t>
            </w:r>
            <w:r>
              <w:rPr>
                <w:rFonts w:hint="eastAsia" w:ascii="Times New Roman" w:hAnsi="Times New Roman" w:eastAsia="宋体" w:cs="Times New Roman"/>
                <w:color w:val="auto"/>
                <w:kern w:val="0"/>
                <w:sz w:val="24"/>
                <w:highlight w:val="none"/>
              </w:rPr>
              <w:t>上</w:t>
            </w:r>
            <w:r>
              <w:rPr>
                <w:rFonts w:hint="default" w:ascii="Times New Roman" w:hAnsi="Times New Roman" w:eastAsia="宋体" w:cs="Times New Roman"/>
                <w:color w:val="auto"/>
                <w:kern w:val="0"/>
                <w:sz w:val="24"/>
                <w:highlight w:val="none"/>
              </w:rPr>
              <w:t>表可知，</w:t>
            </w:r>
            <w:r>
              <w:rPr>
                <w:rFonts w:hint="eastAsia" w:ascii="Times New Roman" w:hAnsi="Times New Roman" w:eastAsia="宋体" w:cs="Times New Roman"/>
                <w:color w:val="auto"/>
                <w:kern w:val="0"/>
                <w:sz w:val="24"/>
                <w:highlight w:val="none"/>
                <w:lang w:val="en-US" w:eastAsia="zh-CN"/>
              </w:rPr>
              <w:t>本</w:t>
            </w:r>
            <w:r>
              <w:rPr>
                <w:rFonts w:hint="default" w:ascii="Times New Roman" w:hAnsi="Times New Roman" w:eastAsia="宋体" w:cs="Times New Roman"/>
                <w:color w:val="auto"/>
                <w:kern w:val="0"/>
                <w:sz w:val="24"/>
                <w:highlight w:val="none"/>
              </w:rPr>
              <w:t>项目距离最近的生态红线保护区为二河淮阴区饮用水水源保护区，</w:t>
            </w:r>
            <w:r>
              <w:rPr>
                <w:rFonts w:hint="eastAsia" w:ascii="Times New Roman" w:hAnsi="Times New Roman" w:eastAsia="宋体" w:cs="Times New Roman"/>
                <w:color w:val="auto"/>
                <w:kern w:val="0"/>
                <w:sz w:val="24"/>
                <w:highlight w:val="none"/>
                <w:lang w:val="en-US" w:eastAsia="zh-CN"/>
              </w:rPr>
              <w:t>最近</w:t>
            </w:r>
            <w:r>
              <w:rPr>
                <w:rFonts w:hint="default" w:ascii="Times New Roman" w:hAnsi="Times New Roman" w:eastAsia="宋体" w:cs="Times New Roman"/>
                <w:color w:val="auto"/>
                <w:kern w:val="0"/>
                <w:sz w:val="24"/>
                <w:highlight w:val="none"/>
              </w:rPr>
              <w:t>距离</w:t>
            </w:r>
            <w:r>
              <w:rPr>
                <w:rFonts w:hint="eastAsia" w:ascii="Times New Roman" w:hAnsi="Times New Roman" w:eastAsia="宋体" w:cs="Times New Roman"/>
                <w:color w:val="auto"/>
                <w:kern w:val="0"/>
                <w:sz w:val="24"/>
                <w:highlight w:val="none"/>
                <w:lang w:val="en-US" w:eastAsia="zh-CN"/>
              </w:rPr>
              <w:t>约2.54</w:t>
            </w:r>
            <w:r>
              <w:rPr>
                <w:rFonts w:hint="default" w:ascii="Times New Roman" w:hAnsi="Times New Roman" w:eastAsia="宋体" w:cs="Times New Roman"/>
                <w:color w:val="auto"/>
                <w:kern w:val="0"/>
                <w:sz w:val="24"/>
                <w:highlight w:val="none"/>
              </w:rPr>
              <w:t>km</w:t>
            </w:r>
            <w:r>
              <w:rPr>
                <w:rFonts w:hint="eastAsia" w:ascii="Times New Roman" w:hAnsi="Times New Roman" w:eastAsia="宋体" w:cs="Times New Roman"/>
                <w:color w:val="auto"/>
                <w:kern w:val="0"/>
                <w:sz w:val="24"/>
                <w:highlight w:val="none"/>
                <w:lang w:val="en-US" w:eastAsia="zh-CN"/>
              </w:rPr>
              <w:t>左右</w:t>
            </w:r>
            <w:r>
              <w:rPr>
                <w:rFonts w:hint="default" w:ascii="Times New Roman" w:hAnsi="Times New Roman" w:eastAsia="宋体" w:cs="Times New Roman"/>
                <w:color w:val="auto"/>
                <w:kern w:val="0"/>
                <w:sz w:val="24"/>
                <w:highlight w:val="none"/>
              </w:rPr>
              <w:t>，不在确定的江苏省</w:t>
            </w:r>
            <w:r>
              <w:rPr>
                <w:rFonts w:hint="eastAsia" w:ascii="Times New Roman" w:hAnsi="Times New Roman" w:eastAsia="宋体" w:cs="Times New Roman"/>
                <w:color w:val="auto"/>
                <w:kern w:val="0"/>
                <w:sz w:val="24"/>
                <w:highlight w:val="none"/>
                <w:lang w:val="en-US" w:eastAsia="zh-CN"/>
              </w:rPr>
              <w:t>国家级</w:t>
            </w:r>
            <w:r>
              <w:rPr>
                <w:rFonts w:hint="default" w:ascii="Times New Roman" w:hAnsi="Times New Roman" w:eastAsia="宋体" w:cs="Times New Roman"/>
                <w:color w:val="auto"/>
                <w:kern w:val="0"/>
                <w:sz w:val="24"/>
                <w:highlight w:val="none"/>
              </w:rPr>
              <w:t>生态红线区域范围之内，因此与江苏省国家级生态保护红线</w:t>
            </w:r>
            <w:r>
              <w:rPr>
                <w:rFonts w:hint="eastAsia" w:ascii="Times New Roman" w:hAnsi="Times New Roman" w:eastAsia="宋体" w:cs="Times New Roman"/>
                <w:color w:val="auto"/>
                <w:kern w:val="0"/>
                <w:sz w:val="24"/>
                <w:highlight w:val="none"/>
                <w:lang w:val="en-US" w:eastAsia="zh-CN"/>
              </w:rPr>
              <w:t>规划</w:t>
            </w:r>
            <w:r>
              <w:rPr>
                <w:rFonts w:hint="default" w:ascii="Times New Roman" w:hAnsi="Times New Roman" w:eastAsia="宋体" w:cs="Times New Roman"/>
                <w:color w:val="auto"/>
                <w:kern w:val="0"/>
                <w:sz w:val="24"/>
                <w:highlight w:val="none"/>
              </w:rPr>
              <w:t>相符。</w:t>
            </w:r>
            <w:r>
              <w:rPr>
                <w:rFonts w:hint="eastAsia" w:ascii="Times New Roman" w:hAnsi="Times New Roman" w:eastAsia="宋体" w:cs="Times New Roman"/>
                <w:color w:val="auto"/>
                <w:kern w:val="0"/>
                <w:sz w:val="24"/>
                <w:highlight w:val="none"/>
                <w:lang w:val="en-US" w:eastAsia="zh-CN"/>
              </w:rPr>
              <w:t>本</w:t>
            </w:r>
            <w:r>
              <w:rPr>
                <w:rFonts w:hint="default" w:ascii="Times New Roman" w:hAnsi="Times New Roman" w:eastAsia="宋体" w:cs="Times New Roman"/>
                <w:color w:val="auto"/>
                <w:kern w:val="0"/>
                <w:sz w:val="24"/>
                <w:highlight w:val="none"/>
              </w:rPr>
              <w:t>项目与生态红线位置关系详见附图</w:t>
            </w:r>
            <w:r>
              <w:rPr>
                <w:rFonts w:hint="eastAsia" w:ascii="Times New Roman" w:hAnsi="Times New Roman" w:eastAsia="宋体" w:cs="Times New Roman"/>
                <w:color w:val="auto"/>
                <w:kern w:val="0"/>
                <w:sz w:val="24"/>
                <w:highlight w:val="none"/>
              </w:rPr>
              <w:t>2</w:t>
            </w:r>
            <w:r>
              <w:rPr>
                <w:rFonts w:hint="default" w:ascii="Times New Roman" w:hAnsi="Times New Roman" w:eastAsia="宋体" w:cs="Times New Roman"/>
                <w:color w:val="auto"/>
                <w:kern w:val="0"/>
                <w:sz w:val="24"/>
                <w:highlight w:val="none"/>
              </w:rPr>
              <w:t>。</w:t>
            </w:r>
          </w:p>
          <w:p w14:paraId="129DCF3B">
            <w:pPr>
              <w:adjustRightInd w:val="0"/>
              <w:snapToGrid w:val="0"/>
              <w:spacing w:line="360" w:lineRule="auto"/>
              <w:ind w:firstLine="480" w:firstLineChars="200"/>
              <w:rPr>
                <w:color w:val="auto"/>
                <w:sz w:val="24"/>
              </w:rPr>
            </w:pPr>
            <w:r>
              <w:rPr>
                <w:color w:val="auto"/>
                <w:sz w:val="24"/>
              </w:rPr>
              <w:t>②</w:t>
            </w:r>
            <w:r>
              <w:rPr>
                <w:rFonts w:hint="eastAsia"/>
                <w:color w:val="auto"/>
                <w:sz w:val="24"/>
                <w:lang w:val="en-US" w:eastAsia="zh-CN"/>
              </w:rPr>
              <w:t>本项目</w:t>
            </w:r>
            <w:r>
              <w:rPr>
                <w:color w:val="auto"/>
                <w:sz w:val="24"/>
              </w:rPr>
              <w:t>与《江苏省生态空间管控区域规划》</w:t>
            </w:r>
            <w:r>
              <w:rPr>
                <w:rFonts w:hint="eastAsia"/>
                <w:color w:val="auto"/>
                <w:sz w:val="24"/>
                <w:lang w:eastAsia="zh-CN"/>
              </w:rPr>
              <w:t>（</w:t>
            </w:r>
            <w:r>
              <w:rPr>
                <w:color w:val="auto"/>
                <w:sz w:val="24"/>
              </w:rPr>
              <w:t>苏政发</w:t>
            </w:r>
            <w:r>
              <w:rPr>
                <w:rFonts w:hint="eastAsia"/>
                <w:color w:val="auto"/>
                <w:sz w:val="24"/>
                <w:lang w:val="en-US" w:eastAsia="zh-CN"/>
              </w:rPr>
              <w:t>[</w:t>
            </w:r>
            <w:r>
              <w:rPr>
                <w:color w:val="auto"/>
                <w:sz w:val="24"/>
              </w:rPr>
              <w:t>2020</w:t>
            </w:r>
            <w:r>
              <w:rPr>
                <w:rFonts w:hint="eastAsia"/>
                <w:color w:val="auto"/>
                <w:sz w:val="24"/>
                <w:lang w:val="en-US" w:eastAsia="zh-CN"/>
              </w:rPr>
              <w:t>]</w:t>
            </w:r>
            <w:r>
              <w:rPr>
                <w:color w:val="auto"/>
                <w:sz w:val="24"/>
              </w:rPr>
              <w:t>1号</w:t>
            </w:r>
            <w:r>
              <w:rPr>
                <w:rFonts w:hint="eastAsia"/>
                <w:color w:val="auto"/>
                <w:sz w:val="24"/>
                <w:lang w:eastAsia="zh-CN"/>
              </w:rPr>
              <w:t>）</w:t>
            </w:r>
            <w:r>
              <w:rPr>
                <w:color w:val="auto"/>
                <w:sz w:val="24"/>
              </w:rPr>
              <w:t>相符性分析</w:t>
            </w:r>
          </w:p>
          <w:p w14:paraId="10825F1E">
            <w:pPr>
              <w:adjustRightInd w:val="0"/>
              <w:snapToGrid w:val="0"/>
              <w:spacing w:line="360" w:lineRule="auto"/>
              <w:ind w:firstLine="480" w:firstLineChars="200"/>
              <w:rPr>
                <w:color w:val="auto"/>
                <w:sz w:val="24"/>
              </w:rPr>
            </w:pPr>
            <w:r>
              <w:rPr>
                <w:rFonts w:hint="eastAsia"/>
                <w:color w:val="auto"/>
                <w:sz w:val="24"/>
                <w:lang w:val="en-US" w:eastAsia="zh-CN"/>
              </w:rPr>
              <w:t>本</w:t>
            </w:r>
            <w:r>
              <w:rPr>
                <w:color w:val="auto"/>
                <w:sz w:val="24"/>
              </w:rPr>
              <w:t>项目与《江苏省生态空间管控区域规划》</w:t>
            </w:r>
            <w:r>
              <w:rPr>
                <w:rFonts w:hint="eastAsia"/>
                <w:color w:val="auto"/>
                <w:sz w:val="24"/>
                <w:lang w:eastAsia="zh-CN"/>
              </w:rPr>
              <w:t>（</w:t>
            </w:r>
            <w:r>
              <w:rPr>
                <w:color w:val="auto"/>
                <w:sz w:val="24"/>
              </w:rPr>
              <w:t>苏政发</w:t>
            </w:r>
            <w:r>
              <w:rPr>
                <w:rFonts w:hint="eastAsia"/>
                <w:color w:val="auto"/>
                <w:sz w:val="24"/>
                <w:lang w:val="en-US" w:eastAsia="zh-CN"/>
              </w:rPr>
              <w:t>[</w:t>
            </w:r>
            <w:r>
              <w:rPr>
                <w:color w:val="auto"/>
                <w:sz w:val="24"/>
              </w:rPr>
              <w:t>2020</w:t>
            </w:r>
            <w:r>
              <w:rPr>
                <w:rFonts w:hint="eastAsia"/>
                <w:color w:val="auto"/>
                <w:sz w:val="24"/>
                <w:lang w:val="en-US" w:eastAsia="zh-CN"/>
              </w:rPr>
              <w:t>]</w:t>
            </w:r>
            <w:r>
              <w:rPr>
                <w:color w:val="auto"/>
                <w:sz w:val="24"/>
              </w:rPr>
              <w:t>1号</w:t>
            </w:r>
            <w:r>
              <w:rPr>
                <w:rFonts w:hint="eastAsia"/>
                <w:color w:val="auto"/>
                <w:sz w:val="24"/>
                <w:lang w:eastAsia="zh-CN"/>
              </w:rPr>
              <w:t>）</w:t>
            </w:r>
            <w:r>
              <w:rPr>
                <w:color w:val="auto"/>
                <w:sz w:val="24"/>
              </w:rPr>
              <w:t>相符性分析</w:t>
            </w:r>
            <w:r>
              <w:rPr>
                <w:rFonts w:hint="eastAsia"/>
                <w:color w:val="auto"/>
                <w:sz w:val="24"/>
                <w:lang w:val="en-US" w:eastAsia="zh-CN"/>
              </w:rPr>
              <w:t>详</w:t>
            </w:r>
            <w:r>
              <w:rPr>
                <w:color w:val="auto"/>
                <w:sz w:val="24"/>
              </w:rPr>
              <w:t>见表</w:t>
            </w:r>
            <w:r>
              <w:rPr>
                <w:rFonts w:hint="eastAsia"/>
                <w:color w:val="auto"/>
                <w:sz w:val="24"/>
                <w:lang w:val="en-US" w:eastAsia="zh-CN"/>
              </w:rPr>
              <w:t>1-2</w:t>
            </w:r>
            <w:r>
              <w:rPr>
                <w:color w:val="auto"/>
                <w:sz w:val="24"/>
              </w:rPr>
              <w:t>。</w:t>
            </w:r>
          </w:p>
          <w:p w14:paraId="17381E83">
            <w:pPr>
              <w:adjustRightInd w:val="0"/>
              <w:snapToGrid w:val="0"/>
              <w:jc w:val="center"/>
              <w:rPr>
                <w:rFonts w:hint="default"/>
                <w:b/>
                <w:color w:val="auto"/>
                <w:sz w:val="24"/>
                <w:lang w:val="en-US"/>
              </w:rPr>
            </w:pPr>
            <w:r>
              <w:rPr>
                <w:b/>
                <w:color w:val="auto"/>
                <w:sz w:val="24"/>
              </w:rPr>
              <w:t>表</w:t>
            </w:r>
            <w:r>
              <w:rPr>
                <w:rFonts w:hint="eastAsia"/>
                <w:b/>
                <w:color w:val="auto"/>
                <w:sz w:val="24"/>
                <w:lang w:val="en-US" w:eastAsia="zh-CN"/>
              </w:rPr>
              <w:t>1-2</w:t>
            </w:r>
            <w:r>
              <w:rPr>
                <w:rFonts w:hint="eastAsia"/>
                <w:b/>
                <w:color w:val="auto"/>
                <w:sz w:val="24"/>
              </w:rPr>
              <w:t>本</w:t>
            </w:r>
            <w:r>
              <w:rPr>
                <w:b/>
                <w:color w:val="auto"/>
                <w:sz w:val="24"/>
              </w:rPr>
              <w:t>项目</w:t>
            </w:r>
            <w:r>
              <w:rPr>
                <w:rFonts w:hint="eastAsia"/>
                <w:b/>
                <w:color w:val="auto"/>
                <w:sz w:val="24"/>
                <w:lang w:val="en-US" w:eastAsia="zh-CN"/>
              </w:rPr>
              <w:t>与《江苏省生态空间管控区域规划》相符性分析</w:t>
            </w:r>
          </w:p>
          <w:tbl>
            <w:tblPr>
              <w:tblStyle w:val="88"/>
              <w:tblW w:w="7312"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10"/>
              <w:gridCol w:w="413"/>
              <w:gridCol w:w="1800"/>
              <w:gridCol w:w="1200"/>
              <w:gridCol w:w="750"/>
              <w:gridCol w:w="675"/>
              <w:gridCol w:w="806"/>
              <w:gridCol w:w="958"/>
            </w:tblGrid>
            <w:tr w14:paraId="30C5FE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845" w:hRule="atLeast"/>
                <w:jc w:val="center"/>
              </w:trPr>
              <w:tc>
                <w:tcPr>
                  <w:tcW w:w="710" w:type="dxa"/>
                  <w:vMerge w:val="restart"/>
                  <w:tcBorders>
                    <w:top w:val="single" w:color="auto" w:sz="12" w:space="0"/>
                  </w:tcBorders>
                  <w:vAlign w:val="center"/>
                </w:tcPr>
                <w:p w14:paraId="17381E85">
                  <w:pPr>
                    <w:adjustRightInd w:val="0"/>
                    <w:snapToGrid w:val="0"/>
                    <w:jc w:val="center"/>
                    <w:rPr>
                      <w:rFonts w:hint="default" w:eastAsia="宋体"/>
                      <w:b/>
                      <w:snapToGrid w:val="0"/>
                      <w:color w:val="auto"/>
                      <w:szCs w:val="21"/>
                      <w:lang w:val="en-US" w:eastAsia="zh-CN"/>
                    </w:rPr>
                  </w:pPr>
                  <w:r>
                    <w:rPr>
                      <w:rFonts w:hint="eastAsia"/>
                      <w:b/>
                      <w:snapToGrid w:val="0"/>
                      <w:color w:val="auto"/>
                      <w:szCs w:val="21"/>
                      <w:lang w:val="en-US" w:eastAsia="zh-CN"/>
                    </w:rPr>
                    <w:t>生态空间保护区域名称</w:t>
                  </w:r>
                </w:p>
              </w:tc>
              <w:tc>
                <w:tcPr>
                  <w:tcW w:w="413" w:type="dxa"/>
                  <w:vMerge w:val="restart"/>
                  <w:tcBorders>
                    <w:top w:val="single" w:color="auto" w:sz="12" w:space="0"/>
                  </w:tcBorders>
                  <w:vAlign w:val="center"/>
                </w:tcPr>
                <w:p w14:paraId="17381E87">
                  <w:pPr>
                    <w:adjustRightInd w:val="0"/>
                    <w:snapToGrid w:val="0"/>
                    <w:jc w:val="center"/>
                    <w:rPr>
                      <w:rFonts w:hint="default" w:eastAsia="宋体"/>
                      <w:b/>
                      <w:snapToGrid w:val="0"/>
                      <w:color w:val="auto"/>
                      <w:szCs w:val="21"/>
                      <w:lang w:val="en-US" w:eastAsia="zh-CN"/>
                    </w:rPr>
                  </w:pPr>
                  <w:r>
                    <w:rPr>
                      <w:rFonts w:hint="eastAsia"/>
                      <w:b/>
                      <w:snapToGrid w:val="0"/>
                      <w:color w:val="auto"/>
                      <w:szCs w:val="21"/>
                      <w:lang w:val="en-US" w:eastAsia="zh-CN"/>
                    </w:rPr>
                    <w:t>主导生态功能</w:t>
                  </w:r>
                </w:p>
              </w:tc>
              <w:tc>
                <w:tcPr>
                  <w:tcW w:w="3000" w:type="dxa"/>
                  <w:gridSpan w:val="2"/>
                  <w:tcBorders>
                    <w:top w:val="single" w:color="auto" w:sz="12" w:space="0"/>
                  </w:tcBorders>
                  <w:vAlign w:val="center"/>
                </w:tcPr>
                <w:p w14:paraId="17381E88">
                  <w:pPr>
                    <w:adjustRightInd w:val="0"/>
                    <w:snapToGrid w:val="0"/>
                    <w:jc w:val="center"/>
                    <w:rPr>
                      <w:b/>
                      <w:snapToGrid w:val="0"/>
                      <w:color w:val="auto"/>
                      <w:szCs w:val="21"/>
                    </w:rPr>
                  </w:pPr>
                  <w:r>
                    <w:rPr>
                      <w:b/>
                      <w:snapToGrid w:val="0"/>
                      <w:color w:val="auto"/>
                      <w:szCs w:val="21"/>
                    </w:rPr>
                    <w:t>范围</w:t>
                  </w:r>
                </w:p>
              </w:tc>
              <w:tc>
                <w:tcPr>
                  <w:tcW w:w="2231" w:type="dxa"/>
                  <w:gridSpan w:val="3"/>
                  <w:tcBorders>
                    <w:top w:val="single" w:color="auto" w:sz="12" w:space="0"/>
                  </w:tcBorders>
                  <w:vAlign w:val="center"/>
                </w:tcPr>
                <w:p w14:paraId="62E92537">
                  <w:pPr>
                    <w:adjustRightInd w:val="0"/>
                    <w:snapToGrid w:val="0"/>
                    <w:jc w:val="center"/>
                    <w:rPr>
                      <w:rFonts w:hint="eastAsia"/>
                      <w:b/>
                      <w:color w:val="auto"/>
                      <w:szCs w:val="21"/>
                      <w:lang w:val="en-US" w:eastAsia="zh-CN"/>
                    </w:rPr>
                  </w:pPr>
                  <w:r>
                    <w:rPr>
                      <w:rFonts w:hint="eastAsia"/>
                      <w:b/>
                      <w:color w:val="auto"/>
                      <w:szCs w:val="21"/>
                      <w:lang w:val="en-US" w:eastAsia="zh-CN"/>
                    </w:rPr>
                    <w:t>面积</w:t>
                  </w:r>
                </w:p>
                <w:p w14:paraId="3B7C96CF">
                  <w:pPr>
                    <w:adjustRightInd w:val="0"/>
                    <w:snapToGrid w:val="0"/>
                    <w:jc w:val="center"/>
                    <w:rPr>
                      <w:rFonts w:hint="eastAsia" w:eastAsia="宋体"/>
                      <w:b/>
                      <w:color w:val="auto"/>
                      <w:szCs w:val="21"/>
                      <w:lang w:val="en-US" w:eastAsia="zh-CN"/>
                    </w:rPr>
                  </w:pPr>
                  <w:r>
                    <w:rPr>
                      <w:rFonts w:hint="eastAsia"/>
                      <w:b/>
                      <w:color w:val="auto"/>
                      <w:szCs w:val="21"/>
                      <w:lang w:val="en-US" w:eastAsia="zh-CN"/>
                    </w:rPr>
                    <w:t>（平方公里）</w:t>
                  </w:r>
                </w:p>
              </w:tc>
              <w:tc>
                <w:tcPr>
                  <w:tcW w:w="958" w:type="dxa"/>
                  <w:vMerge w:val="restart"/>
                  <w:tcBorders>
                    <w:top w:val="single" w:color="auto" w:sz="12" w:space="0"/>
                  </w:tcBorders>
                  <w:vAlign w:val="center"/>
                </w:tcPr>
                <w:p w14:paraId="4BAB6031">
                  <w:pPr>
                    <w:adjustRightInd w:val="0"/>
                    <w:snapToGrid w:val="0"/>
                    <w:jc w:val="center"/>
                    <w:rPr>
                      <w:b/>
                      <w:color w:val="auto"/>
                      <w:szCs w:val="21"/>
                    </w:rPr>
                  </w:pPr>
                  <w:r>
                    <w:rPr>
                      <w:b/>
                      <w:color w:val="auto"/>
                      <w:szCs w:val="21"/>
                    </w:rPr>
                    <w:t>相符性分析</w:t>
                  </w:r>
                </w:p>
              </w:tc>
            </w:tr>
            <w:tr w14:paraId="34771D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10" w:type="dxa"/>
                  <w:vMerge w:val="continue"/>
                  <w:vAlign w:val="center"/>
                </w:tcPr>
                <w:p w14:paraId="17381E8B">
                  <w:pPr>
                    <w:adjustRightInd w:val="0"/>
                    <w:snapToGrid w:val="0"/>
                    <w:jc w:val="center"/>
                    <w:rPr>
                      <w:snapToGrid w:val="0"/>
                      <w:color w:val="auto"/>
                      <w:szCs w:val="21"/>
                    </w:rPr>
                  </w:pPr>
                </w:p>
              </w:tc>
              <w:tc>
                <w:tcPr>
                  <w:tcW w:w="413" w:type="dxa"/>
                  <w:vMerge w:val="continue"/>
                  <w:vAlign w:val="center"/>
                </w:tcPr>
                <w:p w14:paraId="17381E8C">
                  <w:pPr>
                    <w:adjustRightInd w:val="0"/>
                    <w:snapToGrid w:val="0"/>
                    <w:jc w:val="center"/>
                    <w:rPr>
                      <w:snapToGrid w:val="0"/>
                      <w:color w:val="auto"/>
                      <w:szCs w:val="21"/>
                    </w:rPr>
                  </w:pPr>
                </w:p>
              </w:tc>
              <w:tc>
                <w:tcPr>
                  <w:tcW w:w="1800" w:type="dxa"/>
                  <w:vAlign w:val="center"/>
                </w:tcPr>
                <w:p w14:paraId="17381E8D">
                  <w:pPr>
                    <w:adjustRightInd w:val="0"/>
                    <w:snapToGrid w:val="0"/>
                    <w:jc w:val="center"/>
                    <w:rPr>
                      <w:b/>
                      <w:snapToGrid w:val="0"/>
                      <w:color w:val="auto"/>
                      <w:szCs w:val="21"/>
                    </w:rPr>
                  </w:pPr>
                  <w:r>
                    <w:rPr>
                      <w:b/>
                      <w:snapToGrid w:val="0"/>
                      <w:color w:val="auto"/>
                      <w:szCs w:val="21"/>
                    </w:rPr>
                    <w:t>国家级生态保护红线范围</w:t>
                  </w:r>
                </w:p>
              </w:tc>
              <w:tc>
                <w:tcPr>
                  <w:tcW w:w="1200" w:type="dxa"/>
                  <w:vAlign w:val="center"/>
                </w:tcPr>
                <w:p w14:paraId="17381E8E">
                  <w:pPr>
                    <w:adjustRightInd w:val="0"/>
                    <w:snapToGrid w:val="0"/>
                    <w:jc w:val="center"/>
                    <w:rPr>
                      <w:b/>
                      <w:snapToGrid w:val="0"/>
                      <w:color w:val="auto"/>
                      <w:szCs w:val="21"/>
                    </w:rPr>
                  </w:pPr>
                  <w:r>
                    <w:rPr>
                      <w:b/>
                      <w:snapToGrid w:val="0"/>
                      <w:color w:val="auto"/>
                      <w:szCs w:val="21"/>
                    </w:rPr>
                    <w:t>生态空间管控区域范围</w:t>
                  </w:r>
                </w:p>
              </w:tc>
              <w:tc>
                <w:tcPr>
                  <w:tcW w:w="750" w:type="dxa"/>
                  <w:vAlign w:val="center"/>
                </w:tcPr>
                <w:p w14:paraId="17381E8F">
                  <w:pPr>
                    <w:adjustRightInd w:val="0"/>
                    <w:snapToGrid w:val="0"/>
                    <w:jc w:val="center"/>
                    <w:rPr>
                      <w:rFonts w:hint="default" w:eastAsia="宋体"/>
                      <w:b/>
                      <w:bCs/>
                      <w:color w:val="auto"/>
                      <w:szCs w:val="21"/>
                      <w:lang w:val="en-US" w:eastAsia="zh-CN"/>
                    </w:rPr>
                  </w:pPr>
                  <w:r>
                    <w:rPr>
                      <w:rFonts w:hint="eastAsia"/>
                      <w:b/>
                      <w:bCs/>
                      <w:color w:val="auto"/>
                      <w:szCs w:val="21"/>
                      <w:lang w:val="en-US" w:eastAsia="zh-CN"/>
                    </w:rPr>
                    <w:t>国家级生态保护红线面积</w:t>
                  </w:r>
                </w:p>
              </w:tc>
              <w:tc>
                <w:tcPr>
                  <w:tcW w:w="675" w:type="dxa"/>
                  <w:vAlign w:val="center"/>
                </w:tcPr>
                <w:p w14:paraId="623402D5">
                  <w:pPr>
                    <w:adjustRightInd w:val="0"/>
                    <w:snapToGrid w:val="0"/>
                    <w:jc w:val="center"/>
                    <w:rPr>
                      <w:rFonts w:hint="default" w:eastAsia="宋体"/>
                      <w:b/>
                      <w:bCs/>
                      <w:color w:val="auto"/>
                      <w:szCs w:val="21"/>
                      <w:lang w:val="en-US" w:eastAsia="zh-CN"/>
                    </w:rPr>
                  </w:pPr>
                  <w:r>
                    <w:rPr>
                      <w:rFonts w:hint="eastAsia"/>
                      <w:b/>
                      <w:bCs/>
                      <w:color w:val="auto"/>
                      <w:szCs w:val="21"/>
                      <w:lang w:val="en-US" w:eastAsia="zh-CN"/>
                    </w:rPr>
                    <w:t>生态空间管控区域面积</w:t>
                  </w:r>
                </w:p>
              </w:tc>
              <w:tc>
                <w:tcPr>
                  <w:tcW w:w="806" w:type="dxa"/>
                  <w:vAlign w:val="center"/>
                </w:tcPr>
                <w:p w14:paraId="2F2DEA2A">
                  <w:pPr>
                    <w:adjustRightInd w:val="0"/>
                    <w:snapToGrid w:val="0"/>
                    <w:jc w:val="center"/>
                    <w:rPr>
                      <w:rFonts w:hint="eastAsia" w:eastAsia="宋体"/>
                      <w:b/>
                      <w:bCs/>
                      <w:color w:val="auto"/>
                      <w:szCs w:val="21"/>
                      <w:lang w:val="en-US" w:eastAsia="zh-CN"/>
                    </w:rPr>
                  </w:pPr>
                  <w:r>
                    <w:rPr>
                      <w:rFonts w:hint="eastAsia"/>
                      <w:b/>
                      <w:bCs/>
                      <w:color w:val="auto"/>
                      <w:szCs w:val="21"/>
                      <w:lang w:val="en-US" w:eastAsia="zh-CN"/>
                    </w:rPr>
                    <w:t>总面积</w:t>
                  </w:r>
                </w:p>
              </w:tc>
              <w:tc>
                <w:tcPr>
                  <w:tcW w:w="958" w:type="dxa"/>
                  <w:vMerge w:val="continue"/>
                  <w:vAlign w:val="center"/>
                </w:tcPr>
                <w:p w14:paraId="6D40A2E9">
                  <w:pPr>
                    <w:adjustRightInd w:val="0"/>
                    <w:snapToGrid w:val="0"/>
                    <w:jc w:val="center"/>
                    <w:rPr>
                      <w:color w:val="auto"/>
                      <w:szCs w:val="21"/>
                    </w:rPr>
                  </w:pPr>
                </w:p>
              </w:tc>
            </w:tr>
            <w:tr w14:paraId="384F047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10" w:type="dxa"/>
                  <w:vAlign w:val="center"/>
                </w:tcPr>
                <w:p w14:paraId="17381E91">
                  <w:pPr>
                    <w:widowControl/>
                    <w:jc w:val="center"/>
                    <w:rPr>
                      <w:bCs/>
                      <w:color w:val="auto"/>
                      <w:kern w:val="0"/>
                      <w:szCs w:val="21"/>
                    </w:rPr>
                  </w:pPr>
                  <w:r>
                    <w:rPr>
                      <w:rFonts w:hint="eastAsia" w:ascii="宋体" w:hAnsi="宋体" w:cs="宋体"/>
                      <w:color w:val="auto"/>
                      <w:kern w:val="0"/>
                      <w:szCs w:val="21"/>
                      <w:lang w:bidi="ar"/>
                    </w:rPr>
                    <w:t>二河（淮阴区）饮用水水源保护区</w:t>
                  </w:r>
                </w:p>
              </w:tc>
              <w:tc>
                <w:tcPr>
                  <w:tcW w:w="413" w:type="dxa"/>
                  <w:vAlign w:val="center"/>
                </w:tcPr>
                <w:p w14:paraId="17381E92">
                  <w:pPr>
                    <w:autoSpaceDE w:val="0"/>
                    <w:autoSpaceDN w:val="0"/>
                    <w:adjustRightInd w:val="0"/>
                    <w:jc w:val="center"/>
                    <w:rPr>
                      <w:bCs/>
                      <w:color w:val="auto"/>
                      <w:kern w:val="0"/>
                      <w:szCs w:val="21"/>
                    </w:rPr>
                  </w:pPr>
                  <w:r>
                    <w:rPr>
                      <w:rFonts w:hint="eastAsia"/>
                      <w:bCs/>
                      <w:color w:val="auto"/>
                      <w:kern w:val="0"/>
                      <w:szCs w:val="21"/>
                    </w:rPr>
                    <w:t>水源水质保护</w:t>
                  </w:r>
                </w:p>
              </w:tc>
              <w:tc>
                <w:tcPr>
                  <w:tcW w:w="1800" w:type="dxa"/>
                  <w:vAlign w:val="center"/>
                </w:tcPr>
                <w:p w14:paraId="17381E93">
                  <w:pPr>
                    <w:widowControl/>
                    <w:jc w:val="center"/>
                    <w:rPr>
                      <w:bCs/>
                      <w:color w:val="auto"/>
                      <w:kern w:val="0"/>
                      <w:szCs w:val="21"/>
                    </w:rPr>
                  </w:pPr>
                  <w:r>
                    <w:rPr>
                      <w:rFonts w:hint="eastAsia" w:ascii="宋体" w:hAnsi="宋体" w:cs="宋体"/>
                      <w:color w:val="auto"/>
                      <w:kern w:val="0"/>
                      <w:szCs w:val="21"/>
                      <w:lang w:bidi="ar"/>
                    </w:rPr>
                    <w:t>一级保护区：取水口上游</w:t>
                  </w:r>
                  <w:r>
                    <w:rPr>
                      <w:color w:val="auto"/>
                      <w:kern w:val="0"/>
                      <w:szCs w:val="21"/>
                      <w:lang w:bidi="ar"/>
                    </w:rPr>
                    <w:t>1000</w:t>
                  </w:r>
                  <w:r>
                    <w:rPr>
                      <w:rFonts w:hint="eastAsia" w:ascii="宋体" w:hAnsi="宋体" w:cs="宋体"/>
                      <w:color w:val="auto"/>
                      <w:kern w:val="0"/>
                      <w:szCs w:val="21"/>
                      <w:lang w:bidi="ar"/>
                    </w:rPr>
                    <w:t>米至下游</w:t>
                  </w:r>
                  <w:r>
                    <w:rPr>
                      <w:color w:val="auto"/>
                      <w:kern w:val="0"/>
                      <w:szCs w:val="21"/>
                      <w:lang w:bidi="ar"/>
                    </w:rPr>
                    <w:t>1000</w:t>
                  </w:r>
                  <w:r>
                    <w:rPr>
                      <w:rFonts w:hint="eastAsia" w:ascii="宋体" w:hAnsi="宋体" w:cs="宋体"/>
                      <w:color w:val="auto"/>
                      <w:kern w:val="0"/>
                      <w:szCs w:val="21"/>
                      <w:lang w:bidi="ar"/>
                    </w:rPr>
                    <w:t>米，及其岸背水坡之间的水域范围和一级保护区水域与两岸背水坡堤脚之间的陆域范围。二级保护区：自二河闸至淮阴闸段除一级保护区的水域范围和该水域与西岸纵深</w:t>
                  </w:r>
                  <w:r>
                    <w:rPr>
                      <w:color w:val="auto"/>
                      <w:kern w:val="0"/>
                      <w:szCs w:val="21"/>
                      <w:lang w:bidi="ar"/>
                    </w:rPr>
                    <w:t>100</w:t>
                  </w:r>
                  <w:r>
                    <w:rPr>
                      <w:rFonts w:hint="eastAsia" w:ascii="宋体" w:hAnsi="宋体" w:cs="宋体"/>
                      <w:color w:val="auto"/>
                      <w:kern w:val="0"/>
                      <w:szCs w:val="21"/>
                      <w:lang w:bidi="ar"/>
                    </w:rPr>
                    <w:t>米的陆域范围。</w:t>
                  </w:r>
                </w:p>
              </w:tc>
              <w:tc>
                <w:tcPr>
                  <w:tcW w:w="1200" w:type="dxa"/>
                  <w:vAlign w:val="center"/>
                </w:tcPr>
                <w:p w14:paraId="17381E94">
                  <w:pPr>
                    <w:autoSpaceDE w:val="0"/>
                    <w:autoSpaceDN w:val="0"/>
                    <w:adjustRightInd w:val="0"/>
                    <w:jc w:val="center"/>
                    <w:rPr>
                      <w:bCs/>
                      <w:color w:val="auto"/>
                      <w:kern w:val="0"/>
                      <w:szCs w:val="21"/>
                    </w:rPr>
                  </w:pPr>
                  <w:r>
                    <w:rPr>
                      <w:bCs/>
                      <w:color w:val="auto"/>
                      <w:kern w:val="0"/>
                      <w:szCs w:val="21"/>
                    </w:rPr>
                    <w:t>/</w:t>
                  </w:r>
                </w:p>
              </w:tc>
              <w:tc>
                <w:tcPr>
                  <w:tcW w:w="750" w:type="dxa"/>
                  <w:vAlign w:val="center"/>
                </w:tcPr>
                <w:p w14:paraId="17381E95">
                  <w:pPr>
                    <w:autoSpaceDE w:val="0"/>
                    <w:autoSpaceDN w:val="0"/>
                    <w:adjustRightInd w:val="0"/>
                    <w:jc w:val="center"/>
                    <w:rPr>
                      <w:rFonts w:hint="default" w:eastAsia="宋体"/>
                      <w:bCs/>
                      <w:color w:val="auto"/>
                      <w:kern w:val="0"/>
                      <w:szCs w:val="21"/>
                      <w:lang w:val="en-US" w:eastAsia="zh-CN"/>
                    </w:rPr>
                  </w:pPr>
                  <w:r>
                    <w:rPr>
                      <w:rFonts w:hint="eastAsia"/>
                      <w:bCs/>
                      <w:color w:val="auto"/>
                      <w:kern w:val="0"/>
                      <w:szCs w:val="21"/>
                      <w:lang w:val="en-US" w:eastAsia="zh-CN"/>
                    </w:rPr>
                    <w:t>12.18</w:t>
                  </w:r>
                </w:p>
              </w:tc>
              <w:tc>
                <w:tcPr>
                  <w:tcW w:w="675" w:type="dxa"/>
                  <w:vAlign w:val="center"/>
                </w:tcPr>
                <w:p w14:paraId="78CB910A">
                  <w:pPr>
                    <w:autoSpaceDE w:val="0"/>
                    <w:autoSpaceDN w:val="0"/>
                    <w:adjustRightInd w:val="0"/>
                    <w:jc w:val="center"/>
                    <w:rPr>
                      <w:rFonts w:hint="default" w:eastAsia="宋体"/>
                      <w:bCs/>
                      <w:color w:val="auto"/>
                      <w:kern w:val="0"/>
                      <w:szCs w:val="21"/>
                      <w:lang w:val="en-US" w:eastAsia="zh-CN"/>
                    </w:rPr>
                  </w:pPr>
                  <w:r>
                    <w:rPr>
                      <w:rFonts w:hint="eastAsia"/>
                      <w:bCs/>
                      <w:color w:val="auto"/>
                      <w:kern w:val="0"/>
                      <w:szCs w:val="21"/>
                      <w:lang w:val="en-US" w:eastAsia="zh-CN"/>
                    </w:rPr>
                    <w:t>/</w:t>
                  </w:r>
                </w:p>
              </w:tc>
              <w:tc>
                <w:tcPr>
                  <w:tcW w:w="806" w:type="dxa"/>
                  <w:vAlign w:val="center"/>
                </w:tcPr>
                <w:p w14:paraId="79CACD2F">
                  <w:pPr>
                    <w:autoSpaceDE w:val="0"/>
                    <w:autoSpaceDN w:val="0"/>
                    <w:adjustRightInd w:val="0"/>
                    <w:jc w:val="center"/>
                    <w:rPr>
                      <w:rFonts w:hint="default" w:eastAsia="宋体"/>
                      <w:bCs/>
                      <w:color w:val="auto"/>
                      <w:kern w:val="0"/>
                      <w:szCs w:val="21"/>
                      <w:lang w:val="en-US" w:eastAsia="zh-CN"/>
                    </w:rPr>
                  </w:pPr>
                  <w:r>
                    <w:rPr>
                      <w:rFonts w:hint="eastAsia"/>
                      <w:bCs/>
                      <w:color w:val="auto"/>
                      <w:kern w:val="0"/>
                      <w:szCs w:val="21"/>
                      <w:lang w:val="en-US" w:eastAsia="zh-CN"/>
                    </w:rPr>
                    <w:t>12.18</w:t>
                  </w:r>
                </w:p>
              </w:tc>
              <w:tc>
                <w:tcPr>
                  <w:tcW w:w="958" w:type="dxa"/>
                  <w:vAlign w:val="center"/>
                </w:tcPr>
                <w:p w14:paraId="50FE7E14">
                  <w:pPr>
                    <w:autoSpaceDE w:val="0"/>
                    <w:autoSpaceDN w:val="0"/>
                    <w:adjustRightInd w:val="0"/>
                    <w:jc w:val="center"/>
                    <w:rPr>
                      <w:rFonts w:hint="eastAsia"/>
                      <w:bCs/>
                      <w:color w:val="auto"/>
                      <w:kern w:val="0"/>
                      <w:szCs w:val="21"/>
                    </w:rPr>
                  </w:pPr>
                  <w:r>
                    <w:rPr>
                      <w:rFonts w:hint="eastAsia"/>
                      <w:bCs/>
                      <w:color w:val="auto"/>
                      <w:kern w:val="0"/>
                      <w:szCs w:val="21"/>
                      <w:lang w:val="en-US" w:eastAsia="zh-CN"/>
                    </w:rPr>
                    <w:t>本</w:t>
                  </w:r>
                  <w:r>
                    <w:rPr>
                      <w:bCs/>
                      <w:color w:val="auto"/>
                      <w:kern w:val="0"/>
                      <w:szCs w:val="21"/>
                    </w:rPr>
                    <w:t>项目在生态</w:t>
                  </w:r>
                  <w:r>
                    <w:rPr>
                      <w:rFonts w:hint="eastAsia"/>
                      <w:bCs/>
                      <w:color w:val="auto"/>
                      <w:kern w:val="0"/>
                      <w:szCs w:val="21"/>
                      <w:lang w:val="en-US" w:eastAsia="zh-CN"/>
                    </w:rPr>
                    <w:t>保护</w:t>
                  </w:r>
                  <w:r>
                    <w:rPr>
                      <w:bCs/>
                      <w:color w:val="auto"/>
                      <w:kern w:val="0"/>
                      <w:szCs w:val="21"/>
                    </w:rPr>
                    <w:t>红线西南侧，最近距离</w:t>
                  </w:r>
                  <w:r>
                    <w:rPr>
                      <w:rFonts w:hint="eastAsia"/>
                      <w:bCs/>
                      <w:color w:val="auto"/>
                      <w:kern w:val="0"/>
                      <w:szCs w:val="21"/>
                    </w:rPr>
                    <w:t>2.54</w:t>
                  </w:r>
                </w:p>
                <w:p w14:paraId="5F2ECDB4">
                  <w:pPr>
                    <w:autoSpaceDE w:val="0"/>
                    <w:autoSpaceDN w:val="0"/>
                    <w:adjustRightInd w:val="0"/>
                    <w:jc w:val="center"/>
                    <w:rPr>
                      <w:rFonts w:hint="default" w:eastAsia="宋体"/>
                      <w:bCs/>
                      <w:color w:val="auto"/>
                      <w:kern w:val="0"/>
                      <w:szCs w:val="21"/>
                      <w:lang w:val="en-US" w:eastAsia="zh-CN"/>
                    </w:rPr>
                  </w:pPr>
                  <w:r>
                    <w:rPr>
                      <w:bCs/>
                      <w:color w:val="auto"/>
                      <w:kern w:val="0"/>
                      <w:szCs w:val="21"/>
                    </w:rPr>
                    <w:t>km</w:t>
                  </w:r>
                  <w:r>
                    <w:rPr>
                      <w:rFonts w:hint="eastAsia"/>
                      <w:bCs/>
                      <w:color w:val="auto"/>
                      <w:kern w:val="0"/>
                      <w:szCs w:val="21"/>
                      <w:lang w:val="en-US" w:eastAsia="zh-CN"/>
                    </w:rPr>
                    <w:t>左右，不在管控范围之内</w:t>
                  </w:r>
                </w:p>
              </w:tc>
            </w:tr>
            <w:tr w14:paraId="3AC66EB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10" w:type="dxa"/>
                  <w:vAlign w:val="center"/>
                </w:tcPr>
                <w:p w14:paraId="17381E97">
                  <w:pPr>
                    <w:widowControl/>
                    <w:jc w:val="center"/>
                    <w:rPr>
                      <w:rFonts w:hint="eastAsia" w:ascii="宋体" w:hAnsi="宋体" w:cs="宋体"/>
                      <w:color w:val="auto"/>
                      <w:kern w:val="0"/>
                      <w:szCs w:val="21"/>
                      <w:lang w:bidi="ar"/>
                    </w:rPr>
                  </w:pPr>
                  <w:r>
                    <w:rPr>
                      <w:rFonts w:hint="eastAsia" w:ascii="宋体" w:hAnsi="宋体" w:cs="宋体"/>
                      <w:color w:val="auto"/>
                      <w:kern w:val="0"/>
                      <w:szCs w:val="21"/>
                      <w:lang w:bidi="ar"/>
                    </w:rPr>
                    <w:t>京杭大运河（淮阴区）清水通道维护区</w:t>
                  </w:r>
                </w:p>
                <w:p w14:paraId="17381E98">
                  <w:pPr>
                    <w:autoSpaceDE w:val="0"/>
                    <w:autoSpaceDN w:val="0"/>
                    <w:adjustRightInd w:val="0"/>
                    <w:jc w:val="center"/>
                    <w:rPr>
                      <w:bCs/>
                      <w:color w:val="auto"/>
                      <w:kern w:val="0"/>
                      <w:szCs w:val="21"/>
                    </w:rPr>
                  </w:pPr>
                </w:p>
              </w:tc>
              <w:tc>
                <w:tcPr>
                  <w:tcW w:w="413" w:type="dxa"/>
                  <w:vAlign w:val="center"/>
                </w:tcPr>
                <w:p w14:paraId="17381E99">
                  <w:pPr>
                    <w:autoSpaceDE w:val="0"/>
                    <w:autoSpaceDN w:val="0"/>
                    <w:adjustRightInd w:val="0"/>
                    <w:jc w:val="center"/>
                    <w:rPr>
                      <w:bCs/>
                      <w:color w:val="auto"/>
                      <w:kern w:val="0"/>
                      <w:szCs w:val="21"/>
                    </w:rPr>
                  </w:pPr>
                  <w:r>
                    <w:rPr>
                      <w:bCs/>
                      <w:color w:val="auto"/>
                      <w:kern w:val="0"/>
                      <w:szCs w:val="21"/>
                    </w:rPr>
                    <w:t>水源水质保护</w:t>
                  </w:r>
                </w:p>
              </w:tc>
              <w:tc>
                <w:tcPr>
                  <w:tcW w:w="1800" w:type="dxa"/>
                  <w:vAlign w:val="center"/>
                </w:tcPr>
                <w:p w14:paraId="17381E9A">
                  <w:pPr>
                    <w:autoSpaceDE w:val="0"/>
                    <w:autoSpaceDN w:val="0"/>
                    <w:adjustRightInd w:val="0"/>
                    <w:jc w:val="center"/>
                    <w:rPr>
                      <w:bCs/>
                      <w:color w:val="auto"/>
                      <w:kern w:val="0"/>
                      <w:szCs w:val="21"/>
                    </w:rPr>
                  </w:pPr>
                  <w:r>
                    <w:rPr>
                      <w:rFonts w:hint="eastAsia"/>
                      <w:bCs/>
                      <w:color w:val="auto"/>
                      <w:kern w:val="0"/>
                      <w:szCs w:val="21"/>
                    </w:rPr>
                    <w:t>/</w:t>
                  </w:r>
                </w:p>
              </w:tc>
              <w:tc>
                <w:tcPr>
                  <w:tcW w:w="1200" w:type="dxa"/>
                  <w:vAlign w:val="center"/>
                </w:tcPr>
                <w:p w14:paraId="17381E9B">
                  <w:pPr>
                    <w:widowControl/>
                    <w:jc w:val="center"/>
                    <w:rPr>
                      <w:bCs/>
                      <w:color w:val="auto"/>
                      <w:kern w:val="0"/>
                      <w:szCs w:val="21"/>
                    </w:rPr>
                  </w:pPr>
                  <w:r>
                    <w:rPr>
                      <w:rFonts w:hint="eastAsia" w:ascii="宋体" w:hAnsi="宋体" w:cs="宋体"/>
                      <w:color w:val="auto"/>
                      <w:kern w:val="0"/>
                      <w:szCs w:val="21"/>
                      <w:lang w:bidi="ar"/>
                    </w:rPr>
                    <w:t>流经三树、吴城、凌桥、</w:t>
                  </w:r>
                  <w:r>
                    <w:rPr>
                      <w:rFonts w:hint="eastAsia" w:ascii="宋体" w:hAnsi="宋体" w:cs="宋体"/>
                      <w:color w:val="auto"/>
                      <w:kern w:val="0"/>
                      <w:szCs w:val="21"/>
                      <w:lang w:eastAsia="zh-CN" w:bidi="ar"/>
                    </w:rPr>
                    <w:t>马头</w:t>
                  </w:r>
                  <w:r>
                    <w:rPr>
                      <w:color w:val="auto"/>
                      <w:kern w:val="0"/>
                      <w:szCs w:val="21"/>
                      <w:lang w:bidi="ar"/>
                    </w:rPr>
                    <w:t>4</w:t>
                  </w:r>
                  <w:r>
                    <w:rPr>
                      <w:rFonts w:hint="eastAsia" w:ascii="宋体" w:hAnsi="宋体" w:cs="宋体"/>
                      <w:color w:val="auto"/>
                      <w:kern w:val="0"/>
                      <w:szCs w:val="21"/>
                      <w:lang w:bidi="ar"/>
                    </w:rPr>
                    <w:t>个乡镇，沿河有三坝、三岔、新堡、三园、豆办集、头庄、仲弓、双闸、许渡</w:t>
                  </w:r>
                  <w:r>
                    <w:rPr>
                      <w:color w:val="auto"/>
                      <w:kern w:val="0"/>
                      <w:szCs w:val="21"/>
                      <w:lang w:bidi="ar"/>
                    </w:rPr>
                    <w:t>9</w:t>
                  </w:r>
                  <w:r>
                    <w:rPr>
                      <w:rFonts w:hint="eastAsia" w:ascii="宋体" w:hAnsi="宋体" w:cs="宋体"/>
                      <w:color w:val="auto"/>
                      <w:kern w:val="0"/>
                      <w:szCs w:val="21"/>
                      <w:lang w:bidi="ar"/>
                    </w:rPr>
                    <w:t>个村。为大运河及两岸外侧</w:t>
                  </w:r>
                  <w:r>
                    <w:rPr>
                      <w:color w:val="auto"/>
                      <w:kern w:val="0"/>
                      <w:szCs w:val="21"/>
                      <w:lang w:bidi="ar"/>
                    </w:rPr>
                    <w:t>100</w:t>
                  </w:r>
                  <w:r>
                    <w:rPr>
                      <w:rFonts w:hint="eastAsia" w:ascii="宋体" w:hAnsi="宋体" w:cs="宋体"/>
                      <w:color w:val="auto"/>
                      <w:kern w:val="0"/>
                      <w:szCs w:val="21"/>
                      <w:lang w:bidi="ar"/>
                    </w:rPr>
                    <w:t>米范围</w:t>
                  </w:r>
                </w:p>
              </w:tc>
              <w:tc>
                <w:tcPr>
                  <w:tcW w:w="750" w:type="dxa"/>
                  <w:vAlign w:val="center"/>
                </w:tcPr>
                <w:p w14:paraId="17381E9C">
                  <w:pPr>
                    <w:autoSpaceDE w:val="0"/>
                    <w:autoSpaceDN w:val="0"/>
                    <w:adjustRightInd w:val="0"/>
                    <w:jc w:val="center"/>
                    <w:rPr>
                      <w:rFonts w:hint="eastAsia" w:eastAsia="宋体"/>
                      <w:bCs/>
                      <w:color w:val="auto"/>
                      <w:kern w:val="0"/>
                      <w:szCs w:val="21"/>
                      <w:lang w:val="en-US" w:eastAsia="zh-CN"/>
                    </w:rPr>
                  </w:pPr>
                  <w:r>
                    <w:rPr>
                      <w:rFonts w:hint="eastAsia"/>
                      <w:bCs/>
                      <w:color w:val="auto"/>
                      <w:kern w:val="0"/>
                      <w:szCs w:val="21"/>
                      <w:lang w:val="en-US" w:eastAsia="zh-CN"/>
                    </w:rPr>
                    <w:t>/</w:t>
                  </w:r>
                </w:p>
              </w:tc>
              <w:tc>
                <w:tcPr>
                  <w:tcW w:w="675" w:type="dxa"/>
                  <w:vAlign w:val="center"/>
                </w:tcPr>
                <w:p w14:paraId="678986D4">
                  <w:pPr>
                    <w:autoSpaceDE w:val="0"/>
                    <w:autoSpaceDN w:val="0"/>
                    <w:adjustRightInd w:val="0"/>
                    <w:jc w:val="center"/>
                    <w:rPr>
                      <w:rFonts w:hint="default" w:eastAsia="宋体"/>
                      <w:bCs/>
                      <w:color w:val="auto"/>
                      <w:kern w:val="0"/>
                      <w:szCs w:val="21"/>
                      <w:lang w:val="en-US" w:eastAsia="zh-CN"/>
                    </w:rPr>
                  </w:pPr>
                  <w:r>
                    <w:rPr>
                      <w:rFonts w:hint="eastAsia"/>
                      <w:bCs/>
                      <w:color w:val="auto"/>
                      <w:kern w:val="0"/>
                      <w:szCs w:val="21"/>
                      <w:lang w:val="en-US" w:eastAsia="zh-CN"/>
                    </w:rPr>
                    <w:t>5.74</w:t>
                  </w:r>
                </w:p>
              </w:tc>
              <w:tc>
                <w:tcPr>
                  <w:tcW w:w="806" w:type="dxa"/>
                  <w:vAlign w:val="center"/>
                </w:tcPr>
                <w:p w14:paraId="5C5BC195">
                  <w:pPr>
                    <w:autoSpaceDE w:val="0"/>
                    <w:autoSpaceDN w:val="0"/>
                    <w:adjustRightInd w:val="0"/>
                    <w:jc w:val="center"/>
                    <w:rPr>
                      <w:rFonts w:hint="default" w:eastAsia="宋体"/>
                      <w:bCs/>
                      <w:color w:val="auto"/>
                      <w:kern w:val="0"/>
                      <w:szCs w:val="21"/>
                      <w:lang w:val="en-US" w:eastAsia="zh-CN"/>
                    </w:rPr>
                  </w:pPr>
                  <w:r>
                    <w:rPr>
                      <w:rFonts w:hint="eastAsia"/>
                      <w:bCs/>
                      <w:color w:val="auto"/>
                      <w:kern w:val="0"/>
                      <w:szCs w:val="21"/>
                      <w:lang w:val="en-US" w:eastAsia="zh-CN"/>
                    </w:rPr>
                    <w:t>5.74</w:t>
                  </w:r>
                </w:p>
              </w:tc>
              <w:tc>
                <w:tcPr>
                  <w:tcW w:w="958" w:type="dxa"/>
                  <w:vAlign w:val="center"/>
                </w:tcPr>
                <w:p w14:paraId="1287138D">
                  <w:pPr>
                    <w:autoSpaceDE w:val="0"/>
                    <w:autoSpaceDN w:val="0"/>
                    <w:adjustRightInd w:val="0"/>
                    <w:jc w:val="center"/>
                    <w:rPr>
                      <w:rFonts w:hint="eastAsia"/>
                      <w:bCs/>
                      <w:color w:val="auto"/>
                      <w:kern w:val="0"/>
                      <w:szCs w:val="21"/>
                    </w:rPr>
                  </w:pPr>
                  <w:r>
                    <w:rPr>
                      <w:rFonts w:hint="eastAsia"/>
                      <w:bCs/>
                      <w:color w:val="auto"/>
                      <w:kern w:val="0"/>
                      <w:szCs w:val="21"/>
                      <w:lang w:val="en-US" w:eastAsia="zh-CN"/>
                    </w:rPr>
                    <w:t>本项目</w:t>
                  </w:r>
                  <w:r>
                    <w:rPr>
                      <w:bCs/>
                      <w:color w:val="auto"/>
                      <w:kern w:val="0"/>
                      <w:szCs w:val="21"/>
                    </w:rPr>
                    <w:t>在</w:t>
                  </w:r>
                  <w:r>
                    <w:rPr>
                      <w:rFonts w:hint="eastAsia"/>
                      <w:bCs/>
                      <w:color w:val="auto"/>
                      <w:kern w:val="0"/>
                      <w:szCs w:val="21"/>
                    </w:rPr>
                    <w:t>生态空间管控区域南</w:t>
                  </w:r>
                  <w:r>
                    <w:rPr>
                      <w:bCs/>
                      <w:color w:val="auto"/>
                      <w:kern w:val="0"/>
                      <w:szCs w:val="21"/>
                    </w:rPr>
                    <w:t>侧，最近距离</w:t>
                  </w:r>
                  <w:r>
                    <w:rPr>
                      <w:rFonts w:hint="eastAsia"/>
                      <w:bCs/>
                      <w:color w:val="auto"/>
                      <w:kern w:val="0"/>
                      <w:szCs w:val="21"/>
                    </w:rPr>
                    <w:t>3.04</w:t>
                  </w:r>
                </w:p>
                <w:p w14:paraId="7B7CF341">
                  <w:pPr>
                    <w:autoSpaceDE w:val="0"/>
                    <w:autoSpaceDN w:val="0"/>
                    <w:adjustRightInd w:val="0"/>
                    <w:jc w:val="center"/>
                    <w:rPr>
                      <w:rFonts w:hint="default" w:eastAsia="宋体"/>
                      <w:bCs/>
                      <w:color w:val="auto"/>
                      <w:kern w:val="0"/>
                      <w:szCs w:val="21"/>
                      <w:lang w:val="en-US" w:eastAsia="zh-CN"/>
                    </w:rPr>
                  </w:pPr>
                  <w:r>
                    <w:rPr>
                      <w:bCs/>
                      <w:color w:val="auto"/>
                      <w:kern w:val="0"/>
                      <w:szCs w:val="21"/>
                    </w:rPr>
                    <w:t>km</w:t>
                  </w:r>
                  <w:r>
                    <w:rPr>
                      <w:rFonts w:hint="eastAsia"/>
                      <w:bCs/>
                      <w:color w:val="auto"/>
                      <w:kern w:val="0"/>
                      <w:szCs w:val="21"/>
                      <w:lang w:val="en-US" w:eastAsia="zh-CN"/>
                    </w:rPr>
                    <w:t>左右，不在管控范围之内</w:t>
                  </w:r>
                </w:p>
              </w:tc>
            </w:tr>
          </w:tbl>
          <w:p w14:paraId="6E9C04A0">
            <w:pPr>
              <w:adjustRightInd w:val="0"/>
              <w:snapToGrid w:val="0"/>
              <w:spacing w:before="120" w:beforeLines="50" w:line="360" w:lineRule="auto"/>
              <w:ind w:firstLine="480" w:firstLineChars="200"/>
              <w:rPr>
                <w:rFonts w:hint="default" w:ascii="Times New Roman" w:hAnsi="Times New Roman" w:eastAsia="宋体" w:cs="Times New Roman"/>
                <w:color w:val="auto"/>
                <w:kern w:val="0"/>
                <w:sz w:val="24"/>
                <w:highlight w:val="none"/>
              </w:rPr>
            </w:pPr>
            <w:r>
              <w:rPr>
                <w:rFonts w:hint="default" w:ascii="Times New Roman" w:hAnsi="Times New Roman" w:eastAsia="宋体" w:cs="Times New Roman"/>
                <w:color w:val="auto"/>
                <w:kern w:val="0"/>
                <w:sz w:val="24"/>
                <w:highlight w:val="none"/>
              </w:rPr>
              <w:t>由</w:t>
            </w:r>
            <w:r>
              <w:rPr>
                <w:rFonts w:hint="eastAsia" w:ascii="Times New Roman" w:hAnsi="Times New Roman" w:eastAsia="宋体" w:cs="Times New Roman"/>
                <w:color w:val="auto"/>
                <w:kern w:val="0"/>
                <w:sz w:val="24"/>
                <w:highlight w:val="none"/>
              </w:rPr>
              <w:t>上</w:t>
            </w:r>
            <w:r>
              <w:rPr>
                <w:rFonts w:hint="default" w:ascii="Times New Roman" w:hAnsi="Times New Roman" w:eastAsia="宋体" w:cs="Times New Roman"/>
                <w:color w:val="auto"/>
                <w:kern w:val="0"/>
                <w:sz w:val="24"/>
                <w:highlight w:val="none"/>
              </w:rPr>
              <w:t>表可知，</w:t>
            </w:r>
            <w:r>
              <w:rPr>
                <w:rFonts w:hint="eastAsia" w:ascii="Times New Roman" w:hAnsi="Times New Roman" w:eastAsia="宋体" w:cs="Times New Roman"/>
                <w:color w:val="auto"/>
                <w:kern w:val="0"/>
                <w:sz w:val="24"/>
                <w:highlight w:val="none"/>
                <w:lang w:val="en-US" w:eastAsia="zh-CN"/>
              </w:rPr>
              <w:t>本</w:t>
            </w:r>
            <w:r>
              <w:rPr>
                <w:rFonts w:hint="default" w:ascii="Times New Roman" w:hAnsi="Times New Roman" w:eastAsia="宋体" w:cs="Times New Roman"/>
                <w:color w:val="auto"/>
                <w:kern w:val="0"/>
                <w:sz w:val="24"/>
                <w:highlight w:val="none"/>
              </w:rPr>
              <w:t>项目距离最近的</w:t>
            </w:r>
            <w:r>
              <w:rPr>
                <w:rFonts w:hint="eastAsia" w:ascii="Times New Roman" w:hAnsi="Times New Roman" w:eastAsia="宋体" w:cs="Times New Roman"/>
                <w:color w:val="auto"/>
                <w:kern w:val="0"/>
                <w:sz w:val="24"/>
                <w:highlight w:val="none"/>
                <w:lang w:val="en-US" w:eastAsia="zh-CN"/>
              </w:rPr>
              <w:t>国家级生态保护红线为</w:t>
            </w:r>
            <w:r>
              <w:rPr>
                <w:rFonts w:hint="default" w:ascii="Times New Roman" w:hAnsi="Times New Roman" w:eastAsia="宋体" w:cs="Times New Roman"/>
                <w:color w:val="auto"/>
                <w:kern w:val="0"/>
                <w:sz w:val="24"/>
                <w:highlight w:val="none"/>
              </w:rPr>
              <w:t>二河</w:t>
            </w:r>
            <w:r>
              <w:rPr>
                <w:rFonts w:hint="eastAsia" w:ascii="Times New Roman" w:hAnsi="Times New Roman" w:eastAsia="宋体" w:cs="Times New Roman"/>
                <w:color w:val="auto"/>
                <w:kern w:val="0"/>
                <w:sz w:val="24"/>
                <w:highlight w:val="none"/>
                <w:lang w:eastAsia="zh-CN"/>
              </w:rPr>
              <w:t>（</w:t>
            </w:r>
            <w:r>
              <w:rPr>
                <w:rFonts w:hint="default" w:ascii="Times New Roman" w:hAnsi="Times New Roman" w:eastAsia="宋体" w:cs="Times New Roman"/>
                <w:color w:val="auto"/>
                <w:kern w:val="0"/>
                <w:sz w:val="24"/>
                <w:highlight w:val="none"/>
              </w:rPr>
              <w:t>淮阴区</w:t>
            </w:r>
            <w:r>
              <w:rPr>
                <w:rFonts w:hint="eastAsia" w:ascii="Times New Roman" w:hAnsi="Times New Roman" w:eastAsia="宋体" w:cs="Times New Roman"/>
                <w:color w:val="auto"/>
                <w:kern w:val="0"/>
                <w:sz w:val="24"/>
                <w:highlight w:val="none"/>
                <w:lang w:eastAsia="zh-CN"/>
              </w:rPr>
              <w:t>）</w:t>
            </w:r>
            <w:r>
              <w:rPr>
                <w:rFonts w:hint="default" w:ascii="Times New Roman" w:hAnsi="Times New Roman" w:eastAsia="宋体" w:cs="Times New Roman"/>
                <w:color w:val="auto"/>
                <w:kern w:val="0"/>
                <w:sz w:val="24"/>
                <w:highlight w:val="none"/>
              </w:rPr>
              <w:t>饮用水水源保护区，</w:t>
            </w:r>
            <w:r>
              <w:rPr>
                <w:rFonts w:hint="eastAsia" w:ascii="Times New Roman" w:hAnsi="Times New Roman" w:eastAsia="宋体" w:cs="Times New Roman"/>
                <w:color w:val="auto"/>
                <w:kern w:val="0"/>
                <w:sz w:val="24"/>
                <w:highlight w:val="none"/>
                <w:lang w:val="en-US" w:eastAsia="zh-CN"/>
              </w:rPr>
              <w:t>最近</w:t>
            </w:r>
            <w:r>
              <w:rPr>
                <w:rFonts w:hint="default" w:ascii="Times New Roman" w:hAnsi="Times New Roman" w:eastAsia="宋体" w:cs="Times New Roman"/>
                <w:color w:val="auto"/>
                <w:kern w:val="0"/>
                <w:sz w:val="24"/>
                <w:highlight w:val="none"/>
              </w:rPr>
              <w:t>距离</w:t>
            </w:r>
            <w:r>
              <w:rPr>
                <w:rFonts w:hint="eastAsia" w:ascii="Times New Roman" w:hAnsi="Times New Roman" w:eastAsia="宋体" w:cs="Times New Roman"/>
                <w:color w:val="auto"/>
                <w:kern w:val="0"/>
                <w:sz w:val="24"/>
                <w:highlight w:val="none"/>
                <w:lang w:val="en-US" w:eastAsia="zh-CN"/>
              </w:rPr>
              <w:t>约2.54</w:t>
            </w:r>
            <w:r>
              <w:rPr>
                <w:rFonts w:hint="default" w:ascii="Times New Roman" w:hAnsi="Times New Roman" w:eastAsia="宋体" w:cs="Times New Roman"/>
                <w:color w:val="auto"/>
                <w:kern w:val="0"/>
                <w:sz w:val="24"/>
                <w:highlight w:val="none"/>
              </w:rPr>
              <w:t>km</w:t>
            </w:r>
            <w:r>
              <w:rPr>
                <w:rFonts w:hint="eastAsia" w:ascii="Times New Roman" w:hAnsi="Times New Roman" w:eastAsia="宋体" w:cs="Times New Roman"/>
                <w:color w:val="auto"/>
                <w:kern w:val="0"/>
                <w:sz w:val="24"/>
                <w:highlight w:val="none"/>
                <w:lang w:val="en-US" w:eastAsia="zh-CN"/>
              </w:rPr>
              <w:t>左右</w:t>
            </w:r>
            <w:r>
              <w:rPr>
                <w:rFonts w:hint="default" w:ascii="Times New Roman" w:hAnsi="Times New Roman" w:eastAsia="宋体" w:cs="Times New Roman"/>
                <w:color w:val="auto"/>
                <w:kern w:val="0"/>
                <w:sz w:val="24"/>
                <w:highlight w:val="none"/>
              </w:rPr>
              <w:t>，</w:t>
            </w:r>
            <w:r>
              <w:rPr>
                <w:rFonts w:hint="eastAsia" w:ascii="Times New Roman" w:hAnsi="Times New Roman" w:eastAsia="宋体" w:cs="Times New Roman"/>
                <w:color w:val="auto"/>
                <w:kern w:val="0"/>
                <w:sz w:val="24"/>
                <w:highlight w:val="none"/>
                <w:lang w:val="en-US" w:eastAsia="zh-CN"/>
              </w:rPr>
              <w:t>距离最近</w:t>
            </w:r>
            <w:r>
              <w:rPr>
                <w:rFonts w:hint="eastAsia" w:ascii="Times New Roman" w:hAnsi="Times New Roman" w:eastAsia="宋体" w:cs="Times New Roman"/>
                <w:color w:val="auto"/>
                <w:kern w:val="0"/>
                <w:sz w:val="24"/>
                <w:highlight w:val="none"/>
              </w:rPr>
              <w:t>生态</w:t>
            </w:r>
            <w:r>
              <w:rPr>
                <w:rFonts w:hint="eastAsia" w:ascii="Times New Roman" w:hAnsi="Times New Roman" w:eastAsia="宋体" w:cs="Times New Roman"/>
                <w:color w:val="auto"/>
                <w:kern w:val="0"/>
                <w:sz w:val="24"/>
                <w:highlight w:val="none"/>
                <w:lang w:eastAsia="zh-CN"/>
              </w:rPr>
              <w:t>空间</w:t>
            </w:r>
            <w:r>
              <w:rPr>
                <w:rFonts w:hint="eastAsia" w:ascii="Times New Roman" w:hAnsi="Times New Roman" w:eastAsia="宋体" w:cs="Times New Roman"/>
                <w:color w:val="auto"/>
                <w:kern w:val="0"/>
                <w:sz w:val="24"/>
                <w:highlight w:val="none"/>
              </w:rPr>
              <w:t>管控区域</w:t>
            </w:r>
            <w:r>
              <w:rPr>
                <w:rFonts w:hint="default" w:ascii="Times New Roman" w:hAnsi="Times New Roman" w:eastAsia="宋体" w:cs="Times New Roman"/>
                <w:color w:val="auto"/>
                <w:kern w:val="0"/>
                <w:sz w:val="24"/>
                <w:highlight w:val="none"/>
              </w:rPr>
              <w:t>为</w:t>
            </w:r>
            <w:r>
              <w:rPr>
                <w:rFonts w:hint="eastAsia" w:ascii="Times New Roman" w:hAnsi="Times New Roman" w:eastAsia="宋体" w:cs="Times New Roman"/>
                <w:color w:val="auto"/>
                <w:kern w:val="0"/>
                <w:sz w:val="24"/>
                <w:highlight w:val="none"/>
              </w:rPr>
              <w:t>京杭大运河（淮阴区）清水通道维护区</w:t>
            </w:r>
            <w:r>
              <w:rPr>
                <w:rFonts w:hint="eastAsia" w:ascii="Times New Roman" w:hAnsi="Times New Roman" w:eastAsia="宋体" w:cs="Times New Roman"/>
                <w:color w:val="auto"/>
                <w:kern w:val="0"/>
                <w:sz w:val="24"/>
                <w:highlight w:val="none"/>
                <w:lang w:eastAsia="zh-CN"/>
              </w:rPr>
              <w:t>，</w:t>
            </w:r>
            <w:r>
              <w:rPr>
                <w:rFonts w:hint="eastAsia" w:ascii="Times New Roman" w:hAnsi="Times New Roman" w:eastAsia="宋体" w:cs="Times New Roman"/>
                <w:color w:val="auto"/>
                <w:kern w:val="0"/>
                <w:sz w:val="24"/>
                <w:highlight w:val="none"/>
                <w:lang w:val="en-US" w:eastAsia="zh-CN"/>
              </w:rPr>
              <w:t>最近距离约3.04km左右</w:t>
            </w:r>
            <w:r>
              <w:rPr>
                <w:rFonts w:hint="eastAsia" w:cs="Times New Roman"/>
                <w:color w:val="auto"/>
                <w:kern w:val="0"/>
                <w:sz w:val="24"/>
                <w:highlight w:val="none"/>
                <w:lang w:val="en-US" w:eastAsia="zh-CN"/>
              </w:rPr>
              <w:t>，</w:t>
            </w:r>
            <w:r>
              <w:rPr>
                <w:rFonts w:hint="default" w:ascii="Times New Roman" w:hAnsi="Times New Roman" w:eastAsia="宋体" w:cs="Times New Roman"/>
                <w:color w:val="auto"/>
                <w:kern w:val="0"/>
                <w:sz w:val="24"/>
                <w:highlight w:val="none"/>
              </w:rPr>
              <w:t>不在确定的生态空间管控区域范围之内，因此</w:t>
            </w:r>
            <w:r>
              <w:rPr>
                <w:rFonts w:hint="eastAsia" w:ascii="Times New Roman" w:hAnsi="Times New Roman" w:eastAsia="宋体" w:cs="Times New Roman"/>
                <w:color w:val="auto"/>
                <w:kern w:val="0"/>
                <w:sz w:val="24"/>
                <w:highlight w:val="none"/>
                <w:lang w:val="en-US" w:eastAsia="zh-CN"/>
              </w:rPr>
              <w:t>本</w:t>
            </w:r>
            <w:r>
              <w:rPr>
                <w:rFonts w:hint="default" w:ascii="Times New Roman" w:hAnsi="Times New Roman" w:eastAsia="宋体" w:cs="Times New Roman"/>
                <w:color w:val="auto"/>
                <w:kern w:val="0"/>
                <w:sz w:val="24"/>
                <w:highlight w:val="none"/>
              </w:rPr>
              <w:t>项目与江苏省生态空间管控区域规划相符。</w:t>
            </w:r>
            <w:r>
              <w:rPr>
                <w:rFonts w:hint="eastAsia" w:ascii="Times New Roman" w:hAnsi="Times New Roman" w:eastAsia="宋体" w:cs="Times New Roman"/>
                <w:color w:val="auto"/>
                <w:kern w:val="0"/>
                <w:sz w:val="24"/>
                <w:highlight w:val="none"/>
                <w:lang w:val="en-US" w:eastAsia="zh-CN"/>
              </w:rPr>
              <w:t>本</w:t>
            </w:r>
            <w:r>
              <w:rPr>
                <w:rFonts w:hint="default" w:ascii="Times New Roman" w:hAnsi="Times New Roman" w:eastAsia="宋体" w:cs="Times New Roman"/>
                <w:color w:val="auto"/>
                <w:kern w:val="0"/>
                <w:sz w:val="24"/>
                <w:highlight w:val="none"/>
              </w:rPr>
              <w:t>项目与江苏省生态空间管控区域规划位置关系详见附图</w:t>
            </w:r>
            <w:r>
              <w:rPr>
                <w:rFonts w:hint="eastAsia" w:ascii="Times New Roman" w:hAnsi="Times New Roman" w:eastAsia="宋体" w:cs="Times New Roman"/>
                <w:color w:val="auto"/>
                <w:kern w:val="0"/>
                <w:sz w:val="24"/>
                <w:highlight w:val="none"/>
              </w:rPr>
              <w:t>3</w:t>
            </w:r>
            <w:r>
              <w:rPr>
                <w:rFonts w:hint="default" w:ascii="Times New Roman" w:hAnsi="Times New Roman" w:eastAsia="宋体" w:cs="Times New Roman"/>
                <w:color w:val="auto"/>
                <w:kern w:val="0"/>
                <w:sz w:val="24"/>
                <w:highlight w:val="none"/>
              </w:rPr>
              <w:t>。</w:t>
            </w:r>
          </w:p>
          <w:p w14:paraId="0A9D8F2F">
            <w:pPr>
              <w:adjustRightInd w:val="0"/>
              <w:snapToGrid w:val="0"/>
              <w:spacing w:line="360" w:lineRule="auto"/>
              <w:ind w:firstLine="432" w:firstLineChars="180"/>
              <w:rPr>
                <w:color w:val="auto"/>
              </w:rPr>
            </w:pPr>
            <w:r>
              <w:rPr>
                <w:rFonts w:hint="eastAsia"/>
                <w:color w:val="auto"/>
                <w:sz w:val="24"/>
                <w:lang w:val="en-US" w:eastAsia="zh-CN"/>
              </w:rPr>
              <w:t>③</w:t>
            </w:r>
            <w:r>
              <w:rPr>
                <w:rFonts w:hint="eastAsia"/>
                <w:color w:val="auto"/>
                <w:sz w:val="24"/>
              </w:rPr>
              <w:t>本</w:t>
            </w:r>
            <w:r>
              <w:rPr>
                <w:color w:val="auto"/>
                <w:sz w:val="24"/>
              </w:rPr>
              <w:t>项目与</w:t>
            </w:r>
            <w:r>
              <w:rPr>
                <w:rFonts w:hint="eastAsia"/>
                <w:color w:val="auto"/>
                <w:sz w:val="24"/>
                <w:lang w:val="en-US" w:eastAsia="zh-CN"/>
              </w:rPr>
              <w:t>江苏省</w:t>
            </w:r>
            <w:r>
              <w:rPr>
                <w:color w:val="auto"/>
                <w:sz w:val="24"/>
              </w:rPr>
              <w:t>《关于印发江苏省</w:t>
            </w:r>
            <w:r>
              <w:rPr>
                <w:rFonts w:hint="eastAsia"/>
                <w:color w:val="auto"/>
                <w:sz w:val="24"/>
              </w:rPr>
              <w:t>“</w:t>
            </w:r>
            <w:r>
              <w:rPr>
                <w:color w:val="auto"/>
                <w:sz w:val="24"/>
              </w:rPr>
              <w:t>三线一单</w:t>
            </w:r>
            <w:r>
              <w:rPr>
                <w:rFonts w:hint="eastAsia"/>
                <w:color w:val="auto"/>
                <w:sz w:val="24"/>
              </w:rPr>
              <w:t>”</w:t>
            </w:r>
            <w:r>
              <w:rPr>
                <w:color w:val="auto"/>
                <w:sz w:val="24"/>
              </w:rPr>
              <w:t>生态环境分区管控方案的通知》（苏政发</w:t>
            </w:r>
            <w:r>
              <w:rPr>
                <w:rFonts w:hint="eastAsia"/>
                <w:color w:val="auto"/>
                <w:sz w:val="24"/>
                <w:lang w:val="en-US" w:eastAsia="zh-CN"/>
              </w:rPr>
              <w:t>[</w:t>
            </w:r>
            <w:r>
              <w:rPr>
                <w:color w:val="auto"/>
                <w:sz w:val="24"/>
              </w:rPr>
              <w:t>2020</w:t>
            </w:r>
            <w:r>
              <w:rPr>
                <w:rFonts w:hint="eastAsia"/>
                <w:color w:val="auto"/>
                <w:sz w:val="24"/>
                <w:lang w:val="en-US" w:eastAsia="zh-CN"/>
              </w:rPr>
              <w:t>]</w:t>
            </w:r>
            <w:r>
              <w:rPr>
                <w:color w:val="auto"/>
                <w:sz w:val="24"/>
              </w:rPr>
              <w:t>49号）相符性分析</w:t>
            </w:r>
          </w:p>
          <w:p w14:paraId="00A7F956">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ascii="Times New Roman" w:hAnsi="Times New Roman" w:eastAsia="宋体" w:cs="Times New Roman"/>
                <w:color w:val="auto"/>
                <w:kern w:val="0"/>
                <w:sz w:val="24"/>
                <w:highlight w:val="none"/>
              </w:rPr>
            </w:pPr>
            <w:r>
              <w:rPr>
                <w:rFonts w:hint="eastAsia" w:ascii="Times New Roman" w:hAnsi="Times New Roman" w:eastAsia="宋体" w:cs="Times New Roman"/>
                <w:color w:val="auto"/>
                <w:kern w:val="0"/>
                <w:sz w:val="24"/>
                <w:highlight w:val="none"/>
              </w:rPr>
              <w:t>根据《江苏省“三线一单”生态环境分区管控方案》（苏政发</w:t>
            </w:r>
            <w:r>
              <w:rPr>
                <w:rFonts w:hint="eastAsia" w:ascii="Times New Roman" w:hAnsi="Times New Roman" w:eastAsia="宋体" w:cs="Times New Roman"/>
                <w:color w:val="auto"/>
                <w:kern w:val="0"/>
                <w:sz w:val="24"/>
                <w:highlight w:val="none"/>
                <w:lang w:val="en-US" w:eastAsia="zh-CN"/>
              </w:rPr>
              <w:t>[</w:t>
            </w:r>
            <w:r>
              <w:rPr>
                <w:rFonts w:hint="eastAsia" w:ascii="Times New Roman" w:hAnsi="Times New Roman" w:eastAsia="宋体" w:cs="Times New Roman"/>
                <w:color w:val="auto"/>
                <w:kern w:val="0"/>
                <w:sz w:val="24"/>
                <w:highlight w:val="none"/>
              </w:rPr>
              <w:t>2020</w:t>
            </w:r>
            <w:r>
              <w:rPr>
                <w:rFonts w:hint="eastAsia" w:ascii="Times New Roman" w:hAnsi="Times New Roman" w:eastAsia="宋体" w:cs="Times New Roman"/>
                <w:color w:val="auto"/>
                <w:kern w:val="0"/>
                <w:sz w:val="24"/>
                <w:highlight w:val="none"/>
                <w:lang w:val="en-US" w:eastAsia="zh-CN"/>
              </w:rPr>
              <w:t>]</w:t>
            </w:r>
            <w:r>
              <w:rPr>
                <w:rFonts w:hint="eastAsia" w:ascii="Times New Roman" w:hAnsi="Times New Roman" w:eastAsia="宋体" w:cs="Times New Roman"/>
                <w:color w:val="auto"/>
                <w:kern w:val="0"/>
                <w:sz w:val="24"/>
                <w:highlight w:val="none"/>
              </w:rPr>
              <w:t>49号），全省共划定环境管控单元4365个，分为优先保护单元、重点管控单元和一般管控单元三类，实施分类管控。</w:t>
            </w:r>
          </w:p>
          <w:p w14:paraId="6955156B">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kern w:val="0"/>
                <w:sz w:val="24"/>
                <w:highlight w:val="none"/>
              </w:rPr>
              <w:t>本项目为</w:t>
            </w:r>
            <w:r>
              <w:rPr>
                <w:rFonts w:hint="eastAsia" w:ascii="Times New Roman" w:hAnsi="Times New Roman" w:eastAsia="宋体" w:cs="Times New Roman"/>
                <w:color w:val="auto"/>
                <w:kern w:val="0"/>
                <w:sz w:val="24"/>
                <w:highlight w:val="none"/>
                <w:lang w:val="en-US" w:eastAsia="zh-CN"/>
              </w:rPr>
              <w:t>五金工具加工</w:t>
            </w:r>
            <w:r>
              <w:rPr>
                <w:rFonts w:hint="default" w:ascii="Times New Roman" w:hAnsi="Times New Roman" w:eastAsia="宋体" w:cs="Times New Roman"/>
                <w:color w:val="auto"/>
                <w:kern w:val="0"/>
                <w:sz w:val="24"/>
                <w:highlight w:val="none"/>
              </w:rPr>
              <w:t>项目，</w:t>
            </w:r>
            <w:r>
              <w:rPr>
                <w:rFonts w:hint="eastAsia" w:ascii="Times New Roman" w:hAnsi="Times New Roman" w:eastAsia="宋体" w:cs="Times New Roman"/>
                <w:color w:val="auto"/>
                <w:kern w:val="0"/>
                <w:sz w:val="24"/>
                <w:highlight w:val="none"/>
              </w:rPr>
              <w:t>位于</w:t>
            </w:r>
            <w:r>
              <w:rPr>
                <w:rFonts w:hint="eastAsia" w:ascii="Times New Roman" w:hAnsi="Times New Roman" w:eastAsia="宋体" w:cs="Times New Roman"/>
                <w:color w:val="auto"/>
                <w:kern w:val="0"/>
                <w:sz w:val="24"/>
                <w:highlight w:val="none"/>
                <w:lang w:val="en-US" w:eastAsia="zh-CN"/>
              </w:rPr>
              <w:t>淮安市淮阴区马头镇东港路一号</w:t>
            </w:r>
            <w:r>
              <w:rPr>
                <w:rFonts w:hint="eastAsia" w:cs="Times New Roman"/>
                <w:color w:val="auto"/>
                <w:kern w:val="0"/>
                <w:sz w:val="24"/>
                <w:highlight w:val="none"/>
                <w:lang w:val="en-US" w:eastAsia="zh-CN"/>
              </w:rPr>
              <w:t>。</w:t>
            </w:r>
            <w:r>
              <w:rPr>
                <w:rFonts w:hint="default" w:ascii="Times New Roman" w:hAnsi="Times New Roman" w:eastAsia="宋体" w:cs="Times New Roman"/>
                <w:color w:val="auto"/>
                <w:sz w:val="24"/>
                <w:szCs w:val="24"/>
                <w:lang w:val="en-US" w:eastAsia="zh-CN"/>
              </w:rPr>
              <w:t>对照</w:t>
            </w:r>
            <w:r>
              <w:rPr>
                <w:rFonts w:hint="default" w:ascii="Times New Roman" w:hAnsi="Times New Roman" w:eastAsia="宋体" w:cs="Times New Roman"/>
                <w:color w:val="auto"/>
                <w:sz w:val="24"/>
                <w:szCs w:val="24"/>
              </w:rPr>
              <w:t>《江苏省</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三线一单</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生态环境分区管控方案》</w:t>
            </w:r>
            <w:r>
              <w:rPr>
                <w:rFonts w:hint="eastAsia" w:hAnsi="宋体"/>
                <w:color w:val="auto"/>
                <w:sz w:val="24"/>
              </w:rPr>
              <w:t>（苏政发</w:t>
            </w:r>
            <w:r>
              <w:rPr>
                <w:rFonts w:hint="eastAsia" w:hAnsi="宋体"/>
                <w:color w:val="auto"/>
                <w:sz w:val="24"/>
                <w:lang w:val="en-US" w:eastAsia="zh-CN"/>
              </w:rPr>
              <w:t>[</w:t>
            </w:r>
            <w:r>
              <w:rPr>
                <w:rFonts w:hint="eastAsia" w:hAnsi="宋体"/>
                <w:color w:val="auto"/>
                <w:sz w:val="24"/>
              </w:rPr>
              <w:t>2020</w:t>
            </w:r>
            <w:r>
              <w:rPr>
                <w:rFonts w:hint="eastAsia" w:hAnsi="宋体"/>
                <w:color w:val="auto"/>
                <w:sz w:val="24"/>
                <w:lang w:val="en-US" w:eastAsia="zh-CN"/>
              </w:rPr>
              <w:t>]</w:t>
            </w:r>
            <w:r>
              <w:rPr>
                <w:rFonts w:hint="eastAsia" w:hAnsi="宋体"/>
                <w:color w:val="auto"/>
                <w:sz w:val="24"/>
              </w:rPr>
              <w:t>49号）</w:t>
            </w:r>
            <w:r>
              <w:rPr>
                <w:rFonts w:hint="default" w:ascii="Times New Roman" w:hAnsi="Times New Roman" w:eastAsia="宋体" w:cs="Times New Roman"/>
                <w:color w:val="auto"/>
                <w:sz w:val="24"/>
                <w:szCs w:val="24"/>
                <w:lang w:val="en-US" w:eastAsia="zh-CN"/>
              </w:rPr>
              <w:t>可知</w:t>
            </w:r>
            <w:r>
              <w:rPr>
                <w:rFonts w:hint="default"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lang w:val="en-US" w:eastAsia="zh-CN"/>
              </w:rPr>
              <w:t>项目</w:t>
            </w:r>
            <w:r>
              <w:rPr>
                <w:rFonts w:hint="default" w:ascii="Times New Roman" w:hAnsi="Times New Roman" w:eastAsia="宋体" w:cs="Times New Roman"/>
                <w:color w:val="auto"/>
                <w:sz w:val="24"/>
                <w:szCs w:val="24"/>
                <w:lang w:val="en-US" w:eastAsia="zh-CN"/>
              </w:rPr>
              <w:t>属于</w:t>
            </w:r>
            <w:r>
              <w:rPr>
                <w:rFonts w:hint="eastAsia" w:cs="Times New Roman"/>
                <w:color w:val="auto"/>
                <w:sz w:val="24"/>
                <w:szCs w:val="24"/>
                <w:lang w:eastAsia="zh-CN"/>
              </w:rPr>
              <w:t>其</w:t>
            </w:r>
            <w:r>
              <w:rPr>
                <w:rFonts w:hint="eastAsia" w:cs="Times New Roman"/>
                <w:color w:val="auto"/>
                <w:sz w:val="24"/>
                <w:szCs w:val="24"/>
                <w:lang w:val="en-US" w:eastAsia="zh-CN"/>
              </w:rPr>
              <w:t>中的</w:t>
            </w:r>
            <w:r>
              <w:rPr>
                <w:rFonts w:hint="default" w:ascii="Times New Roman" w:hAnsi="Times New Roman" w:eastAsia="宋体" w:cs="Times New Roman"/>
                <w:color w:val="auto"/>
                <w:sz w:val="24"/>
                <w:szCs w:val="24"/>
              </w:rPr>
              <w:t>一般管控单元。</w:t>
            </w:r>
            <w:r>
              <w:rPr>
                <w:rFonts w:hint="eastAsia" w:cs="Times New Roman"/>
                <w:color w:val="auto"/>
                <w:sz w:val="24"/>
                <w:szCs w:val="24"/>
                <w:lang w:eastAsia="zh-CN"/>
              </w:rPr>
              <w:t>本项目</w:t>
            </w:r>
            <w:r>
              <w:rPr>
                <w:rFonts w:hint="default" w:ascii="Times New Roman" w:hAnsi="Times New Roman" w:eastAsia="宋体" w:cs="Times New Roman"/>
                <w:color w:val="auto"/>
                <w:sz w:val="24"/>
                <w:szCs w:val="24"/>
              </w:rPr>
              <w:t>主要工程内容为</w:t>
            </w:r>
            <w:r>
              <w:rPr>
                <w:rFonts w:hint="eastAsia" w:ascii="Times New Roman" w:hAnsi="Times New Roman" w:eastAsia="宋体" w:cs="Times New Roman"/>
                <w:color w:val="auto"/>
                <w:sz w:val="24"/>
                <w:szCs w:val="24"/>
                <w:lang w:val="en-US" w:eastAsia="zh-CN"/>
              </w:rPr>
              <w:t>五金工具</w:t>
            </w:r>
            <w:r>
              <w:rPr>
                <w:rFonts w:hint="default" w:ascii="Times New Roman" w:hAnsi="Times New Roman" w:eastAsia="宋体" w:cs="Times New Roman"/>
                <w:color w:val="auto"/>
                <w:sz w:val="24"/>
                <w:szCs w:val="24"/>
                <w:lang w:val="en-US" w:eastAsia="zh-CN"/>
              </w:rPr>
              <w:t>的生产</w:t>
            </w:r>
            <w:r>
              <w:rPr>
                <w:rFonts w:hint="default" w:ascii="Times New Roman" w:hAnsi="Times New Roman" w:eastAsia="宋体" w:cs="Times New Roman"/>
                <w:bCs/>
                <w:color w:val="auto"/>
                <w:sz w:val="24"/>
                <w:szCs w:val="24"/>
              </w:rPr>
              <w:t>，</w:t>
            </w:r>
            <w:r>
              <w:rPr>
                <w:rFonts w:hint="default" w:ascii="Times New Roman" w:hAnsi="Times New Roman" w:eastAsia="宋体" w:cs="Times New Roman"/>
                <w:color w:val="auto"/>
                <w:sz w:val="24"/>
                <w:szCs w:val="24"/>
              </w:rPr>
              <w:t>营运期</w:t>
            </w:r>
            <w:r>
              <w:rPr>
                <w:rFonts w:hint="default" w:ascii="Times New Roman" w:hAnsi="Times New Roman" w:eastAsia="宋体" w:cs="Times New Roman"/>
                <w:color w:val="auto"/>
                <w:sz w:val="24"/>
                <w:szCs w:val="24"/>
                <w:lang w:val="en-US" w:eastAsia="zh-CN"/>
              </w:rPr>
              <w:t>废气</w:t>
            </w:r>
            <w:r>
              <w:rPr>
                <w:rFonts w:hint="default" w:ascii="Times New Roman" w:hAnsi="Times New Roman" w:eastAsia="宋体" w:cs="Times New Roman"/>
                <w:color w:val="auto"/>
                <w:sz w:val="24"/>
                <w:szCs w:val="24"/>
              </w:rPr>
              <w:t>污染物</w:t>
            </w:r>
            <w:r>
              <w:rPr>
                <w:rFonts w:hint="default" w:ascii="Times New Roman" w:hAnsi="Times New Roman" w:eastAsia="宋体" w:cs="Times New Roman"/>
                <w:color w:val="auto"/>
                <w:sz w:val="24"/>
                <w:szCs w:val="24"/>
                <w:lang w:val="en-US" w:eastAsia="zh-CN"/>
              </w:rPr>
              <w:t>为</w:t>
            </w:r>
            <w:r>
              <w:rPr>
                <w:rFonts w:hint="eastAsia" w:ascii="Times New Roman" w:hAnsi="Times New Roman" w:eastAsia="宋体" w:cs="Times New Roman"/>
                <w:color w:val="auto"/>
                <w:sz w:val="24"/>
                <w:szCs w:val="24"/>
                <w:lang w:val="en-US" w:eastAsia="zh-CN"/>
              </w:rPr>
              <w:t>投料粉尘、搅拌废气、浸纱废气、固化废气、注塑废气产生的颗粒物及有机废气，经密闭车间及管道负压收集/集气罩</w:t>
            </w:r>
            <w:r>
              <w:rPr>
                <w:rFonts w:hint="eastAsia" w:cs="Times New Roman"/>
                <w:color w:val="auto"/>
                <w:sz w:val="24"/>
                <w:szCs w:val="24"/>
                <w:lang w:val="en-US" w:eastAsia="zh-CN"/>
              </w:rPr>
              <w:t>负压</w:t>
            </w:r>
            <w:r>
              <w:rPr>
                <w:rFonts w:hint="eastAsia" w:ascii="Times New Roman" w:hAnsi="Times New Roman" w:eastAsia="宋体" w:cs="Times New Roman"/>
                <w:color w:val="auto"/>
                <w:sz w:val="24"/>
                <w:szCs w:val="24"/>
                <w:lang w:val="en-US" w:eastAsia="zh-CN"/>
              </w:rPr>
              <w:t>收集后经二级活性炭吸附装置TA001处理后通过1根15m高DA001排气筒达标排放；抛丸废气经管道负压收集，并由系统自带布袋除尘器TA002处理达标后与经管道负压收集的喷塑废气，并由系统自带的旋风+脉冲滤芯除尘器TA003处理达标后合并通过1根15m高DA002排气筒达标排放；抛光废气产生的颗粒物经集气罩收集后经布袋除尘器TA004处理后通过1根15m高DA003排气筒达标排放；营运期废水</w:t>
            </w:r>
            <w:r>
              <w:rPr>
                <w:rFonts w:hint="default" w:ascii="Times New Roman" w:hAnsi="Times New Roman" w:eastAsia="宋体" w:cs="Times New Roman"/>
                <w:color w:val="auto"/>
                <w:sz w:val="24"/>
                <w:szCs w:val="24"/>
              </w:rPr>
              <w:t>污染物</w:t>
            </w:r>
            <w:r>
              <w:rPr>
                <w:rFonts w:hint="default" w:ascii="Times New Roman" w:hAnsi="Times New Roman" w:eastAsia="宋体" w:cs="Times New Roman"/>
                <w:color w:val="auto"/>
                <w:sz w:val="24"/>
                <w:szCs w:val="24"/>
                <w:lang w:val="en-US" w:eastAsia="zh-CN"/>
              </w:rPr>
              <w:t>为生活污水，</w:t>
            </w:r>
            <w:r>
              <w:rPr>
                <w:rFonts w:hint="default" w:ascii="Times New Roman" w:hAnsi="Times New Roman" w:eastAsia="宋体" w:cs="Times New Roman"/>
                <w:color w:val="auto"/>
                <w:kern w:val="0"/>
                <w:sz w:val="24"/>
                <w:szCs w:val="24"/>
              </w:rPr>
              <w:t>通过厂区化粪池处理</w:t>
            </w:r>
            <w:r>
              <w:rPr>
                <w:rFonts w:hint="eastAsia" w:ascii="Times New Roman" w:hAnsi="Times New Roman" w:eastAsia="宋体" w:cs="Times New Roman"/>
                <w:color w:val="auto"/>
                <w:kern w:val="0"/>
                <w:sz w:val="24"/>
                <w:szCs w:val="24"/>
                <w:lang w:val="en-US" w:eastAsia="zh-CN"/>
              </w:rPr>
              <w:t>后作为农田灌溉用水使用</w:t>
            </w:r>
            <w:r>
              <w:rPr>
                <w:rFonts w:hint="default" w:ascii="Times New Roman" w:hAnsi="Times New Roman" w:eastAsia="宋体" w:cs="Times New Roman"/>
                <w:color w:val="auto"/>
                <w:kern w:val="0"/>
                <w:sz w:val="24"/>
                <w:szCs w:val="24"/>
              </w:rPr>
              <w:t>，</w:t>
            </w:r>
            <w:r>
              <w:rPr>
                <w:rFonts w:hint="eastAsia" w:ascii="Times New Roman" w:hAnsi="Times New Roman" w:eastAsia="宋体" w:cs="Times New Roman"/>
                <w:color w:val="auto"/>
                <w:kern w:val="0"/>
                <w:sz w:val="24"/>
                <w:szCs w:val="24"/>
                <w:lang w:val="en-US" w:eastAsia="zh-CN"/>
              </w:rPr>
              <w:t>不外排</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固废污染物</w:t>
            </w:r>
            <w:r>
              <w:rPr>
                <w:rFonts w:hint="default" w:ascii="Times New Roman" w:hAnsi="Times New Roman" w:eastAsia="宋体" w:cs="Times New Roman"/>
                <w:color w:val="auto"/>
                <w:sz w:val="24"/>
                <w:szCs w:val="24"/>
                <w:lang w:val="en-US" w:eastAsia="zh-CN"/>
              </w:rPr>
              <w:t>为生活垃圾、一般固体废物和危险废物，危险废物</w:t>
            </w:r>
            <w:r>
              <w:rPr>
                <w:rFonts w:hint="default" w:ascii="Times New Roman" w:hAnsi="Times New Roman" w:eastAsia="宋体" w:cs="Times New Roman"/>
                <w:color w:val="auto"/>
                <w:sz w:val="24"/>
                <w:szCs w:val="24"/>
              </w:rPr>
              <w:t>经收集后委托有资质单位安全处置</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lang w:val="en-US" w:eastAsia="zh-CN"/>
              </w:rPr>
              <w:t>零排放</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本项目</w:t>
            </w:r>
            <w:r>
              <w:rPr>
                <w:rFonts w:hint="default" w:ascii="Times New Roman" w:hAnsi="Times New Roman" w:eastAsia="宋体" w:cs="Times New Roman"/>
                <w:color w:val="auto"/>
                <w:sz w:val="24"/>
                <w:szCs w:val="24"/>
              </w:rPr>
              <w:t>不涉及剧毒化学品的使用，不属于高耗能、高耗水、重污染项目</w:t>
            </w:r>
            <w:r>
              <w:rPr>
                <w:rFonts w:hint="default" w:ascii="Times New Roman" w:hAnsi="Times New Roman" w:eastAsia="宋体" w:cs="Times New Roman"/>
                <w:bCs/>
                <w:color w:val="auto"/>
                <w:sz w:val="24"/>
                <w:szCs w:val="24"/>
              </w:rPr>
              <w:t>，</w:t>
            </w:r>
            <w:r>
              <w:rPr>
                <w:rFonts w:hint="default" w:ascii="Times New Roman" w:hAnsi="Times New Roman" w:eastAsia="宋体" w:cs="Times New Roman"/>
                <w:bCs/>
                <w:color w:val="auto"/>
                <w:sz w:val="24"/>
                <w:szCs w:val="24"/>
                <w:lang w:val="en-US" w:eastAsia="zh-CN"/>
              </w:rPr>
              <w:t>因此，</w:t>
            </w:r>
            <w:r>
              <w:rPr>
                <w:rFonts w:hint="eastAsia" w:ascii="Times New Roman" w:hAnsi="Times New Roman" w:eastAsia="宋体" w:cs="Times New Roman"/>
                <w:bCs/>
                <w:color w:val="auto"/>
                <w:sz w:val="24"/>
                <w:szCs w:val="24"/>
                <w:lang w:val="en-US" w:eastAsia="zh-CN"/>
              </w:rPr>
              <w:t>本项目</w:t>
            </w:r>
            <w:r>
              <w:rPr>
                <w:rFonts w:hint="default" w:ascii="Times New Roman" w:hAnsi="Times New Roman" w:eastAsia="宋体" w:cs="Times New Roman"/>
                <w:color w:val="auto"/>
                <w:sz w:val="24"/>
                <w:szCs w:val="24"/>
              </w:rPr>
              <w:t>符合《江苏省</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三线一单</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生态环境分区管控方案》要求。</w:t>
            </w:r>
          </w:p>
          <w:p w14:paraId="17381EC5">
            <w:pPr>
              <w:adjustRightInd w:val="0"/>
              <w:snapToGrid w:val="0"/>
              <w:spacing w:line="360" w:lineRule="auto"/>
              <w:ind w:firstLine="432" w:firstLineChars="180"/>
              <w:rPr>
                <w:color w:val="auto"/>
                <w:sz w:val="24"/>
              </w:rPr>
            </w:pPr>
            <w:r>
              <w:rPr>
                <w:rFonts w:hint="eastAsia"/>
                <w:color w:val="auto"/>
                <w:sz w:val="24"/>
                <w:lang w:val="en-US" w:eastAsia="zh-CN"/>
              </w:rPr>
              <w:t>④</w:t>
            </w:r>
            <w:r>
              <w:rPr>
                <w:rFonts w:hint="eastAsia"/>
                <w:color w:val="auto"/>
                <w:sz w:val="24"/>
              </w:rPr>
              <w:t>本</w:t>
            </w:r>
            <w:r>
              <w:rPr>
                <w:color w:val="auto"/>
                <w:sz w:val="24"/>
              </w:rPr>
              <w:t>项目与《</w:t>
            </w:r>
            <w:r>
              <w:rPr>
                <w:rFonts w:hint="eastAsia"/>
                <w:color w:val="auto"/>
                <w:sz w:val="24"/>
              </w:rPr>
              <w:t>江苏省2023年度生态环境分区管控动态更新成果公告</w:t>
            </w:r>
            <w:r>
              <w:rPr>
                <w:color w:val="auto"/>
                <w:sz w:val="24"/>
              </w:rPr>
              <w:t>》相符性分析</w:t>
            </w:r>
          </w:p>
          <w:p w14:paraId="17381EC6">
            <w:pPr>
              <w:shd w:val="clear" w:color="auto" w:fill="FFFFFF"/>
              <w:adjustRightInd w:val="0"/>
              <w:snapToGrid w:val="0"/>
              <w:spacing w:line="360" w:lineRule="auto"/>
              <w:ind w:firstLine="480" w:firstLineChars="200"/>
              <w:rPr>
                <w:color w:val="auto"/>
                <w:sz w:val="24"/>
              </w:rPr>
            </w:pPr>
            <w:r>
              <w:rPr>
                <w:rFonts w:hint="eastAsia"/>
                <w:color w:val="auto"/>
                <w:sz w:val="24"/>
              </w:rPr>
              <w:t>本项目位于淮安市淮阴区马头镇东港路一号，</w:t>
            </w:r>
            <w:r>
              <w:rPr>
                <w:rFonts w:hint="eastAsia" w:ascii="Times New Roman" w:hAnsi="Times New Roman" w:cs="Times New Roman"/>
                <w:color w:val="auto"/>
                <w:sz w:val="24"/>
                <w:lang w:eastAsia="zh-CN"/>
              </w:rPr>
              <w:t>属于</w:t>
            </w:r>
            <w:r>
              <w:rPr>
                <w:rFonts w:hint="eastAsia" w:ascii="Times New Roman" w:hAnsi="Times New Roman" w:cs="Times New Roman"/>
                <w:color w:val="auto"/>
                <w:sz w:val="24"/>
              </w:rPr>
              <w:t>《江苏省2023年度生态环境分区管控动态更新成果公告》</w:t>
            </w:r>
            <w:r>
              <w:rPr>
                <w:rFonts w:hint="eastAsia" w:ascii="Times New Roman" w:hAnsi="Times New Roman" w:cs="Times New Roman"/>
                <w:color w:val="auto"/>
                <w:sz w:val="24"/>
                <w:lang w:eastAsia="zh-CN"/>
              </w:rPr>
              <w:t>中的一般管控单元</w:t>
            </w:r>
            <w:r>
              <w:rPr>
                <w:rFonts w:hint="eastAsia" w:ascii="Times New Roman" w:hAnsi="Times New Roman" w:cs="Times New Roman"/>
                <w:color w:val="auto"/>
                <w:sz w:val="24"/>
                <w:lang w:val="en-US" w:eastAsia="zh-CN"/>
              </w:rPr>
              <w:t>。本</w:t>
            </w:r>
            <w:r>
              <w:rPr>
                <w:rFonts w:hint="eastAsia" w:ascii="Times New Roman" w:hAnsi="Times New Roman" w:cs="Times New Roman"/>
                <w:color w:val="auto"/>
                <w:sz w:val="24"/>
                <w:lang w:eastAsia="zh-CN"/>
              </w:rPr>
              <w:t>项目与《江苏省2023年度生态环境分区管控动态更新成果公告》相符性分析见表1-</w:t>
            </w:r>
            <w:r>
              <w:rPr>
                <w:rFonts w:hint="eastAsia" w:ascii="Times New Roman" w:hAnsi="Times New Roman" w:cs="Times New Roman"/>
                <w:color w:val="auto"/>
                <w:sz w:val="24"/>
                <w:lang w:val="en-US" w:eastAsia="zh-CN"/>
              </w:rPr>
              <w:t>3</w:t>
            </w:r>
            <w:r>
              <w:rPr>
                <w:rFonts w:hint="eastAsia" w:ascii="Times New Roman" w:hAnsi="Times New Roman" w:cs="Times New Roman"/>
                <w:color w:val="auto"/>
                <w:sz w:val="24"/>
                <w:lang w:eastAsia="zh-CN"/>
              </w:rPr>
              <w:t>。</w:t>
            </w:r>
          </w:p>
          <w:p w14:paraId="17381EC7">
            <w:pPr>
              <w:widowControl/>
              <w:adjustRightInd w:val="0"/>
              <w:snapToGrid w:val="0"/>
              <w:jc w:val="center"/>
              <w:rPr>
                <w:b/>
                <w:color w:val="auto"/>
                <w:kern w:val="0"/>
                <w:sz w:val="24"/>
              </w:rPr>
            </w:pPr>
            <w:r>
              <w:rPr>
                <w:b/>
                <w:color w:val="auto"/>
                <w:kern w:val="0"/>
                <w:sz w:val="24"/>
              </w:rPr>
              <w:t>表1-</w:t>
            </w:r>
            <w:r>
              <w:rPr>
                <w:rFonts w:hint="eastAsia"/>
                <w:b/>
                <w:color w:val="auto"/>
                <w:kern w:val="0"/>
                <w:sz w:val="24"/>
              </w:rPr>
              <w:t>3本</w:t>
            </w:r>
            <w:r>
              <w:rPr>
                <w:b/>
                <w:color w:val="auto"/>
                <w:kern w:val="0"/>
                <w:sz w:val="24"/>
              </w:rPr>
              <w:t>项目与</w:t>
            </w:r>
            <w:r>
              <w:rPr>
                <w:rFonts w:hint="eastAsia"/>
                <w:b/>
                <w:color w:val="auto"/>
                <w:kern w:val="0"/>
                <w:sz w:val="24"/>
              </w:rPr>
              <w:t>《江苏省2023年度生态环境分区管控动态更新成果公告》</w:t>
            </w:r>
            <w:r>
              <w:rPr>
                <w:b/>
                <w:color w:val="auto"/>
                <w:kern w:val="0"/>
                <w:sz w:val="24"/>
              </w:rPr>
              <w:t>相符性分析</w:t>
            </w:r>
          </w:p>
          <w:tbl>
            <w:tblPr>
              <w:tblStyle w:val="88"/>
              <w:tblW w:w="5000" w:type="pct"/>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fixed"/>
              <w:tblCellMar>
                <w:top w:w="0" w:type="dxa"/>
                <w:left w:w="28" w:type="dxa"/>
                <w:bottom w:w="0" w:type="dxa"/>
                <w:right w:w="28" w:type="dxa"/>
              </w:tblCellMar>
            </w:tblPr>
            <w:tblGrid>
              <w:gridCol w:w="806"/>
              <w:gridCol w:w="3392"/>
              <w:gridCol w:w="2135"/>
              <w:gridCol w:w="842"/>
            </w:tblGrid>
            <w:tr w14:paraId="0A5F60D4">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567" w:hRule="atLeast"/>
                <w:jc w:val="center"/>
              </w:trPr>
              <w:tc>
                <w:tcPr>
                  <w:tcW w:w="561" w:type="pct"/>
                  <w:vAlign w:val="center"/>
                </w:tcPr>
                <w:p w14:paraId="7EF13B97">
                  <w:pPr>
                    <w:adjustRightInd w:val="0"/>
                    <w:snapToGrid w:val="0"/>
                    <w:jc w:val="center"/>
                    <w:rPr>
                      <w:rFonts w:hint="default" w:ascii="Times New Roman" w:hAnsi="Times New Roman" w:eastAsia="宋体" w:cs="Times New Roman"/>
                      <w:b/>
                      <w:bCs/>
                      <w:snapToGrid w:val="0"/>
                      <w:color w:val="auto"/>
                      <w:sz w:val="21"/>
                      <w:szCs w:val="21"/>
                    </w:rPr>
                  </w:pPr>
                  <w:r>
                    <w:rPr>
                      <w:rFonts w:hint="default" w:ascii="Times New Roman" w:hAnsi="Times New Roman" w:eastAsia="宋体" w:cs="Times New Roman"/>
                      <w:b/>
                      <w:bCs/>
                      <w:snapToGrid w:val="0"/>
                      <w:color w:val="auto"/>
                      <w:sz w:val="21"/>
                      <w:szCs w:val="21"/>
                    </w:rPr>
                    <w:t>管控</w:t>
                  </w:r>
                </w:p>
                <w:p w14:paraId="5C5D5E25">
                  <w:pPr>
                    <w:adjustRightInd w:val="0"/>
                    <w:snapToGrid w:val="0"/>
                    <w:jc w:val="center"/>
                    <w:rPr>
                      <w:rFonts w:hint="default" w:ascii="Times New Roman" w:hAnsi="Times New Roman" w:eastAsia="宋体" w:cs="Times New Roman"/>
                      <w:b/>
                      <w:bCs/>
                      <w:snapToGrid w:val="0"/>
                      <w:color w:val="auto"/>
                      <w:sz w:val="21"/>
                      <w:szCs w:val="21"/>
                    </w:rPr>
                  </w:pPr>
                  <w:r>
                    <w:rPr>
                      <w:rFonts w:hint="default" w:ascii="Times New Roman" w:hAnsi="Times New Roman" w:eastAsia="宋体" w:cs="Times New Roman"/>
                      <w:b/>
                      <w:bCs/>
                      <w:snapToGrid w:val="0"/>
                      <w:color w:val="auto"/>
                      <w:sz w:val="21"/>
                      <w:szCs w:val="21"/>
                    </w:rPr>
                    <w:t>类别</w:t>
                  </w:r>
                </w:p>
              </w:tc>
              <w:tc>
                <w:tcPr>
                  <w:tcW w:w="2363" w:type="pct"/>
                  <w:vAlign w:val="center"/>
                </w:tcPr>
                <w:p w14:paraId="2325847D">
                  <w:pPr>
                    <w:adjustRightInd w:val="0"/>
                    <w:snapToGrid w:val="0"/>
                    <w:jc w:val="center"/>
                    <w:rPr>
                      <w:rFonts w:hint="default" w:ascii="Times New Roman" w:hAnsi="Times New Roman" w:eastAsia="宋体" w:cs="Times New Roman"/>
                      <w:b/>
                      <w:bCs/>
                      <w:snapToGrid w:val="0"/>
                      <w:color w:val="auto"/>
                      <w:sz w:val="21"/>
                      <w:szCs w:val="21"/>
                    </w:rPr>
                  </w:pPr>
                  <w:r>
                    <w:rPr>
                      <w:rFonts w:hint="default" w:ascii="Times New Roman" w:hAnsi="Times New Roman" w:eastAsia="宋体" w:cs="Times New Roman"/>
                      <w:b/>
                      <w:bCs/>
                      <w:snapToGrid w:val="0"/>
                      <w:color w:val="auto"/>
                      <w:sz w:val="21"/>
                      <w:szCs w:val="21"/>
                      <w:lang w:val="en-US" w:eastAsia="zh-CN"/>
                    </w:rPr>
                    <w:t>一般</w:t>
                  </w:r>
                  <w:r>
                    <w:rPr>
                      <w:rFonts w:hint="default" w:ascii="Times New Roman" w:hAnsi="Times New Roman" w:eastAsia="宋体" w:cs="Times New Roman"/>
                      <w:b/>
                      <w:bCs/>
                      <w:snapToGrid w:val="0"/>
                      <w:color w:val="auto"/>
                      <w:sz w:val="21"/>
                      <w:szCs w:val="21"/>
                    </w:rPr>
                    <w:t>管控要求</w:t>
                  </w:r>
                </w:p>
              </w:tc>
              <w:tc>
                <w:tcPr>
                  <w:tcW w:w="1487" w:type="pct"/>
                  <w:vAlign w:val="center"/>
                </w:tcPr>
                <w:p w14:paraId="63810477">
                  <w:pPr>
                    <w:adjustRightInd w:val="0"/>
                    <w:snapToGrid w:val="0"/>
                    <w:jc w:val="center"/>
                    <w:rPr>
                      <w:rFonts w:hint="default" w:ascii="Times New Roman" w:hAnsi="Times New Roman" w:eastAsia="宋体" w:cs="Times New Roman"/>
                      <w:b/>
                      <w:bCs/>
                      <w:snapToGrid w:val="0"/>
                      <w:color w:val="auto"/>
                      <w:sz w:val="21"/>
                      <w:szCs w:val="21"/>
                    </w:rPr>
                  </w:pPr>
                  <w:r>
                    <w:rPr>
                      <w:rFonts w:hint="default" w:ascii="Times New Roman" w:hAnsi="Times New Roman" w:eastAsia="宋体" w:cs="Times New Roman"/>
                      <w:b/>
                      <w:bCs/>
                      <w:snapToGrid w:val="0"/>
                      <w:color w:val="auto"/>
                      <w:sz w:val="21"/>
                      <w:szCs w:val="21"/>
                    </w:rPr>
                    <w:t>相符性分析</w:t>
                  </w:r>
                </w:p>
              </w:tc>
              <w:tc>
                <w:tcPr>
                  <w:tcW w:w="586" w:type="pct"/>
                  <w:vAlign w:val="center"/>
                </w:tcPr>
                <w:p w14:paraId="4EED310D">
                  <w:pPr>
                    <w:adjustRightInd w:val="0"/>
                    <w:snapToGrid w:val="0"/>
                    <w:jc w:val="center"/>
                    <w:rPr>
                      <w:rFonts w:hint="default" w:ascii="Times New Roman" w:hAnsi="Times New Roman" w:eastAsia="宋体" w:cs="Times New Roman"/>
                      <w:b/>
                      <w:bCs/>
                      <w:snapToGrid w:val="0"/>
                      <w:color w:val="auto"/>
                      <w:sz w:val="21"/>
                      <w:szCs w:val="21"/>
                    </w:rPr>
                  </w:pPr>
                  <w:r>
                    <w:rPr>
                      <w:rFonts w:hint="default" w:ascii="Times New Roman" w:hAnsi="Times New Roman" w:eastAsia="宋体" w:cs="Times New Roman"/>
                      <w:b/>
                      <w:bCs/>
                      <w:snapToGrid w:val="0"/>
                      <w:color w:val="auto"/>
                      <w:sz w:val="21"/>
                      <w:szCs w:val="21"/>
                    </w:rPr>
                    <w:t>判定</w:t>
                  </w:r>
                </w:p>
                <w:p w14:paraId="4ABE6B3F">
                  <w:pPr>
                    <w:adjustRightInd w:val="0"/>
                    <w:snapToGrid w:val="0"/>
                    <w:jc w:val="center"/>
                    <w:rPr>
                      <w:rFonts w:hint="default" w:ascii="Times New Roman" w:hAnsi="Times New Roman" w:eastAsia="宋体" w:cs="Times New Roman"/>
                      <w:b/>
                      <w:bCs/>
                      <w:snapToGrid w:val="0"/>
                      <w:color w:val="auto"/>
                      <w:sz w:val="21"/>
                      <w:szCs w:val="21"/>
                    </w:rPr>
                  </w:pPr>
                  <w:r>
                    <w:rPr>
                      <w:rFonts w:hint="default" w:ascii="Times New Roman" w:hAnsi="Times New Roman" w:eastAsia="宋体" w:cs="Times New Roman"/>
                      <w:b/>
                      <w:bCs/>
                      <w:snapToGrid w:val="0"/>
                      <w:color w:val="auto"/>
                      <w:sz w:val="21"/>
                      <w:szCs w:val="21"/>
                    </w:rPr>
                    <w:t>结果</w:t>
                  </w:r>
                </w:p>
              </w:tc>
            </w:tr>
            <w:tr w14:paraId="0C3EAAA1">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567" w:hRule="atLeast"/>
                <w:jc w:val="center"/>
              </w:trPr>
              <w:tc>
                <w:tcPr>
                  <w:tcW w:w="5000" w:type="pct"/>
                  <w:gridSpan w:val="4"/>
                  <w:vAlign w:val="center"/>
                </w:tcPr>
                <w:p w14:paraId="33055FA0">
                  <w:pPr>
                    <w:pStyle w:val="2328"/>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马头镇</w:t>
                  </w:r>
                </w:p>
              </w:tc>
            </w:tr>
            <w:tr w14:paraId="303D7AF6">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567" w:hRule="atLeast"/>
                <w:jc w:val="center"/>
              </w:trPr>
              <w:tc>
                <w:tcPr>
                  <w:tcW w:w="561" w:type="pct"/>
                  <w:vAlign w:val="center"/>
                </w:tcPr>
                <w:p w14:paraId="7B8FB536">
                  <w:pPr>
                    <w:pStyle w:val="2328"/>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空间布局约束</w:t>
                  </w:r>
                </w:p>
              </w:tc>
              <w:tc>
                <w:tcPr>
                  <w:tcW w:w="2363" w:type="pct"/>
                  <w:shd w:val="clear" w:color="auto" w:fill="auto"/>
                  <w:vAlign w:val="center"/>
                </w:tcPr>
                <w:p w14:paraId="19499D98">
                  <w:pPr>
                    <w:keepNext w:val="0"/>
                    <w:keepLines w:val="0"/>
                    <w:widowControl/>
                    <w:suppressLineNumbers w:val="0"/>
                    <w:jc w:val="both"/>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0"/>
                      <w:sz w:val="21"/>
                      <w:szCs w:val="21"/>
                      <w:lang w:val="en-US" w:eastAsia="zh-CN" w:bidi="ar"/>
                    </w:rPr>
                    <w:t>（1）引入项目符合淮安市总体准入要求。（2）持续推进工业企业向产业园区和规划工业区块集中。</w:t>
                  </w:r>
                </w:p>
              </w:tc>
              <w:tc>
                <w:tcPr>
                  <w:tcW w:w="1487" w:type="pct"/>
                  <w:shd w:val="clear" w:color="auto" w:fill="auto"/>
                  <w:vAlign w:val="center"/>
                </w:tcPr>
                <w:p w14:paraId="6EC10E82">
                  <w:pPr>
                    <w:pStyle w:val="2328"/>
                    <w:keepNext w:val="0"/>
                    <w:keepLines w:val="0"/>
                    <w:suppressLineNumbers w:val="0"/>
                    <w:spacing w:before="0" w:beforeAutospacing="0" w:after="0" w:afterAutospacing="0"/>
                    <w:ind w:left="0" w:leftChars="0" w:right="0" w:rightChars="0"/>
                    <w:jc w:val="both"/>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本</w:t>
                  </w:r>
                  <w:r>
                    <w:rPr>
                      <w:rFonts w:hint="default" w:ascii="Times New Roman" w:hAnsi="Times New Roman" w:eastAsia="宋体" w:cs="Times New Roman"/>
                      <w:color w:val="auto"/>
                      <w:sz w:val="21"/>
                      <w:szCs w:val="21"/>
                      <w:lang w:val="en-US" w:eastAsia="zh-CN"/>
                    </w:rPr>
                    <w:t>项目为</w:t>
                  </w:r>
                  <w:r>
                    <w:rPr>
                      <w:rFonts w:hint="eastAsia" w:ascii="Times New Roman" w:hAnsi="Times New Roman" w:eastAsia="宋体" w:cs="Times New Roman"/>
                      <w:color w:val="auto"/>
                      <w:sz w:val="21"/>
                      <w:szCs w:val="21"/>
                      <w:lang w:val="en-US" w:eastAsia="zh-CN"/>
                    </w:rPr>
                    <w:t>五金工具加工项目</w:t>
                  </w:r>
                  <w:r>
                    <w:rPr>
                      <w:rFonts w:hint="default" w:ascii="Times New Roman" w:hAnsi="Times New Roman" w:eastAsia="宋体" w:cs="Times New Roman"/>
                      <w:color w:val="auto"/>
                      <w:sz w:val="21"/>
                      <w:szCs w:val="21"/>
                      <w:lang w:val="en-US" w:eastAsia="zh-CN"/>
                    </w:rPr>
                    <w:t>，</w:t>
                  </w:r>
                  <w:r>
                    <w:rPr>
                      <w:rFonts w:hint="eastAsia" w:ascii="Times New Roman" w:hAnsi="Times New Roman" w:eastAsia="宋体" w:cs="Times New Roman"/>
                      <w:color w:val="auto"/>
                      <w:sz w:val="21"/>
                      <w:szCs w:val="21"/>
                      <w:lang w:val="en-US" w:eastAsia="zh-CN"/>
                    </w:rPr>
                    <w:t>根据附件6淮安市淮阴区马头镇人民政府出具的证明（关于淮安市鸣锋工具有限公司五金工具加工项目的情况说明），项目所在地属于马头镇原工业集中区，后续将纳入马头镇张庄镇村工业集中区，</w:t>
                  </w:r>
                  <w:r>
                    <w:rPr>
                      <w:rFonts w:hint="default" w:ascii="Times New Roman" w:hAnsi="Times New Roman" w:eastAsia="宋体" w:cs="Times New Roman"/>
                      <w:color w:val="auto"/>
                      <w:sz w:val="21"/>
                      <w:szCs w:val="21"/>
                      <w:lang w:val="en-US" w:eastAsia="zh-CN"/>
                    </w:rPr>
                    <w:t>符合淮安市总体准入要求。</w:t>
                  </w:r>
                </w:p>
              </w:tc>
              <w:tc>
                <w:tcPr>
                  <w:tcW w:w="586" w:type="pct"/>
                  <w:vAlign w:val="center"/>
                </w:tcPr>
                <w:p w14:paraId="1FC5D71B">
                  <w:pPr>
                    <w:pStyle w:val="2328"/>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符合</w:t>
                  </w:r>
                </w:p>
              </w:tc>
            </w:tr>
            <w:tr w14:paraId="4475D4BE">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567" w:hRule="atLeast"/>
                <w:jc w:val="center"/>
              </w:trPr>
              <w:tc>
                <w:tcPr>
                  <w:tcW w:w="561" w:type="pct"/>
                  <w:vAlign w:val="center"/>
                </w:tcPr>
                <w:p w14:paraId="658F7E38">
                  <w:pPr>
                    <w:pStyle w:val="2328"/>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污染物排放管控</w:t>
                  </w:r>
                </w:p>
              </w:tc>
              <w:tc>
                <w:tcPr>
                  <w:tcW w:w="2363" w:type="pct"/>
                  <w:shd w:val="clear" w:color="auto" w:fill="auto"/>
                  <w:vAlign w:val="center"/>
                </w:tcPr>
                <w:p w14:paraId="196E6F98">
                  <w:pPr>
                    <w:keepNext w:val="0"/>
                    <w:keepLines w:val="0"/>
                    <w:widowControl/>
                    <w:suppressLineNumbers w:val="0"/>
                    <w:jc w:val="both"/>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0"/>
                      <w:sz w:val="21"/>
                      <w:szCs w:val="21"/>
                      <w:lang w:val="en-US" w:eastAsia="zh-CN" w:bidi="ar"/>
                    </w:rPr>
                    <w:t>（1）控制畜禽养殖污染，强化规模化畜禽养殖粪污综合利用和污染治理。（2）推进种植业面源污染防治，减少化肥、农药使用量。（3）因地制宜开展农村生活污水治理。加快污水纳管工作或采用合适的分散式污水处理技术，加强对生活污水处理设施的运行和维护，建立长效管理机制。</w:t>
                  </w:r>
                </w:p>
              </w:tc>
              <w:tc>
                <w:tcPr>
                  <w:tcW w:w="1487" w:type="pct"/>
                  <w:shd w:val="clear" w:color="auto" w:fill="auto"/>
                  <w:vAlign w:val="center"/>
                </w:tcPr>
                <w:p w14:paraId="208AAB5E">
                  <w:pPr>
                    <w:pStyle w:val="2328"/>
                    <w:keepNext w:val="0"/>
                    <w:keepLines w:val="0"/>
                    <w:suppressLineNumbers w:val="0"/>
                    <w:spacing w:before="0" w:beforeAutospacing="0" w:after="0" w:afterAutospacing="0"/>
                    <w:ind w:left="0" w:leftChars="0" w:right="0" w:rightChars="0"/>
                    <w:jc w:val="both"/>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本</w:t>
                  </w:r>
                  <w:r>
                    <w:rPr>
                      <w:rFonts w:hint="default" w:ascii="Times New Roman" w:hAnsi="Times New Roman" w:eastAsia="宋体" w:cs="Times New Roman"/>
                      <w:color w:val="auto"/>
                      <w:sz w:val="21"/>
                      <w:szCs w:val="21"/>
                      <w:lang w:val="en-US" w:eastAsia="zh-CN"/>
                    </w:rPr>
                    <w:t>项目为</w:t>
                  </w:r>
                  <w:r>
                    <w:rPr>
                      <w:rFonts w:hint="eastAsia" w:ascii="Times New Roman" w:hAnsi="Times New Roman" w:eastAsia="宋体" w:cs="Times New Roman"/>
                      <w:color w:val="auto"/>
                      <w:sz w:val="21"/>
                      <w:szCs w:val="21"/>
                      <w:lang w:val="en-US" w:eastAsia="zh-CN"/>
                    </w:rPr>
                    <w:t>五金工具加工项目</w:t>
                  </w:r>
                  <w:r>
                    <w:rPr>
                      <w:rFonts w:hint="default" w:ascii="Times New Roman" w:hAnsi="Times New Roman" w:eastAsia="宋体" w:cs="Times New Roman"/>
                      <w:color w:val="auto"/>
                      <w:sz w:val="21"/>
                      <w:szCs w:val="21"/>
                      <w:lang w:val="en-US" w:eastAsia="zh-CN"/>
                    </w:rPr>
                    <w:t>，不涉及畜禽养殖、种植业</w:t>
                  </w:r>
                  <w:r>
                    <w:rPr>
                      <w:rFonts w:hint="eastAsia"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生活污水</w:t>
                  </w:r>
                  <w:r>
                    <w:rPr>
                      <w:rFonts w:hint="eastAsia" w:ascii="Times New Roman" w:hAnsi="Times New Roman" w:eastAsia="宋体" w:cs="Times New Roman"/>
                      <w:color w:val="auto"/>
                      <w:sz w:val="21"/>
                      <w:szCs w:val="21"/>
                      <w:lang w:val="en-US" w:eastAsia="zh-CN"/>
                    </w:rPr>
                    <w:t>经</w:t>
                  </w:r>
                  <w:r>
                    <w:rPr>
                      <w:rFonts w:hint="default" w:ascii="Times New Roman" w:hAnsi="Times New Roman" w:eastAsia="宋体" w:cs="Times New Roman"/>
                      <w:color w:val="auto"/>
                      <w:sz w:val="21"/>
                      <w:szCs w:val="21"/>
                      <w:lang w:val="en-US" w:eastAsia="zh-CN"/>
                    </w:rPr>
                    <w:t>化粪池处理</w:t>
                  </w:r>
                  <w:r>
                    <w:rPr>
                      <w:rFonts w:hint="eastAsia" w:ascii="Times New Roman" w:hAnsi="Times New Roman" w:eastAsia="宋体" w:cs="Times New Roman"/>
                      <w:color w:val="auto"/>
                      <w:sz w:val="21"/>
                      <w:szCs w:val="21"/>
                      <w:lang w:val="en-US" w:eastAsia="zh-CN"/>
                    </w:rPr>
                    <w:t>作为农田灌溉用水使用</w:t>
                  </w:r>
                  <w:r>
                    <w:rPr>
                      <w:rFonts w:hint="default" w:ascii="Times New Roman" w:hAnsi="Times New Roman" w:eastAsia="宋体" w:cs="Times New Roman"/>
                      <w:color w:val="auto"/>
                      <w:sz w:val="21"/>
                      <w:szCs w:val="21"/>
                      <w:lang w:val="en-US" w:eastAsia="zh-CN"/>
                    </w:rPr>
                    <w:t>。</w:t>
                  </w:r>
                </w:p>
              </w:tc>
              <w:tc>
                <w:tcPr>
                  <w:tcW w:w="586" w:type="pct"/>
                  <w:vAlign w:val="center"/>
                </w:tcPr>
                <w:p w14:paraId="1F109CA4">
                  <w:pPr>
                    <w:pStyle w:val="2328"/>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符合</w:t>
                  </w:r>
                </w:p>
              </w:tc>
            </w:tr>
            <w:tr w14:paraId="3E21416C">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567" w:hRule="atLeast"/>
                <w:jc w:val="center"/>
              </w:trPr>
              <w:tc>
                <w:tcPr>
                  <w:tcW w:w="561" w:type="pct"/>
                  <w:vAlign w:val="center"/>
                </w:tcPr>
                <w:p w14:paraId="3BD2600E">
                  <w:pPr>
                    <w:pStyle w:val="2328"/>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环境风险防控</w:t>
                  </w:r>
                </w:p>
              </w:tc>
              <w:tc>
                <w:tcPr>
                  <w:tcW w:w="2363" w:type="pct"/>
                  <w:shd w:val="clear" w:color="auto" w:fill="auto"/>
                  <w:vAlign w:val="center"/>
                </w:tcPr>
                <w:p w14:paraId="543BD477">
                  <w:pPr>
                    <w:keepNext w:val="0"/>
                    <w:keepLines w:val="0"/>
                    <w:widowControl/>
                    <w:suppressLineNumbers w:val="0"/>
                    <w:jc w:val="both"/>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0"/>
                      <w:sz w:val="21"/>
                      <w:szCs w:val="21"/>
                      <w:lang w:val="en-US" w:eastAsia="zh-CN" w:bidi="ar"/>
                    </w:rPr>
                    <w:t>严格管控类农用地，不得在依法划定的特定农产品禁止生产区域种植食用农产品。安全利用类农用地，应制定农艺调控、替代种植、定期开展土壤和农产品协同监测与评价、技术指导和培训等安全利用方案，降低农产品超标风险。</w:t>
                  </w:r>
                </w:p>
              </w:tc>
              <w:tc>
                <w:tcPr>
                  <w:tcW w:w="1487" w:type="pct"/>
                  <w:shd w:val="clear" w:color="auto" w:fill="auto"/>
                  <w:vAlign w:val="center"/>
                </w:tcPr>
                <w:p w14:paraId="1305E9B3">
                  <w:pPr>
                    <w:pStyle w:val="2328"/>
                    <w:keepNext w:val="0"/>
                    <w:keepLines w:val="0"/>
                    <w:suppressLineNumbers w:val="0"/>
                    <w:spacing w:before="0" w:beforeAutospacing="0" w:after="0" w:afterAutospacing="0"/>
                    <w:ind w:left="0" w:leftChars="0" w:right="0" w:rightChars="0"/>
                    <w:jc w:val="both"/>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根据附件7淮安市淮阴区马头镇人民政府、淮安市自然资源和规划局淮阴分局出具的证明，项目所在地用地性质为工业用地</w:t>
                  </w:r>
                  <w:r>
                    <w:rPr>
                      <w:rFonts w:hint="eastAsia" w:cs="Times New Roman"/>
                      <w:color w:val="auto"/>
                      <w:sz w:val="21"/>
                      <w:szCs w:val="21"/>
                      <w:lang w:val="en-US" w:eastAsia="zh-CN"/>
                    </w:rPr>
                    <w:t>。</w:t>
                  </w:r>
                </w:p>
              </w:tc>
              <w:tc>
                <w:tcPr>
                  <w:tcW w:w="586" w:type="pct"/>
                  <w:vAlign w:val="center"/>
                </w:tcPr>
                <w:p w14:paraId="12F7EB24">
                  <w:pPr>
                    <w:pStyle w:val="2328"/>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符合</w:t>
                  </w:r>
                </w:p>
              </w:tc>
            </w:tr>
            <w:tr w14:paraId="72F6D1FA">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567" w:hRule="atLeast"/>
                <w:jc w:val="center"/>
              </w:trPr>
              <w:tc>
                <w:tcPr>
                  <w:tcW w:w="561" w:type="pct"/>
                  <w:vAlign w:val="center"/>
                </w:tcPr>
                <w:p w14:paraId="3D55637A">
                  <w:pPr>
                    <w:pStyle w:val="2328"/>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资源利用效率要求</w:t>
                  </w:r>
                </w:p>
              </w:tc>
              <w:tc>
                <w:tcPr>
                  <w:tcW w:w="2363" w:type="pct"/>
                  <w:shd w:val="clear" w:color="auto" w:fill="auto"/>
                  <w:vAlign w:val="center"/>
                </w:tcPr>
                <w:p w14:paraId="4F8A77C6">
                  <w:pPr>
                    <w:keepNext w:val="0"/>
                    <w:keepLines w:val="0"/>
                    <w:widowControl/>
                    <w:suppressLineNumbers w:val="0"/>
                    <w:jc w:val="both"/>
                    <w:rPr>
                      <w:rFonts w:hint="default" w:ascii="Times New Roman" w:hAnsi="Times New Roman" w:eastAsia="宋体" w:cs="Times New Roman"/>
                      <w:color w:val="auto"/>
                      <w:kern w:val="0"/>
                      <w:sz w:val="21"/>
                      <w:szCs w:val="21"/>
                      <w:highlight w:val="none"/>
                      <w:lang w:val="en-US" w:eastAsia="zh-CN" w:bidi="ar-SA"/>
                    </w:rPr>
                  </w:pPr>
                  <w:r>
                    <w:rPr>
                      <w:rFonts w:hint="default" w:ascii="Times New Roman" w:hAnsi="Times New Roman" w:eastAsia="宋体" w:cs="Times New Roman"/>
                      <w:color w:val="auto"/>
                      <w:kern w:val="0"/>
                      <w:sz w:val="21"/>
                      <w:szCs w:val="21"/>
                      <w:lang w:val="en-US" w:eastAsia="zh-CN" w:bidi="ar"/>
                    </w:rPr>
                    <w:t>禁止销售使用燃料为“Ⅱ类”（较严），具体包括：①除单台出力大于等于20蒸吨/小时锅炉以外燃用的煤炭及其制品。②石油焦、油页岩、原油、重油、渣油、煤焦油。</w:t>
                  </w:r>
                </w:p>
              </w:tc>
              <w:tc>
                <w:tcPr>
                  <w:tcW w:w="1487" w:type="pct"/>
                  <w:shd w:val="clear" w:color="auto" w:fill="auto"/>
                  <w:vAlign w:val="center"/>
                </w:tcPr>
                <w:p w14:paraId="1EA59381">
                  <w:pPr>
                    <w:pStyle w:val="2328"/>
                    <w:keepNext w:val="0"/>
                    <w:keepLines w:val="0"/>
                    <w:suppressLineNumbers w:val="0"/>
                    <w:spacing w:before="0" w:beforeAutospacing="0" w:after="0" w:afterAutospacing="0"/>
                    <w:ind w:left="0" w:leftChars="0" w:right="0" w:rightChars="0"/>
                    <w:jc w:val="both"/>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本</w:t>
                  </w:r>
                  <w:r>
                    <w:rPr>
                      <w:rFonts w:hint="default" w:ascii="Times New Roman" w:hAnsi="Times New Roman" w:eastAsia="宋体" w:cs="Times New Roman"/>
                      <w:color w:val="auto"/>
                      <w:sz w:val="21"/>
                      <w:szCs w:val="21"/>
                      <w:lang w:val="en-US" w:eastAsia="zh-CN"/>
                    </w:rPr>
                    <w:t>项目</w:t>
                  </w:r>
                  <w:r>
                    <w:rPr>
                      <w:rFonts w:hint="eastAsia" w:cs="Times New Roman"/>
                      <w:color w:val="auto"/>
                      <w:sz w:val="21"/>
                      <w:szCs w:val="21"/>
                      <w:lang w:val="en-US" w:eastAsia="zh-CN"/>
                    </w:rPr>
                    <w:t>使用电能，</w:t>
                  </w:r>
                  <w:r>
                    <w:rPr>
                      <w:rFonts w:hint="default" w:ascii="Times New Roman" w:hAnsi="Times New Roman" w:eastAsia="宋体" w:cs="Times New Roman"/>
                      <w:color w:val="auto"/>
                      <w:sz w:val="21"/>
                      <w:szCs w:val="21"/>
                      <w:lang w:val="en-US" w:eastAsia="zh-CN"/>
                    </w:rPr>
                    <w:t>不涉及燃料的使用。</w:t>
                  </w:r>
                </w:p>
              </w:tc>
              <w:tc>
                <w:tcPr>
                  <w:tcW w:w="586" w:type="pct"/>
                  <w:vAlign w:val="center"/>
                </w:tcPr>
                <w:p w14:paraId="20807518">
                  <w:pPr>
                    <w:pStyle w:val="2328"/>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rPr>
                    <w:t>符合</w:t>
                  </w:r>
                </w:p>
              </w:tc>
            </w:tr>
          </w:tbl>
          <w:p w14:paraId="6D8B77DF">
            <w:pPr>
              <w:widowControl/>
              <w:adjustRightInd w:val="0"/>
              <w:snapToGrid w:val="0"/>
              <w:jc w:val="center"/>
              <w:rPr>
                <w:b/>
                <w:color w:val="auto"/>
                <w:kern w:val="0"/>
                <w:sz w:val="24"/>
              </w:rPr>
            </w:pPr>
          </w:p>
          <w:p w14:paraId="5B7AF495">
            <w:pPr>
              <w:shd w:val="clear" w:color="auto" w:fill="FFFFFF"/>
              <w:adjustRightInd w:val="0"/>
              <w:snapToGrid w:val="0"/>
              <w:spacing w:line="360" w:lineRule="auto"/>
              <w:rPr>
                <w:color w:val="auto"/>
              </w:rPr>
            </w:pPr>
            <w:r>
              <w:rPr>
                <w:color w:val="auto"/>
              </w:rPr>
              <w:drawing>
                <wp:inline distT="0" distB="0" distL="114300" distR="114300">
                  <wp:extent cx="4549140" cy="2700655"/>
                  <wp:effectExtent l="0" t="0" r="3810" b="444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9"/>
                          <a:stretch>
                            <a:fillRect/>
                          </a:stretch>
                        </pic:blipFill>
                        <pic:spPr>
                          <a:xfrm>
                            <a:off x="0" y="0"/>
                            <a:ext cx="4549140" cy="2700655"/>
                          </a:xfrm>
                          <a:prstGeom prst="rect">
                            <a:avLst/>
                          </a:prstGeom>
                          <a:noFill/>
                          <a:ln>
                            <a:noFill/>
                          </a:ln>
                        </pic:spPr>
                      </pic:pic>
                    </a:graphicData>
                  </a:graphic>
                </wp:inline>
              </w:drawing>
            </w:r>
          </w:p>
          <w:p w14:paraId="17381EF9">
            <w:pPr>
              <w:pStyle w:val="34"/>
              <w:keepNext w:val="0"/>
              <w:keepLines w:val="0"/>
              <w:pageBreakBefore w:val="0"/>
              <w:widowControl/>
              <w:kinsoku/>
              <w:wordWrap/>
              <w:overflowPunct/>
              <w:topLinePunct w:val="0"/>
              <w:autoSpaceDE/>
              <w:autoSpaceDN/>
              <w:bidi w:val="0"/>
              <w:adjustRightInd/>
              <w:snapToGrid w:val="0"/>
              <w:spacing w:before="0" w:after="157" w:afterLines="50" w:line="240" w:lineRule="auto"/>
              <w:ind w:right="0"/>
              <w:jc w:val="center"/>
              <w:textAlignment w:val="auto"/>
              <w:rPr>
                <w:color w:val="auto"/>
                <w:sz w:val="24"/>
                <w:szCs w:val="24"/>
              </w:rPr>
            </w:pPr>
            <w:bookmarkStart w:id="1" w:name="_Toc16747"/>
            <w:r>
              <w:rPr>
                <w:b/>
                <w:color w:val="auto"/>
                <w:sz w:val="24"/>
                <w:szCs w:val="24"/>
                <w:lang w:val="en-US"/>
              </w:rPr>
              <w:t>图1-1 江苏省生态环境分区管控综合服务系统查询结果图</w:t>
            </w:r>
            <w:bookmarkEnd w:id="1"/>
          </w:p>
          <w:p w14:paraId="18AE2AF2">
            <w:pPr>
              <w:adjustRightInd w:val="0"/>
              <w:snapToGrid w:val="0"/>
              <w:spacing w:line="360" w:lineRule="auto"/>
              <w:ind w:firstLine="480" w:firstLineChars="200"/>
              <w:rPr>
                <w:bCs/>
                <w:color w:val="auto"/>
                <w:sz w:val="24"/>
              </w:rPr>
            </w:pPr>
            <w:r>
              <w:rPr>
                <w:rFonts w:hint="eastAsia"/>
                <w:bCs/>
                <w:color w:val="auto"/>
                <w:sz w:val="24"/>
                <w:lang w:val="en-US" w:eastAsia="zh-CN"/>
              </w:rPr>
              <w:t>⑤</w:t>
            </w:r>
            <w:r>
              <w:rPr>
                <w:rFonts w:hint="eastAsia"/>
                <w:bCs/>
                <w:color w:val="auto"/>
                <w:sz w:val="24"/>
              </w:rPr>
              <w:t>本</w:t>
            </w:r>
            <w:r>
              <w:rPr>
                <w:bCs/>
                <w:color w:val="auto"/>
                <w:sz w:val="24"/>
              </w:rPr>
              <w:t>项目与《淮安市</w:t>
            </w:r>
            <w:r>
              <w:rPr>
                <w:rFonts w:hint="eastAsia"/>
                <w:bCs/>
                <w:color w:val="auto"/>
                <w:sz w:val="24"/>
              </w:rPr>
              <w:t>生态环境分区管控成果动态更新说明</w:t>
            </w:r>
            <w:r>
              <w:rPr>
                <w:bCs/>
                <w:color w:val="auto"/>
                <w:sz w:val="24"/>
              </w:rPr>
              <w:t>》（</w:t>
            </w:r>
            <w:r>
              <w:rPr>
                <w:rFonts w:hint="eastAsia"/>
                <w:bCs/>
                <w:color w:val="auto"/>
                <w:sz w:val="24"/>
              </w:rPr>
              <w:t>2023年版</w:t>
            </w:r>
            <w:r>
              <w:rPr>
                <w:bCs/>
                <w:color w:val="auto"/>
                <w:sz w:val="24"/>
              </w:rPr>
              <w:t>）相符性分析</w:t>
            </w:r>
          </w:p>
          <w:p w14:paraId="301357BA">
            <w:pPr>
              <w:adjustRightInd w:val="0"/>
              <w:snapToGrid w:val="0"/>
              <w:spacing w:line="360" w:lineRule="auto"/>
              <w:ind w:firstLine="480" w:firstLineChars="200"/>
              <w:rPr>
                <w:rFonts w:hint="eastAsia" w:ascii="Times New Roman" w:hAnsi="Times New Roman" w:cs="Times New Roman"/>
                <w:bCs/>
                <w:color w:val="auto"/>
                <w:sz w:val="24"/>
                <w:lang w:val="en-US" w:eastAsia="zh-CN"/>
              </w:rPr>
            </w:pPr>
            <w:r>
              <w:rPr>
                <w:rFonts w:hint="eastAsia" w:ascii="Times New Roman" w:hAnsi="Times New Roman" w:cs="Times New Roman"/>
                <w:bCs/>
                <w:color w:val="auto"/>
                <w:sz w:val="24"/>
                <w:lang w:val="en-US" w:eastAsia="zh-CN"/>
              </w:rPr>
              <w:t>本项目位于淮安市淮阴区马头镇东港路一号，</w:t>
            </w:r>
            <w:r>
              <w:rPr>
                <w:rFonts w:hint="default" w:ascii="Times New Roman" w:hAnsi="Times New Roman" w:cs="Times New Roman"/>
                <w:bCs/>
                <w:color w:val="auto"/>
                <w:sz w:val="24"/>
                <w:lang w:val="en-US" w:eastAsia="zh-CN"/>
              </w:rPr>
              <w:t>经查询江苏省生态环境分区管控综合服务系统，属于一般管控单元，相符性见表1-</w:t>
            </w:r>
            <w:r>
              <w:rPr>
                <w:rFonts w:hint="eastAsia" w:ascii="Times New Roman" w:hAnsi="Times New Roman" w:cs="Times New Roman"/>
                <w:bCs/>
                <w:color w:val="auto"/>
                <w:sz w:val="24"/>
                <w:lang w:val="en-US" w:eastAsia="zh-CN"/>
              </w:rPr>
              <w:t>4</w:t>
            </w:r>
            <w:r>
              <w:rPr>
                <w:rFonts w:hint="default" w:ascii="Times New Roman" w:hAnsi="Times New Roman" w:cs="Times New Roman"/>
                <w:bCs/>
                <w:color w:val="auto"/>
                <w:sz w:val="24"/>
                <w:lang w:val="en-US" w:eastAsia="zh-CN"/>
              </w:rPr>
              <w:t>。</w:t>
            </w:r>
          </w:p>
          <w:p w14:paraId="1218520F">
            <w:pPr>
              <w:adjustRightInd w:val="0"/>
              <w:snapToGrid w:val="0"/>
              <w:jc w:val="center"/>
              <w:rPr>
                <w:rFonts w:hint="eastAsia" w:cs="Times New Roman"/>
                <w:color w:val="auto"/>
                <w:sz w:val="24"/>
                <w:szCs w:val="32"/>
                <w:highlight w:val="none"/>
                <w:lang w:val="en-US" w:eastAsia="zh-CN"/>
              </w:rPr>
            </w:pPr>
            <w:r>
              <w:rPr>
                <w:b/>
                <w:color w:val="auto"/>
                <w:sz w:val="24"/>
              </w:rPr>
              <w:t>表1-</w:t>
            </w:r>
            <w:r>
              <w:rPr>
                <w:rFonts w:hint="eastAsia"/>
                <w:b/>
                <w:color w:val="auto"/>
                <w:sz w:val="24"/>
                <w:lang w:val="en-US" w:eastAsia="zh-CN"/>
              </w:rPr>
              <w:t>4</w:t>
            </w:r>
            <w:r>
              <w:rPr>
                <w:rFonts w:hint="eastAsia" w:ascii="Times New Roman" w:hAnsi="Times New Roman"/>
                <w:b/>
                <w:bCs/>
                <w:caps w:val="0"/>
                <w:smallCaps w:val="0"/>
                <w:color w:val="auto"/>
                <w:sz w:val="24"/>
                <w:szCs w:val="24"/>
                <w:highlight w:val="none"/>
                <w:lang w:val="en-US" w:eastAsia="zh-CN"/>
              </w:rPr>
              <w:t>本</w:t>
            </w:r>
            <w:r>
              <w:rPr>
                <w:rFonts w:hint="eastAsia" w:ascii="Times New Roman" w:hAnsi="Times New Roman" w:eastAsia="宋体"/>
                <w:b/>
                <w:bCs/>
                <w:caps w:val="0"/>
                <w:smallCaps w:val="0"/>
                <w:color w:val="auto"/>
                <w:sz w:val="24"/>
                <w:szCs w:val="24"/>
                <w:highlight w:val="none"/>
                <w:lang w:val="en-US" w:eastAsia="zh-CN"/>
              </w:rPr>
              <w:t>项目与</w:t>
            </w:r>
            <w:r>
              <w:rPr>
                <w:rFonts w:hint="eastAsia" w:cs="Times New Roman"/>
                <w:b/>
                <w:bCs/>
                <w:color w:val="auto"/>
                <w:sz w:val="24"/>
                <w:szCs w:val="32"/>
                <w:highlight w:val="none"/>
                <w:lang w:val="en-US" w:eastAsia="zh-CN"/>
              </w:rPr>
              <w:t>《淮安市生态环境分区管控动态更新成果》（2023年版）相符性分析</w:t>
            </w:r>
          </w:p>
          <w:tbl>
            <w:tblPr>
              <w:tblStyle w:val="89"/>
              <w:tblW w:w="8215" w:type="dxa"/>
              <w:tblInd w:w="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535"/>
              <w:gridCol w:w="662"/>
              <w:gridCol w:w="3338"/>
              <w:gridCol w:w="2790"/>
              <w:gridCol w:w="890"/>
            </w:tblGrid>
            <w:tr w14:paraId="1BD2A2B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197" w:type="dxa"/>
                  <w:gridSpan w:val="2"/>
                  <w:tcBorders>
                    <w:tl2br w:val="nil"/>
                    <w:tr2bl w:val="nil"/>
                  </w:tcBorders>
                  <w:noWrap w:val="0"/>
                  <w:vAlign w:val="center"/>
                </w:tcPr>
                <w:p w14:paraId="53D8B113">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类型</w:t>
                  </w:r>
                </w:p>
              </w:tc>
              <w:tc>
                <w:tcPr>
                  <w:tcW w:w="3338" w:type="dxa"/>
                  <w:tcBorders>
                    <w:tl2br w:val="nil"/>
                    <w:tr2bl w:val="nil"/>
                  </w:tcBorders>
                  <w:noWrap w:val="0"/>
                  <w:vAlign w:val="center"/>
                </w:tcPr>
                <w:p w14:paraId="2EE389A5">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管控要求</w:t>
                  </w:r>
                </w:p>
              </w:tc>
              <w:tc>
                <w:tcPr>
                  <w:tcW w:w="2790" w:type="dxa"/>
                  <w:tcBorders>
                    <w:tl2br w:val="nil"/>
                    <w:tr2bl w:val="nil"/>
                  </w:tcBorders>
                  <w:noWrap w:val="0"/>
                  <w:vAlign w:val="center"/>
                </w:tcPr>
                <w:p w14:paraId="09416831">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b/>
                      <w:bCs/>
                      <w:color w:val="auto"/>
                      <w:sz w:val="21"/>
                      <w:szCs w:val="21"/>
                      <w:vertAlign w:val="baseline"/>
                      <w:lang w:val="en-US" w:eastAsia="zh-CN"/>
                    </w:rPr>
                  </w:pPr>
                  <w:r>
                    <w:rPr>
                      <w:rFonts w:hint="eastAsia" w:ascii="Times New Roman" w:hAnsi="Times New Roman" w:eastAsia="宋体" w:cs="Times New Roman"/>
                      <w:b/>
                      <w:bCs/>
                      <w:color w:val="auto"/>
                      <w:sz w:val="21"/>
                      <w:szCs w:val="21"/>
                      <w:vertAlign w:val="baseline"/>
                      <w:lang w:val="en-US" w:eastAsia="zh-CN"/>
                    </w:rPr>
                    <w:t>本</w:t>
                  </w:r>
                  <w:r>
                    <w:rPr>
                      <w:rFonts w:hint="default" w:ascii="Times New Roman" w:hAnsi="Times New Roman" w:eastAsia="宋体" w:cs="Times New Roman"/>
                      <w:b/>
                      <w:bCs/>
                      <w:color w:val="auto"/>
                      <w:sz w:val="21"/>
                      <w:szCs w:val="21"/>
                      <w:vertAlign w:val="baseline"/>
                      <w:lang w:val="en-US" w:eastAsia="zh-CN"/>
                    </w:rPr>
                    <w:t>项目情况</w:t>
                  </w:r>
                </w:p>
              </w:tc>
              <w:tc>
                <w:tcPr>
                  <w:tcW w:w="890" w:type="dxa"/>
                  <w:tcBorders>
                    <w:tl2br w:val="nil"/>
                    <w:tr2bl w:val="nil"/>
                  </w:tcBorders>
                  <w:noWrap w:val="0"/>
                  <w:vAlign w:val="center"/>
                </w:tcPr>
                <w:p w14:paraId="25F3C176">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相符性分析</w:t>
                  </w:r>
                </w:p>
              </w:tc>
            </w:tr>
            <w:tr w14:paraId="4329A4F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197" w:type="dxa"/>
                  <w:gridSpan w:val="2"/>
                  <w:tcBorders>
                    <w:tl2br w:val="nil"/>
                    <w:tr2bl w:val="nil"/>
                  </w:tcBorders>
                  <w:noWrap w:val="0"/>
                  <w:vAlign w:val="center"/>
                </w:tcPr>
                <w:p w14:paraId="52769550">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基本原则</w:t>
                  </w:r>
                </w:p>
              </w:tc>
              <w:tc>
                <w:tcPr>
                  <w:tcW w:w="3338" w:type="dxa"/>
                  <w:tcBorders>
                    <w:tl2br w:val="nil"/>
                    <w:tr2bl w:val="nil"/>
                  </w:tcBorders>
                  <w:noWrap w:val="0"/>
                  <w:vAlign w:val="center"/>
                </w:tcPr>
                <w:p w14:paraId="5BEC30BA">
                  <w:pPr>
                    <w:keepNext w:val="0"/>
                    <w:keepLines w:val="0"/>
                    <w:widowControl/>
                    <w:suppressLineNumbers w:val="0"/>
                    <w:adjustRightInd w:val="0"/>
                    <w:snapToGrid w:val="0"/>
                    <w:spacing w:before="0" w:beforeAutospacing="0" w:after="0" w:afterAutospacing="0" w:line="300" w:lineRule="exact"/>
                    <w:ind w:left="0" w:leftChars="0" w:right="0" w:rightChars="0"/>
                    <w:jc w:val="both"/>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Cs/>
                      <w:caps w:val="0"/>
                      <w:smallCaps w:val="0"/>
                      <w:color w:val="auto"/>
                      <w:kern w:val="0"/>
                      <w:sz w:val="21"/>
                      <w:szCs w:val="21"/>
                      <w:lang w:val="en-US" w:eastAsia="zh-CN"/>
                    </w:rPr>
                    <w:t>1、依法依规，严守底线。2、立足实际，因地制宜。3、严格准入，提升效能。</w:t>
                  </w:r>
                </w:p>
              </w:tc>
              <w:tc>
                <w:tcPr>
                  <w:tcW w:w="2790" w:type="dxa"/>
                  <w:tcBorders>
                    <w:tl2br w:val="nil"/>
                    <w:tr2bl w:val="nil"/>
                  </w:tcBorders>
                  <w:noWrap w:val="0"/>
                  <w:vAlign w:val="center"/>
                </w:tcPr>
                <w:p w14:paraId="75E204C2">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both"/>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Cs/>
                      <w:caps w:val="0"/>
                      <w:smallCaps w:val="0"/>
                      <w:color w:val="auto"/>
                      <w:kern w:val="0"/>
                      <w:sz w:val="21"/>
                      <w:szCs w:val="21"/>
                      <w:highlight w:val="none"/>
                      <w:lang w:val="en-US" w:eastAsia="zh-CN"/>
                    </w:rPr>
                    <w:t>本项目为</w:t>
                  </w:r>
                  <w:r>
                    <w:rPr>
                      <w:rFonts w:hint="eastAsia" w:ascii="Times New Roman" w:hAnsi="Times New Roman" w:eastAsia="宋体" w:cs="Times New Roman"/>
                      <w:color w:val="auto"/>
                      <w:sz w:val="21"/>
                      <w:szCs w:val="21"/>
                      <w:lang w:val="en-US" w:eastAsia="zh-CN"/>
                    </w:rPr>
                    <w:t>五金工具加工项目</w:t>
                  </w:r>
                  <w:r>
                    <w:rPr>
                      <w:rFonts w:hint="default" w:ascii="Times New Roman" w:hAnsi="Times New Roman" w:eastAsia="宋体" w:cs="Times New Roman"/>
                      <w:color w:val="auto"/>
                      <w:sz w:val="21"/>
                      <w:szCs w:val="21"/>
                      <w:lang w:val="en-US" w:eastAsia="zh-CN"/>
                    </w:rPr>
                    <w:t>，不属于限制、禁止发展项目</w:t>
                  </w:r>
                  <w:r>
                    <w:rPr>
                      <w:rFonts w:hint="eastAsia" w:cs="Times New Roman"/>
                      <w:color w:val="auto"/>
                      <w:sz w:val="21"/>
                      <w:szCs w:val="21"/>
                      <w:lang w:val="en-US" w:eastAsia="zh-CN"/>
                    </w:rPr>
                    <w:t>。</w:t>
                  </w:r>
                </w:p>
              </w:tc>
              <w:tc>
                <w:tcPr>
                  <w:tcW w:w="890" w:type="dxa"/>
                  <w:tcBorders>
                    <w:tl2br w:val="nil"/>
                    <w:tr2bl w:val="nil"/>
                  </w:tcBorders>
                  <w:noWrap w:val="0"/>
                  <w:vAlign w:val="center"/>
                </w:tcPr>
                <w:p w14:paraId="456FF81B">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符合</w:t>
                  </w:r>
                </w:p>
              </w:tc>
            </w:tr>
            <w:tr w14:paraId="37964A0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535" w:type="dxa"/>
                  <w:vMerge w:val="restart"/>
                  <w:tcBorders>
                    <w:tl2br w:val="nil"/>
                    <w:tr2bl w:val="nil"/>
                  </w:tcBorders>
                  <w:noWrap w:val="0"/>
                  <w:vAlign w:val="center"/>
                </w:tcPr>
                <w:p w14:paraId="2D7BC197">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总体目标</w:t>
                  </w:r>
                </w:p>
              </w:tc>
              <w:tc>
                <w:tcPr>
                  <w:tcW w:w="662" w:type="dxa"/>
                  <w:tcBorders>
                    <w:tl2br w:val="nil"/>
                    <w:tr2bl w:val="nil"/>
                  </w:tcBorders>
                  <w:noWrap w:val="0"/>
                  <w:vAlign w:val="center"/>
                </w:tcPr>
                <w:p w14:paraId="1E906C83">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生态保护红线</w:t>
                  </w:r>
                </w:p>
              </w:tc>
              <w:tc>
                <w:tcPr>
                  <w:tcW w:w="3338" w:type="dxa"/>
                  <w:tcBorders>
                    <w:tl2br w:val="nil"/>
                    <w:tr2bl w:val="nil"/>
                  </w:tcBorders>
                  <w:noWrap w:val="0"/>
                  <w:vAlign w:val="center"/>
                </w:tcPr>
                <w:p w14:paraId="5C7BC8E5">
                  <w:pPr>
                    <w:keepNext w:val="0"/>
                    <w:keepLines w:val="0"/>
                    <w:widowControl/>
                    <w:suppressLineNumbers w:val="0"/>
                    <w:adjustRightInd w:val="0"/>
                    <w:snapToGrid w:val="0"/>
                    <w:spacing w:before="0" w:beforeAutospacing="0" w:after="0" w:afterAutospacing="0" w:line="300" w:lineRule="exact"/>
                    <w:ind w:left="0" w:leftChars="0" w:right="0" w:rightChars="0"/>
                    <w:jc w:val="both"/>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Cs/>
                      <w:caps w:val="0"/>
                      <w:smallCaps w:val="0"/>
                      <w:color w:val="auto"/>
                      <w:kern w:val="0"/>
                      <w:sz w:val="21"/>
                      <w:szCs w:val="21"/>
                      <w:lang w:val="en-US" w:eastAsia="zh-CN"/>
                    </w:rPr>
                    <w:t>全市生态空间保护区域总面积2036.8907平方公里，占全市国土面积的20.31%。其中，生态保护红线面积1411.1018平方公里，占全市国土面积的14.07%，生态空间管控区域面积625.7889平方公里，占全市国土面积的6.24%。</w:t>
                  </w:r>
                </w:p>
              </w:tc>
              <w:tc>
                <w:tcPr>
                  <w:tcW w:w="2790" w:type="dxa"/>
                  <w:tcBorders>
                    <w:tl2br w:val="nil"/>
                    <w:tr2bl w:val="nil"/>
                  </w:tcBorders>
                  <w:noWrap w:val="0"/>
                  <w:vAlign w:val="center"/>
                </w:tcPr>
                <w:p w14:paraId="71549C8F">
                  <w:pPr>
                    <w:pStyle w:val="28"/>
                    <w:jc w:val="both"/>
                    <w:rPr>
                      <w:rFonts w:hint="eastAsia"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kern w:val="0"/>
                      <w:sz w:val="21"/>
                      <w:szCs w:val="21"/>
                      <w:highlight w:val="none"/>
                      <w:lang w:val="en-US" w:eastAsia="zh-CN"/>
                    </w:rPr>
                    <w:t>本</w:t>
                  </w:r>
                  <w:r>
                    <w:rPr>
                      <w:rFonts w:hint="default" w:ascii="Times New Roman" w:hAnsi="Times New Roman" w:eastAsia="宋体" w:cs="Times New Roman"/>
                      <w:color w:val="auto"/>
                      <w:kern w:val="0"/>
                      <w:sz w:val="21"/>
                      <w:szCs w:val="21"/>
                      <w:highlight w:val="none"/>
                    </w:rPr>
                    <w:t>项目距离最近的</w:t>
                  </w:r>
                  <w:r>
                    <w:rPr>
                      <w:rFonts w:hint="default" w:ascii="Times New Roman" w:hAnsi="Times New Roman" w:eastAsia="宋体" w:cs="Times New Roman"/>
                      <w:color w:val="auto"/>
                      <w:kern w:val="0"/>
                      <w:sz w:val="21"/>
                      <w:szCs w:val="21"/>
                      <w:highlight w:val="none"/>
                      <w:lang w:val="en-US" w:eastAsia="zh-CN"/>
                    </w:rPr>
                    <w:t>国家级生态保护红线为</w:t>
                  </w:r>
                  <w:r>
                    <w:rPr>
                      <w:rFonts w:hint="default" w:ascii="Times New Roman" w:hAnsi="Times New Roman" w:eastAsia="宋体" w:cs="Times New Roman"/>
                      <w:color w:val="auto"/>
                      <w:kern w:val="0"/>
                      <w:sz w:val="21"/>
                      <w:szCs w:val="21"/>
                      <w:highlight w:val="none"/>
                    </w:rPr>
                    <w:t>二河</w:t>
                  </w:r>
                  <w:r>
                    <w:rPr>
                      <w:rFonts w:hint="default" w:ascii="Times New Roman" w:hAnsi="Times New Roman" w:eastAsia="宋体" w:cs="Times New Roman"/>
                      <w:color w:val="auto"/>
                      <w:kern w:val="0"/>
                      <w:sz w:val="21"/>
                      <w:szCs w:val="21"/>
                      <w:highlight w:val="none"/>
                      <w:lang w:eastAsia="zh-CN"/>
                    </w:rPr>
                    <w:t>（</w:t>
                  </w:r>
                  <w:r>
                    <w:rPr>
                      <w:rFonts w:hint="default" w:ascii="Times New Roman" w:hAnsi="Times New Roman" w:eastAsia="宋体" w:cs="Times New Roman"/>
                      <w:color w:val="auto"/>
                      <w:kern w:val="0"/>
                      <w:sz w:val="21"/>
                      <w:szCs w:val="21"/>
                      <w:highlight w:val="none"/>
                    </w:rPr>
                    <w:t>淮阴区</w:t>
                  </w:r>
                  <w:r>
                    <w:rPr>
                      <w:rFonts w:hint="default" w:ascii="Times New Roman" w:hAnsi="Times New Roman" w:eastAsia="宋体" w:cs="Times New Roman"/>
                      <w:color w:val="auto"/>
                      <w:kern w:val="0"/>
                      <w:sz w:val="21"/>
                      <w:szCs w:val="21"/>
                      <w:highlight w:val="none"/>
                      <w:lang w:eastAsia="zh-CN"/>
                    </w:rPr>
                    <w:t>）</w:t>
                  </w:r>
                  <w:r>
                    <w:rPr>
                      <w:rFonts w:hint="default" w:ascii="Times New Roman" w:hAnsi="Times New Roman" w:eastAsia="宋体" w:cs="Times New Roman"/>
                      <w:color w:val="auto"/>
                      <w:kern w:val="0"/>
                      <w:sz w:val="21"/>
                      <w:szCs w:val="21"/>
                      <w:highlight w:val="none"/>
                    </w:rPr>
                    <w:t>饮用水水源保护区，</w:t>
                  </w:r>
                  <w:r>
                    <w:rPr>
                      <w:rFonts w:hint="default" w:ascii="Times New Roman" w:hAnsi="Times New Roman" w:eastAsia="宋体" w:cs="Times New Roman"/>
                      <w:color w:val="auto"/>
                      <w:kern w:val="0"/>
                      <w:sz w:val="21"/>
                      <w:szCs w:val="21"/>
                      <w:highlight w:val="none"/>
                      <w:lang w:val="en-US" w:eastAsia="zh-CN"/>
                    </w:rPr>
                    <w:t>最近</w:t>
                  </w:r>
                  <w:r>
                    <w:rPr>
                      <w:rFonts w:hint="default" w:ascii="Times New Roman" w:hAnsi="Times New Roman" w:eastAsia="宋体" w:cs="Times New Roman"/>
                      <w:color w:val="auto"/>
                      <w:kern w:val="0"/>
                      <w:sz w:val="21"/>
                      <w:szCs w:val="21"/>
                      <w:highlight w:val="none"/>
                    </w:rPr>
                    <w:t>距离</w:t>
                  </w:r>
                  <w:r>
                    <w:rPr>
                      <w:rFonts w:hint="default" w:ascii="Times New Roman" w:hAnsi="Times New Roman" w:eastAsia="宋体" w:cs="Times New Roman"/>
                      <w:color w:val="auto"/>
                      <w:kern w:val="0"/>
                      <w:sz w:val="21"/>
                      <w:szCs w:val="21"/>
                      <w:highlight w:val="none"/>
                      <w:lang w:val="en-US" w:eastAsia="zh-CN"/>
                    </w:rPr>
                    <w:t>约2.54</w:t>
                  </w:r>
                  <w:r>
                    <w:rPr>
                      <w:rFonts w:hint="default" w:ascii="Times New Roman" w:hAnsi="Times New Roman" w:eastAsia="宋体" w:cs="Times New Roman"/>
                      <w:color w:val="auto"/>
                      <w:kern w:val="0"/>
                      <w:sz w:val="21"/>
                      <w:szCs w:val="21"/>
                      <w:highlight w:val="none"/>
                    </w:rPr>
                    <w:t>km</w:t>
                  </w:r>
                  <w:r>
                    <w:rPr>
                      <w:rFonts w:hint="default" w:ascii="Times New Roman" w:hAnsi="Times New Roman" w:eastAsia="宋体" w:cs="Times New Roman"/>
                      <w:color w:val="auto"/>
                      <w:kern w:val="0"/>
                      <w:sz w:val="21"/>
                      <w:szCs w:val="21"/>
                      <w:highlight w:val="none"/>
                      <w:lang w:val="en-US" w:eastAsia="zh-CN"/>
                    </w:rPr>
                    <w:t>左右</w:t>
                  </w:r>
                  <w:r>
                    <w:rPr>
                      <w:rFonts w:hint="default" w:ascii="Times New Roman" w:hAnsi="Times New Roman" w:eastAsia="宋体" w:cs="Times New Roman"/>
                      <w:color w:val="auto"/>
                      <w:kern w:val="0"/>
                      <w:sz w:val="21"/>
                      <w:szCs w:val="21"/>
                      <w:highlight w:val="none"/>
                    </w:rPr>
                    <w:t>，</w:t>
                  </w:r>
                  <w:r>
                    <w:rPr>
                      <w:rFonts w:hint="default" w:ascii="Times New Roman" w:hAnsi="Times New Roman" w:eastAsia="宋体" w:cs="Times New Roman"/>
                      <w:color w:val="auto"/>
                      <w:kern w:val="0"/>
                      <w:sz w:val="21"/>
                      <w:szCs w:val="21"/>
                      <w:highlight w:val="none"/>
                      <w:lang w:val="en-US" w:eastAsia="zh-CN"/>
                    </w:rPr>
                    <w:t>距离最近</w:t>
                  </w:r>
                  <w:r>
                    <w:rPr>
                      <w:rFonts w:hint="default" w:ascii="Times New Roman" w:hAnsi="Times New Roman" w:eastAsia="宋体" w:cs="Times New Roman"/>
                      <w:color w:val="auto"/>
                      <w:kern w:val="0"/>
                      <w:sz w:val="21"/>
                      <w:szCs w:val="21"/>
                      <w:highlight w:val="none"/>
                    </w:rPr>
                    <w:t>生态</w:t>
                  </w:r>
                  <w:r>
                    <w:rPr>
                      <w:rFonts w:hint="default" w:ascii="Times New Roman" w:hAnsi="Times New Roman" w:eastAsia="宋体" w:cs="Times New Roman"/>
                      <w:color w:val="auto"/>
                      <w:kern w:val="0"/>
                      <w:sz w:val="21"/>
                      <w:szCs w:val="21"/>
                      <w:highlight w:val="none"/>
                      <w:lang w:eastAsia="zh-CN"/>
                    </w:rPr>
                    <w:t>空间</w:t>
                  </w:r>
                  <w:r>
                    <w:rPr>
                      <w:rFonts w:hint="default" w:ascii="Times New Roman" w:hAnsi="Times New Roman" w:eastAsia="宋体" w:cs="Times New Roman"/>
                      <w:color w:val="auto"/>
                      <w:kern w:val="0"/>
                      <w:sz w:val="21"/>
                      <w:szCs w:val="21"/>
                      <w:highlight w:val="none"/>
                    </w:rPr>
                    <w:t>管控区域为京杭大运河（淮阴区）清水通道维护区</w:t>
                  </w:r>
                  <w:r>
                    <w:rPr>
                      <w:rFonts w:hint="default" w:ascii="Times New Roman" w:hAnsi="Times New Roman" w:eastAsia="宋体" w:cs="Times New Roman"/>
                      <w:color w:val="auto"/>
                      <w:kern w:val="0"/>
                      <w:sz w:val="21"/>
                      <w:szCs w:val="21"/>
                      <w:highlight w:val="none"/>
                      <w:lang w:eastAsia="zh-CN"/>
                    </w:rPr>
                    <w:t>，</w:t>
                  </w:r>
                  <w:r>
                    <w:rPr>
                      <w:rFonts w:hint="default" w:ascii="Times New Roman" w:hAnsi="Times New Roman" w:eastAsia="宋体" w:cs="Times New Roman"/>
                      <w:color w:val="auto"/>
                      <w:kern w:val="0"/>
                      <w:sz w:val="21"/>
                      <w:szCs w:val="21"/>
                      <w:highlight w:val="none"/>
                      <w:lang w:val="en-US" w:eastAsia="zh-CN"/>
                    </w:rPr>
                    <w:t>最近距离约3.04km左右，</w:t>
                  </w:r>
                  <w:r>
                    <w:rPr>
                      <w:rFonts w:hint="default" w:ascii="Times New Roman" w:hAnsi="Times New Roman" w:eastAsia="宋体" w:cs="Times New Roman"/>
                      <w:color w:val="auto"/>
                      <w:kern w:val="0"/>
                      <w:sz w:val="21"/>
                      <w:szCs w:val="21"/>
                      <w:highlight w:val="none"/>
                    </w:rPr>
                    <w:t>不在确定的生态空间管控区域范围之内</w:t>
                  </w:r>
                  <w:r>
                    <w:rPr>
                      <w:rFonts w:hint="eastAsia" w:cs="Times New Roman"/>
                      <w:color w:val="auto"/>
                      <w:kern w:val="0"/>
                      <w:sz w:val="21"/>
                      <w:szCs w:val="21"/>
                      <w:highlight w:val="none"/>
                      <w:lang w:eastAsia="zh-CN"/>
                    </w:rPr>
                    <w:t>。</w:t>
                  </w:r>
                </w:p>
              </w:tc>
              <w:tc>
                <w:tcPr>
                  <w:tcW w:w="890" w:type="dxa"/>
                  <w:tcBorders>
                    <w:tl2br w:val="nil"/>
                    <w:tr2bl w:val="nil"/>
                  </w:tcBorders>
                  <w:noWrap w:val="0"/>
                  <w:vAlign w:val="center"/>
                </w:tcPr>
                <w:p w14:paraId="206013F6">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符合</w:t>
                  </w:r>
                </w:p>
              </w:tc>
            </w:tr>
            <w:tr w14:paraId="57E3807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535" w:type="dxa"/>
                  <w:vMerge w:val="continue"/>
                  <w:tcBorders>
                    <w:tl2br w:val="nil"/>
                    <w:tr2bl w:val="nil"/>
                  </w:tcBorders>
                  <w:noWrap w:val="0"/>
                  <w:vAlign w:val="center"/>
                </w:tcPr>
                <w:p w14:paraId="6870F763">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p>
              </w:tc>
              <w:tc>
                <w:tcPr>
                  <w:tcW w:w="662" w:type="dxa"/>
                  <w:tcBorders>
                    <w:tl2br w:val="nil"/>
                    <w:tr2bl w:val="nil"/>
                  </w:tcBorders>
                  <w:noWrap w:val="0"/>
                  <w:vAlign w:val="center"/>
                </w:tcPr>
                <w:p w14:paraId="5E144F9A">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环境质量底线</w:t>
                  </w:r>
                </w:p>
              </w:tc>
              <w:tc>
                <w:tcPr>
                  <w:tcW w:w="3338" w:type="dxa"/>
                  <w:tcBorders>
                    <w:tl2br w:val="nil"/>
                    <w:tr2bl w:val="nil"/>
                  </w:tcBorders>
                  <w:noWrap w:val="0"/>
                  <w:vAlign w:val="center"/>
                </w:tcPr>
                <w:p w14:paraId="4FA2D65C">
                  <w:pPr>
                    <w:keepNext w:val="0"/>
                    <w:keepLines w:val="0"/>
                    <w:widowControl/>
                    <w:suppressLineNumbers w:val="0"/>
                    <w:adjustRightInd w:val="0"/>
                    <w:snapToGrid w:val="0"/>
                    <w:spacing w:before="0" w:beforeAutospacing="0" w:after="0" w:afterAutospacing="0" w:line="300" w:lineRule="exact"/>
                    <w:ind w:left="0" w:leftChars="0" w:right="0" w:rightChars="0"/>
                    <w:jc w:val="both"/>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Cs/>
                      <w:caps w:val="0"/>
                      <w:smallCaps w:val="0"/>
                      <w:color w:val="auto"/>
                      <w:kern w:val="0"/>
                      <w:sz w:val="21"/>
                      <w:szCs w:val="21"/>
                      <w:lang w:val="en-US" w:eastAsia="zh-CN"/>
                    </w:rPr>
                    <w:t>城市空气质量优良天数比率达81%左右，城市PM</w:t>
                  </w:r>
                  <w:r>
                    <w:rPr>
                      <w:rFonts w:hint="default" w:ascii="Times New Roman" w:hAnsi="Times New Roman" w:eastAsia="宋体" w:cs="Times New Roman"/>
                      <w:bCs/>
                      <w:caps w:val="0"/>
                      <w:smallCaps w:val="0"/>
                      <w:color w:val="auto"/>
                      <w:kern w:val="0"/>
                      <w:sz w:val="21"/>
                      <w:szCs w:val="21"/>
                      <w:vertAlign w:val="subscript"/>
                      <w:lang w:val="en-US" w:eastAsia="zh-CN"/>
                    </w:rPr>
                    <w:t>2.5</w:t>
                  </w:r>
                  <w:r>
                    <w:rPr>
                      <w:rFonts w:hint="default" w:ascii="Times New Roman" w:hAnsi="Times New Roman" w:eastAsia="宋体" w:cs="Times New Roman"/>
                      <w:bCs/>
                      <w:caps w:val="0"/>
                      <w:smallCaps w:val="0"/>
                      <w:color w:val="auto"/>
                      <w:kern w:val="0"/>
                      <w:sz w:val="21"/>
                      <w:szCs w:val="21"/>
                      <w:lang w:val="en-US" w:eastAsia="zh-CN"/>
                    </w:rPr>
                    <w:t>年均浓度达32微克/立方米左右，臭氧污染得到有效控制，协同推进减污降碳的工作体系基本建立。57个地表水国省考断面年度水质均值达到或优于川类水质比例稳定达到省定要求。土壤和声环境质量保持稳定，受污染耕地安全利用率达到93%以上。</w:t>
                  </w:r>
                </w:p>
              </w:tc>
              <w:tc>
                <w:tcPr>
                  <w:tcW w:w="2790" w:type="dxa"/>
                  <w:tcBorders>
                    <w:tl2br w:val="nil"/>
                    <w:tr2bl w:val="nil"/>
                  </w:tcBorders>
                  <w:noWrap w:val="0"/>
                  <w:vAlign w:val="center"/>
                </w:tcPr>
                <w:p w14:paraId="796A1E31">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both"/>
                    <w:textAlignment w:val="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cs="Times New Roman"/>
                      <w:color w:val="auto"/>
                      <w:sz w:val="21"/>
                      <w:szCs w:val="21"/>
                      <w:lang w:val="en-US" w:eastAsia="zh-CN"/>
                    </w:rPr>
                    <w:t>根据《2024年淮安市生态环境状况公报》，除细颗粒物（PM</w:t>
                  </w:r>
                  <w:r>
                    <w:rPr>
                      <w:rFonts w:hint="eastAsia" w:ascii="Times New Roman" w:hAnsi="Times New Roman" w:cs="Times New Roman"/>
                      <w:color w:val="auto"/>
                      <w:sz w:val="21"/>
                      <w:szCs w:val="21"/>
                      <w:vertAlign w:val="subscript"/>
                      <w:lang w:val="en-US" w:eastAsia="zh-CN"/>
                    </w:rPr>
                    <w:t>2.5</w:t>
                  </w:r>
                  <w:r>
                    <w:rPr>
                      <w:rFonts w:hint="eastAsia" w:ascii="Times New Roman" w:hAnsi="Times New Roman" w:cs="Times New Roman"/>
                      <w:color w:val="auto"/>
                      <w:sz w:val="21"/>
                      <w:szCs w:val="21"/>
                      <w:lang w:val="en-US" w:eastAsia="zh-CN"/>
                    </w:rPr>
                    <w:t>）外其余因子均达到国家二级标准限值，建设项目所在地为不达标区。在落实《淮安市2025年大气污染防治工作计划》后，预期淮安市环境空气质量状况会进一步改善</w:t>
                  </w:r>
                  <w:r>
                    <w:rPr>
                      <w:rFonts w:hint="eastAsia" w:cs="Times New Roman"/>
                      <w:color w:val="auto"/>
                      <w:sz w:val="21"/>
                      <w:szCs w:val="21"/>
                      <w:lang w:val="en-US" w:eastAsia="zh-CN"/>
                    </w:rPr>
                    <w:t>。</w:t>
                  </w:r>
                  <w:r>
                    <w:rPr>
                      <w:rFonts w:hint="eastAsia" w:ascii="Times New Roman" w:hAnsi="Times New Roman" w:cs="Times New Roman"/>
                      <w:color w:val="auto"/>
                      <w:sz w:val="21"/>
                      <w:szCs w:val="21"/>
                      <w:lang w:val="en-US" w:eastAsia="zh-CN"/>
                    </w:rPr>
                    <w:t>2024年，27条主要河流水质保持稳定，本项目周边水环境质量良好。</w:t>
                  </w:r>
                  <w:r>
                    <w:rPr>
                      <w:rFonts w:hint="eastAsia" w:ascii="Times New Roman" w:hAnsi="Times New Roman" w:eastAsia="宋体" w:cs="Times New Roman"/>
                      <w:color w:val="auto"/>
                      <w:sz w:val="21"/>
                      <w:szCs w:val="21"/>
                      <w:vertAlign w:val="baseline"/>
                      <w:lang w:val="en-US" w:eastAsia="zh-CN"/>
                    </w:rPr>
                    <w:t>根据附件</w:t>
                  </w:r>
                  <w:r>
                    <w:rPr>
                      <w:rFonts w:hint="eastAsia" w:cs="Times New Roman"/>
                      <w:color w:val="auto"/>
                      <w:sz w:val="21"/>
                      <w:szCs w:val="21"/>
                      <w:vertAlign w:val="baseline"/>
                      <w:lang w:val="en-US" w:eastAsia="zh-CN"/>
                    </w:rPr>
                    <w:t>10</w:t>
                  </w:r>
                  <w:r>
                    <w:rPr>
                      <w:rFonts w:hint="eastAsia" w:ascii="Times New Roman" w:hAnsi="Times New Roman" w:eastAsia="宋体" w:cs="Times New Roman"/>
                      <w:color w:val="auto"/>
                      <w:sz w:val="21"/>
                      <w:szCs w:val="21"/>
                      <w:vertAlign w:val="baseline"/>
                      <w:lang w:val="en-US" w:eastAsia="zh-CN"/>
                    </w:rPr>
                    <w:t>环境质量现状监测报告，表明</w:t>
                  </w:r>
                  <w:r>
                    <w:rPr>
                      <w:rFonts w:hint="default" w:ascii="Times New Roman" w:hAnsi="Times New Roman" w:eastAsia="宋体" w:cs="Times New Roman"/>
                      <w:color w:val="auto"/>
                      <w:sz w:val="21"/>
                      <w:szCs w:val="21"/>
                      <w:vertAlign w:val="baseline"/>
                      <w:lang w:val="en-US" w:eastAsia="zh-CN"/>
                    </w:rPr>
                    <w:t>项目所在区域噪声环境质量达标。</w:t>
                  </w:r>
                </w:p>
              </w:tc>
              <w:tc>
                <w:tcPr>
                  <w:tcW w:w="890" w:type="dxa"/>
                  <w:tcBorders>
                    <w:tl2br w:val="nil"/>
                    <w:tr2bl w:val="nil"/>
                  </w:tcBorders>
                  <w:noWrap w:val="0"/>
                  <w:vAlign w:val="center"/>
                </w:tcPr>
                <w:p w14:paraId="472D6871">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符合</w:t>
                  </w:r>
                </w:p>
              </w:tc>
            </w:tr>
            <w:tr w14:paraId="2B1E731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535" w:type="dxa"/>
                  <w:vMerge w:val="continue"/>
                  <w:tcBorders>
                    <w:tl2br w:val="nil"/>
                    <w:tr2bl w:val="nil"/>
                  </w:tcBorders>
                  <w:noWrap w:val="0"/>
                  <w:vAlign w:val="center"/>
                </w:tcPr>
                <w:p w14:paraId="47FDB2D7">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p>
              </w:tc>
              <w:tc>
                <w:tcPr>
                  <w:tcW w:w="662" w:type="dxa"/>
                  <w:tcBorders>
                    <w:tl2br w:val="nil"/>
                    <w:tr2bl w:val="nil"/>
                  </w:tcBorders>
                  <w:noWrap w:val="0"/>
                  <w:vAlign w:val="center"/>
                </w:tcPr>
                <w:p w14:paraId="5EA896B5">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资源利用上线</w:t>
                  </w:r>
                </w:p>
              </w:tc>
              <w:tc>
                <w:tcPr>
                  <w:tcW w:w="3338" w:type="dxa"/>
                  <w:tcBorders>
                    <w:tl2br w:val="nil"/>
                    <w:tr2bl w:val="nil"/>
                  </w:tcBorders>
                  <w:noWrap w:val="0"/>
                  <w:vAlign w:val="center"/>
                </w:tcPr>
                <w:p w14:paraId="396C451E">
                  <w:pPr>
                    <w:keepNext w:val="0"/>
                    <w:keepLines w:val="0"/>
                    <w:widowControl/>
                    <w:suppressLineNumbers w:val="0"/>
                    <w:adjustRightInd w:val="0"/>
                    <w:snapToGrid w:val="0"/>
                    <w:spacing w:before="0" w:beforeAutospacing="0" w:after="0" w:afterAutospacing="0" w:line="300" w:lineRule="exact"/>
                    <w:ind w:left="0" w:leftChars="0" w:right="0" w:rightChars="0"/>
                    <w:jc w:val="both"/>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Cs/>
                      <w:caps w:val="0"/>
                      <w:smallCaps w:val="0"/>
                      <w:color w:val="auto"/>
                      <w:kern w:val="0"/>
                      <w:sz w:val="21"/>
                      <w:szCs w:val="21"/>
                      <w:lang w:val="en-US" w:eastAsia="zh-CN"/>
                    </w:rPr>
                    <w:t>全市用水总量不超过33亿立方米，耕地保有量不少于697.3500万亩，永久基本农田保护面积不低于596.0050万亩(含易地代保任务3.0000万亩)，煤炭消费总量下降5%左右，煤炭占能源消费总量的比重下降至50%左右，非化石能源消费比重达到18%左右。</w:t>
                  </w:r>
                </w:p>
              </w:tc>
              <w:tc>
                <w:tcPr>
                  <w:tcW w:w="2790" w:type="dxa"/>
                  <w:tcBorders>
                    <w:tl2br w:val="nil"/>
                    <w:tr2bl w:val="nil"/>
                  </w:tcBorders>
                  <w:noWrap w:val="0"/>
                  <w:vAlign w:val="center"/>
                </w:tcPr>
                <w:p w14:paraId="0A198C53">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both"/>
                    <w:textAlignment w:val="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本</w:t>
                  </w:r>
                  <w:r>
                    <w:rPr>
                      <w:rFonts w:hint="default" w:ascii="Times New Roman" w:hAnsi="Times New Roman" w:eastAsia="宋体" w:cs="Times New Roman"/>
                      <w:color w:val="auto"/>
                      <w:sz w:val="21"/>
                      <w:szCs w:val="21"/>
                      <w:vertAlign w:val="baseline"/>
                      <w:lang w:val="en-US" w:eastAsia="zh-CN"/>
                    </w:rPr>
                    <w:t>项目</w:t>
                  </w:r>
                  <w:r>
                    <w:rPr>
                      <w:rFonts w:hint="eastAsia" w:ascii="Times New Roman" w:hAnsi="Times New Roman" w:eastAsia="宋体" w:cs="Times New Roman"/>
                      <w:color w:val="auto"/>
                      <w:sz w:val="21"/>
                      <w:szCs w:val="21"/>
                      <w:vertAlign w:val="baseline"/>
                      <w:lang w:val="en-US" w:eastAsia="zh-CN"/>
                    </w:rPr>
                    <w:t>位于淮安市淮阴区马头镇东港路一号</w:t>
                  </w:r>
                  <w:r>
                    <w:rPr>
                      <w:rFonts w:hint="eastAsia" w:ascii="Times New Roman" w:hAnsi="Times New Roman" w:cs="Times New Roman"/>
                      <w:color w:val="auto"/>
                      <w:sz w:val="21"/>
                      <w:szCs w:val="21"/>
                      <w:vertAlign w:val="baseline"/>
                      <w:lang w:val="en-US" w:eastAsia="zh-CN"/>
                    </w:rPr>
                    <w:t>，</w:t>
                  </w:r>
                  <w:r>
                    <w:rPr>
                      <w:rFonts w:hint="default" w:ascii="Times New Roman" w:hAnsi="Times New Roman" w:eastAsia="宋体" w:cs="Times New Roman"/>
                      <w:color w:val="auto"/>
                      <w:sz w:val="21"/>
                      <w:szCs w:val="21"/>
                      <w:vertAlign w:val="baseline"/>
                      <w:lang w:val="en-US" w:eastAsia="zh-CN"/>
                    </w:rPr>
                    <w:t>用地性质为工业用地，不占用基本农田，</w:t>
                  </w:r>
                  <w:r>
                    <w:rPr>
                      <w:rFonts w:hint="default" w:ascii="Times New Roman" w:hAnsi="Times New Roman" w:eastAsia="宋体" w:cs="Times New Roman"/>
                      <w:color w:val="auto"/>
                      <w:sz w:val="21"/>
                      <w:szCs w:val="21"/>
                      <w:highlight w:val="none"/>
                      <w:vertAlign w:val="baseline"/>
                      <w:lang w:val="en-US" w:eastAsia="zh-CN"/>
                    </w:rPr>
                    <w:t>不使用煤</w:t>
                  </w:r>
                  <w:r>
                    <w:rPr>
                      <w:rFonts w:hint="default" w:ascii="Times New Roman" w:hAnsi="Times New Roman" w:eastAsia="宋体" w:cs="Times New Roman"/>
                      <w:color w:val="auto"/>
                      <w:sz w:val="21"/>
                      <w:szCs w:val="21"/>
                      <w:vertAlign w:val="baseline"/>
                      <w:lang w:val="en-US" w:eastAsia="zh-CN"/>
                    </w:rPr>
                    <w:t>炭资源</w:t>
                  </w:r>
                  <w:r>
                    <w:rPr>
                      <w:rFonts w:hint="eastAsia" w:ascii="Times New Roman" w:hAnsi="Times New Roman" w:eastAsia="宋体" w:cs="Times New Roman"/>
                      <w:color w:val="auto"/>
                      <w:sz w:val="21"/>
                      <w:szCs w:val="21"/>
                      <w:vertAlign w:val="baseline"/>
                      <w:lang w:val="en-US" w:eastAsia="zh-CN"/>
                    </w:rPr>
                    <w:t>。</w:t>
                  </w:r>
                </w:p>
              </w:tc>
              <w:tc>
                <w:tcPr>
                  <w:tcW w:w="890" w:type="dxa"/>
                  <w:tcBorders>
                    <w:tl2br w:val="nil"/>
                    <w:tr2bl w:val="nil"/>
                  </w:tcBorders>
                  <w:noWrap w:val="0"/>
                  <w:vAlign w:val="center"/>
                </w:tcPr>
                <w:p w14:paraId="771D3B63">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符合</w:t>
                  </w:r>
                </w:p>
              </w:tc>
            </w:tr>
            <w:tr w14:paraId="6F46C46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1197" w:type="dxa"/>
                  <w:gridSpan w:val="2"/>
                  <w:tcBorders>
                    <w:tl2br w:val="nil"/>
                    <w:tr2bl w:val="nil"/>
                  </w:tcBorders>
                  <w:noWrap w:val="0"/>
                  <w:vAlign w:val="center"/>
                </w:tcPr>
                <w:p w14:paraId="1A813141">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环境管控单元</w:t>
                  </w:r>
                </w:p>
              </w:tc>
              <w:tc>
                <w:tcPr>
                  <w:tcW w:w="3338" w:type="dxa"/>
                  <w:tcBorders>
                    <w:tl2br w:val="nil"/>
                    <w:tr2bl w:val="nil"/>
                  </w:tcBorders>
                  <w:noWrap w:val="0"/>
                  <w:vAlign w:val="center"/>
                </w:tcPr>
                <w:p w14:paraId="739210A3">
                  <w:pPr>
                    <w:keepNext w:val="0"/>
                    <w:keepLines w:val="0"/>
                    <w:widowControl/>
                    <w:suppressLineNumbers w:val="0"/>
                    <w:adjustRightInd w:val="0"/>
                    <w:snapToGrid w:val="0"/>
                    <w:spacing w:before="0" w:beforeAutospacing="0" w:after="0" w:afterAutospacing="0" w:line="300" w:lineRule="exact"/>
                    <w:ind w:left="0" w:leftChars="0" w:right="0" w:rightChars="0"/>
                    <w:jc w:val="both"/>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Cs/>
                      <w:caps w:val="0"/>
                      <w:smallCaps w:val="0"/>
                      <w:color w:val="auto"/>
                      <w:kern w:val="0"/>
                      <w:sz w:val="21"/>
                      <w:szCs w:val="21"/>
                      <w:lang w:val="en-US" w:eastAsia="zh-CN"/>
                    </w:rPr>
                    <w:t>优先保护单元：97个；重点管控单元：147个；一般管控单元：91个</w:t>
                  </w:r>
                </w:p>
              </w:tc>
              <w:tc>
                <w:tcPr>
                  <w:tcW w:w="2790" w:type="dxa"/>
                  <w:tcBorders>
                    <w:tl2br w:val="nil"/>
                    <w:tr2bl w:val="nil"/>
                  </w:tcBorders>
                  <w:noWrap w:val="0"/>
                  <w:vAlign w:val="center"/>
                </w:tcPr>
                <w:p w14:paraId="1A80753D">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both"/>
                    <w:textAlignment w:val="auto"/>
                    <w:rPr>
                      <w:rFonts w:hint="default" w:ascii="Times New Roman" w:hAnsi="Times New Roman" w:eastAsia="宋体" w:cs="Times New Roman"/>
                      <w:color w:val="auto"/>
                      <w:sz w:val="21"/>
                      <w:szCs w:val="21"/>
                      <w:vertAlign w:val="baseline"/>
                      <w:lang w:val="en-US" w:eastAsia="zh-CN"/>
                    </w:rPr>
                  </w:pPr>
                  <w:r>
                    <w:rPr>
                      <w:rFonts w:hint="eastAsia" w:cs="Times New Roman"/>
                      <w:color w:val="auto"/>
                      <w:sz w:val="21"/>
                      <w:szCs w:val="21"/>
                      <w:vertAlign w:val="baseline"/>
                      <w:lang w:val="en-US" w:eastAsia="zh-CN"/>
                    </w:rPr>
                    <w:t>本项目</w:t>
                  </w:r>
                  <w:r>
                    <w:rPr>
                      <w:rFonts w:hint="default" w:ascii="Times New Roman" w:hAnsi="Times New Roman" w:eastAsia="宋体" w:cs="Times New Roman"/>
                      <w:color w:val="auto"/>
                      <w:sz w:val="21"/>
                      <w:szCs w:val="21"/>
                      <w:vertAlign w:val="baseline"/>
                      <w:lang w:val="en-US" w:eastAsia="zh-CN"/>
                    </w:rPr>
                    <w:t>属于一般管控单元</w:t>
                  </w:r>
                </w:p>
              </w:tc>
              <w:tc>
                <w:tcPr>
                  <w:tcW w:w="890" w:type="dxa"/>
                  <w:tcBorders>
                    <w:tl2br w:val="nil"/>
                    <w:tr2bl w:val="nil"/>
                  </w:tcBorders>
                  <w:noWrap w:val="0"/>
                  <w:vAlign w:val="center"/>
                </w:tcPr>
                <w:p w14:paraId="78E4F590">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符合</w:t>
                  </w:r>
                </w:p>
              </w:tc>
            </w:tr>
            <w:tr w14:paraId="7AF97CC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535" w:type="dxa"/>
                  <w:vMerge w:val="restart"/>
                  <w:tcBorders>
                    <w:tl2br w:val="nil"/>
                    <w:tr2bl w:val="nil"/>
                  </w:tcBorders>
                  <w:noWrap w:val="0"/>
                  <w:vAlign w:val="center"/>
                </w:tcPr>
                <w:p w14:paraId="5DEAB33D">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更新内容</w:t>
                  </w:r>
                </w:p>
              </w:tc>
              <w:tc>
                <w:tcPr>
                  <w:tcW w:w="662" w:type="dxa"/>
                  <w:tcBorders>
                    <w:tl2br w:val="nil"/>
                    <w:tr2bl w:val="nil"/>
                  </w:tcBorders>
                  <w:noWrap w:val="0"/>
                  <w:vAlign w:val="center"/>
                </w:tcPr>
                <w:p w14:paraId="60F6BA4C">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rPr>
                    <w:t>淮安 市生 态环 境管 控总 体要 求</w:t>
                  </w:r>
                </w:p>
              </w:tc>
              <w:tc>
                <w:tcPr>
                  <w:tcW w:w="3338" w:type="dxa"/>
                  <w:tcBorders>
                    <w:tl2br w:val="nil"/>
                    <w:tr2bl w:val="nil"/>
                  </w:tcBorders>
                  <w:noWrap w:val="0"/>
                  <w:vAlign w:val="center"/>
                </w:tcPr>
                <w:p w14:paraId="35107713">
                  <w:pPr>
                    <w:keepNext w:val="0"/>
                    <w:keepLines w:val="0"/>
                    <w:widowControl/>
                    <w:suppressLineNumbers w:val="0"/>
                    <w:adjustRightInd w:val="0"/>
                    <w:snapToGrid w:val="0"/>
                    <w:spacing w:before="0" w:beforeAutospacing="0" w:after="0" w:afterAutospacing="0" w:line="300" w:lineRule="exact"/>
                    <w:ind w:left="0" w:leftChars="0" w:right="0" w:rightChars="0"/>
                    <w:jc w:val="both"/>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Cs/>
                      <w:caps w:val="0"/>
                      <w:smallCaps w:val="0"/>
                      <w:color w:val="auto"/>
                      <w:kern w:val="0"/>
                      <w:sz w:val="21"/>
                      <w:szCs w:val="21"/>
                      <w:lang w:val="en-US" w:eastAsia="zh-CN"/>
                    </w:rPr>
                    <w:t>删除《中共淮安市委 淮安市人民政府关于全面加强生态环境保护坚决打好污染防治攻坚战的实施意见》（淮发〔2018〕33号）等过期文件及相关要求。新增中共江苏省委 江苏省人民政府关于《深入打好污染防治攻坚战的实施意见》（2022年1月24日）等最新文件及相关要求。</w:t>
                  </w:r>
                </w:p>
              </w:tc>
              <w:tc>
                <w:tcPr>
                  <w:tcW w:w="2790" w:type="dxa"/>
                  <w:tcBorders>
                    <w:tl2br w:val="nil"/>
                    <w:tr2bl w:val="nil"/>
                  </w:tcBorders>
                  <w:noWrap w:val="0"/>
                  <w:vAlign w:val="center"/>
                </w:tcPr>
                <w:p w14:paraId="435B7020">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both"/>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rPr>
                    <w:t>对照《关于深入打好污染防治攻坚战的实施意见》（2022年1月24</w:t>
                  </w:r>
                  <w:r>
                    <w:rPr>
                      <w:rFonts w:hint="default" w:ascii="Times New Roman" w:hAnsi="Times New Roman" w:eastAsia="宋体" w:cs="Times New Roman"/>
                      <w:color w:val="auto"/>
                      <w:sz w:val="21"/>
                      <w:szCs w:val="21"/>
                      <w:lang w:val="en-US" w:eastAsia="zh-CN"/>
                    </w:rPr>
                    <w:t>日</w:t>
                  </w:r>
                  <w:r>
                    <w:rPr>
                      <w:rFonts w:hint="default" w:ascii="Times New Roman" w:hAnsi="Times New Roman" w:eastAsia="宋体" w:cs="Times New Roman"/>
                      <w:color w:val="auto"/>
                      <w:sz w:val="21"/>
                      <w:szCs w:val="21"/>
                    </w:rPr>
                    <w:t>），本项目不属于高耗水、高耗能项目；本项目清洁生产水平国</w:t>
                  </w:r>
                  <w:r>
                    <w:rPr>
                      <w:rFonts w:hint="default" w:ascii="Times New Roman" w:hAnsi="Times New Roman" w:eastAsia="宋体" w:cs="Times New Roman"/>
                      <w:color w:val="auto"/>
                      <w:sz w:val="21"/>
                      <w:szCs w:val="21"/>
                      <w:lang w:val="en-US" w:eastAsia="zh-CN"/>
                    </w:rPr>
                    <w:t>内</w:t>
                  </w:r>
                  <w:r>
                    <w:rPr>
                      <w:rFonts w:hint="default" w:ascii="Times New Roman" w:hAnsi="Times New Roman" w:eastAsia="宋体" w:cs="Times New Roman"/>
                      <w:color w:val="auto"/>
                      <w:sz w:val="21"/>
                      <w:szCs w:val="21"/>
                    </w:rPr>
                    <w:t>清洁生产领先水平；符合“三线一单”要求。</w:t>
                  </w:r>
                </w:p>
              </w:tc>
              <w:tc>
                <w:tcPr>
                  <w:tcW w:w="890" w:type="dxa"/>
                  <w:tcBorders>
                    <w:tl2br w:val="nil"/>
                    <w:tr2bl w:val="nil"/>
                  </w:tcBorders>
                  <w:noWrap w:val="0"/>
                  <w:vAlign w:val="center"/>
                </w:tcPr>
                <w:p w14:paraId="735E0B64">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p>
              </w:tc>
            </w:tr>
            <w:tr w14:paraId="71B4C8C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535" w:type="dxa"/>
                  <w:vMerge w:val="continue"/>
                  <w:tcBorders>
                    <w:tl2br w:val="nil"/>
                    <w:tr2bl w:val="nil"/>
                  </w:tcBorders>
                  <w:noWrap w:val="0"/>
                  <w:vAlign w:val="center"/>
                </w:tcPr>
                <w:p w14:paraId="113BC7F6">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p>
              </w:tc>
              <w:tc>
                <w:tcPr>
                  <w:tcW w:w="662" w:type="dxa"/>
                  <w:tcBorders>
                    <w:tl2br w:val="nil"/>
                    <w:tr2bl w:val="nil"/>
                  </w:tcBorders>
                  <w:noWrap w:val="0"/>
                  <w:vAlign w:val="center"/>
                </w:tcPr>
                <w:p w14:paraId="28EEF6C1">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rPr>
                    <w:t>空间 布局 约束</w:t>
                  </w:r>
                </w:p>
              </w:tc>
              <w:tc>
                <w:tcPr>
                  <w:tcW w:w="3338" w:type="dxa"/>
                  <w:tcBorders>
                    <w:tl2br w:val="nil"/>
                    <w:tr2bl w:val="nil"/>
                  </w:tcBorders>
                  <w:noWrap w:val="0"/>
                  <w:vAlign w:val="center"/>
                </w:tcPr>
                <w:p w14:paraId="695F76FF">
                  <w:pPr>
                    <w:keepNext w:val="0"/>
                    <w:keepLines w:val="0"/>
                    <w:widowControl/>
                    <w:suppressLineNumbers w:val="0"/>
                    <w:adjustRightInd w:val="0"/>
                    <w:snapToGrid w:val="0"/>
                    <w:spacing w:before="0" w:beforeAutospacing="0" w:after="0" w:afterAutospacing="0" w:line="300" w:lineRule="exact"/>
                    <w:ind w:left="0" w:leftChars="0" w:right="0" w:rightChars="0"/>
                    <w:jc w:val="both"/>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Cs/>
                      <w:caps w:val="0"/>
                      <w:smallCaps w:val="0"/>
                      <w:color w:val="auto"/>
                      <w:kern w:val="0"/>
                      <w:sz w:val="21"/>
                      <w:szCs w:val="21"/>
                      <w:lang w:val="en-US" w:eastAsia="zh-CN"/>
                    </w:rPr>
                    <w:t>根据中共江苏省委 江苏省人民政府关于《深入打好污染防治攻坚战的实施意见》（2022年1月24日）、《淮安市深入打好净土保卫战实施方案》（淮污防攻坚指办〔2023〕17号）、《淮安市生态碧水三年行动方案》淮政发〔2022〕12号）、《淮安市国土空间总体规划（2021—2035年）》《大运河淮安段核心监控区国土空间管控细则》（淮政规〔2022〕8号）等文件进行调整。</w:t>
                  </w:r>
                </w:p>
              </w:tc>
              <w:tc>
                <w:tcPr>
                  <w:tcW w:w="2790" w:type="dxa"/>
                  <w:tcBorders>
                    <w:tl2br w:val="nil"/>
                    <w:tr2bl w:val="nil"/>
                  </w:tcBorders>
                  <w:noWrap w:val="0"/>
                  <w:vAlign w:val="center"/>
                </w:tcPr>
                <w:p w14:paraId="116726B8">
                  <w:pPr>
                    <w:keepNext w:val="0"/>
                    <w:keepLines w:val="0"/>
                    <w:widowControl/>
                    <w:suppressLineNumbers w:val="0"/>
                    <w:jc w:val="both"/>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rPr>
                    <w:t>对照《淮安市深入打好净土保卫战实施方案》</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淮污防攻坚指办</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eastAsia="zh-CN"/>
                    </w:rPr>
                    <w:t>2023</w:t>
                  </w:r>
                  <w:r>
                    <w:rPr>
                      <w:rFonts w:hint="eastAsia" w:cs="Times New Roman"/>
                      <w:color w:val="auto"/>
                      <w:sz w:val="21"/>
                      <w:szCs w:val="21"/>
                      <w:lang w:val="en-US" w:eastAsia="zh-CN"/>
                    </w:rPr>
                    <w:t>]</w:t>
                  </w:r>
                  <w:r>
                    <w:rPr>
                      <w:rFonts w:hint="default" w:ascii="Times New Roman" w:hAnsi="Times New Roman" w:eastAsia="宋体" w:cs="Times New Roman"/>
                      <w:color w:val="auto"/>
                      <w:sz w:val="21"/>
                      <w:szCs w:val="21"/>
                      <w:lang w:eastAsia="zh-CN"/>
                    </w:rPr>
                    <w:t>17号）</w:t>
                  </w:r>
                  <w:r>
                    <w:rPr>
                      <w:rFonts w:hint="default" w:ascii="Times New Roman" w:hAnsi="Times New Roman" w:eastAsia="宋体" w:cs="Times New Roman"/>
                      <w:color w:val="auto"/>
                      <w:sz w:val="21"/>
                      <w:szCs w:val="21"/>
                    </w:rPr>
                    <w:t>，</w:t>
                  </w:r>
                  <w:r>
                    <w:rPr>
                      <w:rFonts w:hint="eastAsia" w:ascii="Times New Roman" w:hAnsi="Times New Roman" w:eastAsia="宋体" w:cs="Times New Roman"/>
                      <w:color w:val="auto"/>
                      <w:sz w:val="21"/>
                      <w:szCs w:val="21"/>
                      <w:lang w:val="en-US" w:eastAsia="zh-CN"/>
                    </w:rPr>
                    <w:t>本</w:t>
                  </w:r>
                  <w:r>
                    <w:rPr>
                      <w:rFonts w:hint="default" w:ascii="Times New Roman" w:hAnsi="Times New Roman" w:eastAsia="宋体" w:cs="Times New Roman"/>
                      <w:color w:val="auto"/>
                      <w:sz w:val="21"/>
                      <w:szCs w:val="21"/>
                    </w:rPr>
                    <w:t>项目未使用国家明令淘汰或者禁止使用的回收利用技术、工艺，符合相关产业政策</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lang w:val="en-US" w:eastAsia="zh-CN"/>
                    </w:rPr>
                    <w:t>不属于实行负面清单管理，禁止准入项目，本项目</w:t>
                  </w:r>
                  <w:r>
                    <w:rPr>
                      <w:rFonts w:hint="default" w:ascii="Times New Roman" w:hAnsi="Times New Roman" w:eastAsia="宋体" w:cs="Times New Roman"/>
                      <w:bCs/>
                      <w:caps w:val="0"/>
                      <w:smallCaps w:val="0"/>
                      <w:color w:val="auto"/>
                      <w:kern w:val="0"/>
                      <w:sz w:val="21"/>
                      <w:szCs w:val="21"/>
                      <w:lang w:val="en-US" w:eastAsia="zh-CN"/>
                    </w:rPr>
                    <w:t>不在大运河核心管控区和滨河生态空间范围内</w:t>
                  </w:r>
                  <w:r>
                    <w:rPr>
                      <w:rFonts w:hint="eastAsia" w:ascii="Times New Roman" w:hAnsi="Times New Roman" w:eastAsia="宋体" w:cs="Times New Roman"/>
                      <w:bCs/>
                      <w:caps w:val="0"/>
                      <w:smallCaps w:val="0"/>
                      <w:color w:val="auto"/>
                      <w:kern w:val="0"/>
                      <w:sz w:val="21"/>
                      <w:szCs w:val="21"/>
                      <w:lang w:val="en-US" w:eastAsia="zh-CN"/>
                    </w:rPr>
                    <w:t>。</w:t>
                  </w:r>
                </w:p>
              </w:tc>
              <w:tc>
                <w:tcPr>
                  <w:tcW w:w="890" w:type="dxa"/>
                  <w:tcBorders>
                    <w:tl2br w:val="nil"/>
                    <w:tr2bl w:val="nil"/>
                  </w:tcBorders>
                  <w:noWrap w:val="0"/>
                  <w:vAlign w:val="center"/>
                </w:tcPr>
                <w:p w14:paraId="2B4E25FC">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符合</w:t>
                  </w:r>
                </w:p>
              </w:tc>
            </w:tr>
            <w:tr w14:paraId="388684F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535" w:type="dxa"/>
                  <w:vMerge w:val="continue"/>
                  <w:tcBorders>
                    <w:tl2br w:val="nil"/>
                    <w:tr2bl w:val="nil"/>
                  </w:tcBorders>
                  <w:noWrap w:val="0"/>
                  <w:vAlign w:val="center"/>
                </w:tcPr>
                <w:p w14:paraId="3E335AE2">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p>
              </w:tc>
              <w:tc>
                <w:tcPr>
                  <w:tcW w:w="662" w:type="dxa"/>
                  <w:tcBorders>
                    <w:tl2br w:val="nil"/>
                    <w:tr2bl w:val="nil"/>
                  </w:tcBorders>
                  <w:noWrap w:val="0"/>
                  <w:vAlign w:val="center"/>
                </w:tcPr>
                <w:p w14:paraId="0C61634B">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rPr>
                    <w:t>污染 物排 放管 控</w:t>
                  </w:r>
                </w:p>
              </w:tc>
              <w:tc>
                <w:tcPr>
                  <w:tcW w:w="3338" w:type="dxa"/>
                  <w:tcBorders>
                    <w:tl2br w:val="nil"/>
                    <w:tr2bl w:val="nil"/>
                  </w:tcBorders>
                  <w:noWrap w:val="0"/>
                  <w:vAlign w:val="center"/>
                </w:tcPr>
                <w:p w14:paraId="4C885620">
                  <w:pPr>
                    <w:keepNext w:val="0"/>
                    <w:keepLines w:val="0"/>
                    <w:widowControl/>
                    <w:suppressLineNumbers w:val="0"/>
                    <w:adjustRightInd w:val="0"/>
                    <w:snapToGrid w:val="0"/>
                    <w:spacing w:before="0" w:beforeAutospacing="0" w:after="0" w:afterAutospacing="0" w:line="300" w:lineRule="exact"/>
                    <w:ind w:left="0" w:leftChars="0" w:right="0" w:rightChars="0"/>
                    <w:jc w:val="both"/>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Cs/>
                      <w:caps w:val="0"/>
                      <w:smallCaps w:val="0"/>
                      <w:color w:val="auto"/>
                      <w:kern w:val="0"/>
                      <w:sz w:val="21"/>
                      <w:szCs w:val="21"/>
                      <w:lang w:val="en-US" w:eastAsia="zh-CN"/>
                    </w:rPr>
                    <w:t>根据《江苏省“十四五”节能减排综合实施方案》（苏政传发〔2022〕224号）文件进行调整。</w:t>
                  </w:r>
                </w:p>
              </w:tc>
              <w:tc>
                <w:tcPr>
                  <w:tcW w:w="2790" w:type="dxa"/>
                  <w:tcBorders>
                    <w:tl2br w:val="nil"/>
                    <w:tr2bl w:val="nil"/>
                  </w:tcBorders>
                  <w:noWrap w:val="0"/>
                  <w:vAlign w:val="center"/>
                </w:tcPr>
                <w:p w14:paraId="6CD1FF86">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both"/>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rPr>
                    <w:t>项目新增的大气污染物</w:t>
                  </w:r>
                  <w:r>
                    <w:rPr>
                      <w:rFonts w:hint="default" w:ascii="Times New Roman" w:hAnsi="Times New Roman" w:eastAsia="宋体" w:cs="Times New Roman"/>
                      <w:color w:val="auto"/>
                      <w:sz w:val="21"/>
                      <w:szCs w:val="21"/>
                      <w:lang w:val="en-US" w:eastAsia="zh-CN"/>
                    </w:rPr>
                    <w:t>VOCs</w:t>
                  </w:r>
                  <w:r>
                    <w:rPr>
                      <w:rFonts w:hint="eastAsia" w:ascii="Times New Roman" w:hAnsi="Times New Roman" w:eastAsia="宋体" w:cs="Times New Roman"/>
                      <w:color w:val="auto"/>
                      <w:sz w:val="21"/>
                      <w:szCs w:val="21"/>
                      <w:lang w:val="en-US" w:eastAsia="zh-CN"/>
                    </w:rPr>
                    <w:t>、颗粒物</w:t>
                  </w:r>
                  <w:r>
                    <w:rPr>
                      <w:rFonts w:hint="default" w:ascii="Times New Roman" w:hAnsi="Times New Roman" w:eastAsia="宋体" w:cs="Times New Roman"/>
                      <w:color w:val="auto"/>
                      <w:sz w:val="21"/>
                      <w:szCs w:val="21"/>
                      <w:highlight w:val="none"/>
                      <w:lang w:val="en-US" w:eastAsia="zh-CN"/>
                    </w:rPr>
                    <w:t>由</w:t>
                  </w:r>
                  <w:r>
                    <w:rPr>
                      <w:rFonts w:hint="default" w:ascii="Times New Roman" w:hAnsi="Times New Roman" w:eastAsia="宋体" w:cs="Times New Roman"/>
                      <w:color w:val="auto"/>
                      <w:sz w:val="21"/>
                      <w:szCs w:val="21"/>
                    </w:rPr>
                    <w:t>淮安市</w:t>
                  </w:r>
                  <w:r>
                    <w:rPr>
                      <w:rFonts w:hint="default" w:ascii="Times New Roman" w:hAnsi="Times New Roman" w:eastAsia="宋体" w:cs="Times New Roman"/>
                      <w:color w:val="auto"/>
                      <w:sz w:val="21"/>
                      <w:szCs w:val="21"/>
                      <w:lang w:val="en-US" w:eastAsia="zh-CN"/>
                    </w:rPr>
                    <w:t>淮阴</w:t>
                  </w:r>
                  <w:r>
                    <w:rPr>
                      <w:rFonts w:hint="default" w:ascii="Times New Roman" w:hAnsi="Times New Roman" w:eastAsia="宋体" w:cs="Times New Roman"/>
                      <w:color w:val="auto"/>
                      <w:sz w:val="21"/>
                      <w:szCs w:val="21"/>
                    </w:rPr>
                    <w:t>生态环境局</w:t>
                  </w:r>
                  <w:r>
                    <w:rPr>
                      <w:rFonts w:hint="default" w:ascii="Times New Roman" w:hAnsi="Times New Roman" w:eastAsia="宋体" w:cs="Times New Roman"/>
                      <w:color w:val="auto"/>
                      <w:sz w:val="21"/>
                      <w:szCs w:val="21"/>
                      <w:lang w:val="en-US" w:eastAsia="zh-CN"/>
                    </w:rPr>
                    <w:t>在淮阴区境内实行总量平衡</w:t>
                  </w:r>
                </w:p>
              </w:tc>
              <w:tc>
                <w:tcPr>
                  <w:tcW w:w="890" w:type="dxa"/>
                  <w:tcBorders>
                    <w:tl2br w:val="nil"/>
                    <w:tr2bl w:val="nil"/>
                  </w:tcBorders>
                  <w:noWrap w:val="0"/>
                  <w:vAlign w:val="center"/>
                </w:tcPr>
                <w:p w14:paraId="46452F21">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符合</w:t>
                  </w:r>
                </w:p>
              </w:tc>
            </w:tr>
            <w:tr w14:paraId="1855D73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535" w:type="dxa"/>
                  <w:vMerge w:val="continue"/>
                  <w:tcBorders>
                    <w:tl2br w:val="nil"/>
                    <w:tr2bl w:val="nil"/>
                  </w:tcBorders>
                  <w:noWrap w:val="0"/>
                  <w:vAlign w:val="center"/>
                </w:tcPr>
                <w:p w14:paraId="6966A889">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p>
              </w:tc>
              <w:tc>
                <w:tcPr>
                  <w:tcW w:w="662" w:type="dxa"/>
                  <w:tcBorders>
                    <w:tl2br w:val="nil"/>
                    <w:tr2bl w:val="nil"/>
                  </w:tcBorders>
                  <w:noWrap w:val="0"/>
                  <w:vAlign w:val="center"/>
                </w:tcPr>
                <w:p w14:paraId="2BF1C8BF">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rPr>
                    <w:t>环境 风险 防控</w:t>
                  </w:r>
                </w:p>
              </w:tc>
              <w:tc>
                <w:tcPr>
                  <w:tcW w:w="3338" w:type="dxa"/>
                  <w:tcBorders>
                    <w:tl2br w:val="nil"/>
                    <w:tr2bl w:val="nil"/>
                  </w:tcBorders>
                  <w:noWrap w:val="0"/>
                  <w:vAlign w:val="center"/>
                </w:tcPr>
                <w:p w14:paraId="5F9555CD">
                  <w:pPr>
                    <w:keepNext w:val="0"/>
                    <w:keepLines w:val="0"/>
                    <w:widowControl/>
                    <w:suppressLineNumbers w:val="0"/>
                    <w:adjustRightInd w:val="0"/>
                    <w:snapToGrid w:val="0"/>
                    <w:spacing w:before="0" w:beforeAutospacing="0" w:after="0" w:afterAutospacing="0" w:line="300" w:lineRule="exact"/>
                    <w:ind w:left="0" w:leftChars="0" w:right="0" w:rightChars="0"/>
                    <w:jc w:val="both"/>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Cs/>
                      <w:caps w:val="0"/>
                      <w:smallCaps w:val="0"/>
                      <w:color w:val="auto"/>
                      <w:kern w:val="0"/>
                      <w:sz w:val="21"/>
                      <w:szCs w:val="21"/>
                      <w:lang w:val="en-US" w:eastAsia="zh-CN"/>
                    </w:rPr>
                    <w:t>根据《淮安市突发环境事件应急预案》（淮政复〔2020〕67号）、《淮安市集中式饮用水源突发污染事件应急预案》（淮污防攻坚指办〔2020〕58号）、《淮安市辐射事故应急预案》《淮安市重污染天气应急预案》（淮政复〔2021〕24号）、《中共江苏省委 江苏省人民政府关于深入打好污染防治攻坚战的实施意见》（2022年1月24日）等文件进行调整。</w:t>
                  </w:r>
                </w:p>
              </w:tc>
              <w:tc>
                <w:tcPr>
                  <w:tcW w:w="2790" w:type="dxa"/>
                  <w:vMerge w:val="restart"/>
                  <w:tcBorders>
                    <w:tl2br w:val="nil"/>
                    <w:tr2bl w:val="nil"/>
                  </w:tcBorders>
                  <w:noWrap w:val="0"/>
                  <w:vAlign w:val="center"/>
                </w:tcPr>
                <w:p w14:paraId="1A8B6A1B">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both"/>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rPr>
                    <w:t>企业需根据规定编制环境应急预案并备案，定时安排预案演练，熟练应急物资的使用。对照《淮安市深入打好净土保卫战实施方案》</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淮污防攻坚指办</w:t>
                  </w:r>
                  <w:r>
                    <w:rPr>
                      <w:rFonts w:hint="default" w:ascii="Times New Roman" w:hAnsi="Times New Roman" w:eastAsia="宋体" w:cs="Times New Roman"/>
                      <w:color w:val="auto"/>
                      <w:sz w:val="21"/>
                      <w:szCs w:val="21"/>
                      <w:lang w:eastAsia="zh-CN"/>
                    </w:rPr>
                    <w:t>〔2023〕17号）</w:t>
                  </w:r>
                  <w:r>
                    <w:rPr>
                      <w:rFonts w:hint="default" w:ascii="Times New Roman" w:hAnsi="Times New Roman" w:eastAsia="宋体" w:cs="Times New Roman"/>
                      <w:color w:val="auto"/>
                      <w:sz w:val="21"/>
                      <w:szCs w:val="21"/>
                    </w:rPr>
                    <w:t>，</w:t>
                  </w:r>
                  <w:r>
                    <w:rPr>
                      <w:rFonts w:hint="eastAsia" w:ascii="Times New Roman" w:hAnsi="Times New Roman" w:eastAsia="宋体" w:cs="Times New Roman"/>
                      <w:color w:val="auto"/>
                      <w:sz w:val="21"/>
                      <w:szCs w:val="21"/>
                      <w:lang w:val="en-US" w:eastAsia="zh-CN"/>
                    </w:rPr>
                    <w:t>本</w:t>
                  </w:r>
                  <w:r>
                    <w:rPr>
                      <w:rFonts w:hint="default" w:ascii="Times New Roman" w:hAnsi="Times New Roman" w:eastAsia="宋体" w:cs="Times New Roman"/>
                      <w:color w:val="auto"/>
                      <w:sz w:val="21"/>
                      <w:szCs w:val="21"/>
                    </w:rPr>
                    <w:t>项目未使用国家明令淘汰或者禁止使用的回收利用技术、工艺，符合相关产业政策。本项目无生产废水排放。</w:t>
                  </w:r>
                </w:p>
              </w:tc>
              <w:tc>
                <w:tcPr>
                  <w:tcW w:w="890" w:type="dxa"/>
                  <w:tcBorders>
                    <w:tl2br w:val="nil"/>
                    <w:tr2bl w:val="nil"/>
                  </w:tcBorders>
                  <w:noWrap w:val="0"/>
                  <w:vAlign w:val="center"/>
                </w:tcPr>
                <w:p w14:paraId="418FE6F3">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符合</w:t>
                  </w:r>
                </w:p>
              </w:tc>
            </w:tr>
            <w:tr w14:paraId="276184B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535" w:type="dxa"/>
                  <w:vMerge w:val="continue"/>
                  <w:tcBorders>
                    <w:tl2br w:val="nil"/>
                    <w:tr2bl w:val="nil"/>
                  </w:tcBorders>
                  <w:noWrap w:val="0"/>
                  <w:vAlign w:val="center"/>
                </w:tcPr>
                <w:p w14:paraId="20664769">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p>
              </w:tc>
              <w:tc>
                <w:tcPr>
                  <w:tcW w:w="662" w:type="dxa"/>
                  <w:tcBorders>
                    <w:tl2br w:val="nil"/>
                    <w:tr2bl w:val="nil"/>
                  </w:tcBorders>
                  <w:noWrap w:val="0"/>
                  <w:vAlign w:val="center"/>
                </w:tcPr>
                <w:p w14:paraId="3616435E">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rPr>
                    <w:t>资源 利用 效率 要求</w:t>
                  </w:r>
                </w:p>
              </w:tc>
              <w:tc>
                <w:tcPr>
                  <w:tcW w:w="3338" w:type="dxa"/>
                  <w:tcBorders>
                    <w:tl2br w:val="nil"/>
                    <w:tr2bl w:val="nil"/>
                  </w:tcBorders>
                  <w:noWrap w:val="0"/>
                  <w:vAlign w:val="center"/>
                </w:tcPr>
                <w:p w14:paraId="5EE1D14E">
                  <w:pPr>
                    <w:keepNext w:val="0"/>
                    <w:keepLines w:val="0"/>
                    <w:widowControl/>
                    <w:suppressLineNumbers w:val="0"/>
                    <w:adjustRightInd w:val="0"/>
                    <w:snapToGrid w:val="0"/>
                    <w:spacing w:before="0" w:beforeAutospacing="0" w:after="0" w:afterAutospacing="0" w:line="300" w:lineRule="exact"/>
                    <w:ind w:left="0" w:leftChars="0" w:right="0" w:rightChars="0"/>
                    <w:jc w:val="both"/>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bCs/>
                      <w:caps w:val="0"/>
                      <w:smallCaps w:val="0"/>
                      <w:color w:val="auto"/>
                      <w:kern w:val="0"/>
                      <w:sz w:val="21"/>
                      <w:szCs w:val="21"/>
                      <w:lang w:val="en-US" w:eastAsia="zh-CN"/>
                    </w:rPr>
                    <w:t>根据《江苏省水利厅 江苏省发改委关于印发十四五用水总量和强度控制目标的通知》（苏水节〔2022〕6号）、《市水利局 市发展和改革委员会关于下达“十四五”用水总量和强度控制目标的通知》（淮水资〔2022〕4号）、《淮安市国土空间总体规划（2021—2035年）》《中共江苏省委 江苏省人民政府关于深入打好污染防治攻坚战的实施意见》(2022年1月24日）等文件进行调整。</w:t>
                  </w:r>
                </w:p>
              </w:tc>
              <w:tc>
                <w:tcPr>
                  <w:tcW w:w="2790" w:type="dxa"/>
                  <w:vMerge w:val="continue"/>
                  <w:tcBorders>
                    <w:tl2br w:val="nil"/>
                    <w:tr2bl w:val="nil"/>
                  </w:tcBorders>
                  <w:noWrap w:val="0"/>
                  <w:vAlign w:val="center"/>
                </w:tcPr>
                <w:p w14:paraId="2804159F">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p>
              </w:tc>
              <w:tc>
                <w:tcPr>
                  <w:tcW w:w="890" w:type="dxa"/>
                  <w:tcBorders>
                    <w:tl2br w:val="nil"/>
                    <w:tr2bl w:val="nil"/>
                  </w:tcBorders>
                  <w:noWrap w:val="0"/>
                  <w:vAlign w:val="center"/>
                </w:tcPr>
                <w:p w14:paraId="3D53CBC0">
                  <w:pPr>
                    <w:pStyle w:val="34"/>
                    <w:keepNext w:val="0"/>
                    <w:keepLines w:val="0"/>
                    <w:pageBreakBefore w:val="0"/>
                    <w:widowControl/>
                    <w:kinsoku/>
                    <w:wordWrap/>
                    <w:overflowPunct/>
                    <w:topLinePunct w:val="0"/>
                    <w:autoSpaceDE/>
                    <w:autoSpaceDN/>
                    <w:bidi w:val="0"/>
                    <w:adjustRightInd/>
                    <w:snapToGrid/>
                    <w:spacing w:before="0" w:after="0" w:line="240" w:lineRule="auto"/>
                    <w:ind w:right="0"/>
                    <w:jc w:val="center"/>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符合</w:t>
                  </w:r>
                </w:p>
              </w:tc>
            </w:tr>
          </w:tbl>
          <w:p w14:paraId="4EF99FE4">
            <w:pPr>
              <w:adjustRightInd w:val="0"/>
              <w:snapToGrid w:val="0"/>
              <w:spacing w:line="360" w:lineRule="auto"/>
              <w:ind w:firstLine="480" w:firstLineChars="200"/>
              <w:rPr>
                <w:bCs/>
                <w:color w:val="auto"/>
                <w:sz w:val="24"/>
              </w:rPr>
            </w:pPr>
            <w:r>
              <w:rPr>
                <w:color w:val="auto"/>
                <w:sz w:val="24"/>
              </w:rPr>
              <w:t>经分析，</w:t>
            </w:r>
            <w:r>
              <w:rPr>
                <w:rFonts w:hint="eastAsia"/>
                <w:color w:val="auto"/>
                <w:sz w:val="24"/>
                <w:lang w:val="en-US" w:eastAsia="zh-CN"/>
              </w:rPr>
              <w:t>本</w:t>
            </w:r>
            <w:r>
              <w:rPr>
                <w:color w:val="auto"/>
                <w:sz w:val="24"/>
              </w:rPr>
              <w:t>项目与</w:t>
            </w:r>
            <w:r>
              <w:rPr>
                <w:rFonts w:hint="eastAsia"/>
                <w:b w:val="0"/>
                <w:bCs w:val="0"/>
                <w:color w:val="auto"/>
                <w:sz w:val="24"/>
                <w:lang w:eastAsia="zh-CN"/>
              </w:rPr>
              <w:t>《淮安市生态环境分区管控动态更新成果》（</w:t>
            </w:r>
            <w:r>
              <w:rPr>
                <w:rFonts w:hint="eastAsia"/>
                <w:b w:val="0"/>
                <w:bCs w:val="0"/>
                <w:color w:val="auto"/>
                <w:sz w:val="24"/>
                <w:lang w:val="en-US" w:eastAsia="zh-CN"/>
              </w:rPr>
              <w:t>2023版</w:t>
            </w:r>
            <w:r>
              <w:rPr>
                <w:rFonts w:hint="eastAsia"/>
                <w:b w:val="0"/>
                <w:bCs w:val="0"/>
                <w:color w:val="auto"/>
                <w:sz w:val="24"/>
                <w:lang w:eastAsia="zh-CN"/>
              </w:rPr>
              <w:t>）</w:t>
            </w:r>
            <w:r>
              <w:rPr>
                <w:color w:val="auto"/>
                <w:sz w:val="24"/>
              </w:rPr>
              <w:t>相符</w:t>
            </w:r>
            <w:r>
              <w:rPr>
                <w:bCs/>
                <w:color w:val="auto"/>
                <w:sz w:val="24"/>
              </w:rPr>
              <w:t>。</w:t>
            </w:r>
          </w:p>
          <w:p w14:paraId="17381F1A">
            <w:pPr>
              <w:adjustRightInd w:val="0"/>
              <w:snapToGrid w:val="0"/>
              <w:spacing w:line="360" w:lineRule="auto"/>
              <w:ind w:firstLine="480" w:firstLineChars="200"/>
              <w:rPr>
                <w:rFonts w:hint="eastAsia" w:ascii="Times New Roman" w:hAnsi="Times New Roman" w:cs="Times New Roman"/>
                <w:bCs/>
                <w:color w:val="auto"/>
                <w:sz w:val="24"/>
                <w:lang w:val="en-US" w:eastAsia="zh-CN"/>
              </w:rPr>
            </w:pPr>
            <w:r>
              <w:rPr>
                <w:rFonts w:hint="eastAsia" w:ascii="Times New Roman" w:hAnsi="Times New Roman" w:cs="Times New Roman"/>
                <w:bCs/>
                <w:color w:val="auto"/>
                <w:sz w:val="24"/>
                <w:lang w:val="en-US" w:eastAsia="zh-CN"/>
              </w:rPr>
              <w:t>⑥本项目与《关于印发&lt;淮安市环境管控单元生态环境准入清单&gt;的通知》（淮环发[2020]264号）相符性分析</w:t>
            </w:r>
          </w:p>
          <w:p w14:paraId="536D57B9">
            <w:pPr>
              <w:adjustRightInd w:val="0"/>
              <w:snapToGrid w:val="0"/>
              <w:spacing w:line="360" w:lineRule="auto"/>
              <w:ind w:firstLine="480" w:firstLineChars="200"/>
              <w:rPr>
                <w:rFonts w:hint="eastAsia" w:ascii="Times New Roman" w:hAnsi="Times New Roman" w:cs="Times New Roman"/>
                <w:bCs/>
                <w:color w:val="auto"/>
                <w:sz w:val="24"/>
                <w:lang w:val="en-US" w:eastAsia="zh-CN"/>
              </w:rPr>
            </w:pPr>
            <w:r>
              <w:rPr>
                <w:rFonts w:hint="eastAsia" w:ascii="Times New Roman" w:hAnsi="Times New Roman" w:cs="Times New Roman"/>
                <w:bCs/>
                <w:color w:val="auto"/>
                <w:sz w:val="24"/>
                <w:lang w:val="en-US" w:eastAsia="zh-CN"/>
              </w:rPr>
              <w:t>对照《关于印发&lt;淮安市环境管控单元生态环境准入清单&gt;的通知》（淮环发[2020]264号）可知，本项目属于一般管控单元，相符性分析见1-5。</w:t>
            </w:r>
          </w:p>
          <w:p w14:paraId="17381F1C">
            <w:pPr>
              <w:adjustRightInd w:val="0"/>
              <w:snapToGrid w:val="0"/>
              <w:jc w:val="center"/>
              <w:rPr>
                <w:b/>
                <w:bCs/>
                <w:color w:val="auto"/>
                <w:sz w:val="24"/>
              </w:rPr>
            </w:pPr>
            <w:r>
              <w:rPr>
                <w:b/>
                <w:bCs/>
                <w:color w:val="auto"/>
                <w:sz w:val="24"/>
              </w:rPr>
              <w:t>表1-</w:t>
            </w:r>
            <w:r>
              <w:rPr>
                <w:rFonts w:hint="eastAsia"/>
                <w:b/>
                <w:bCs/>
                <w:color w:val="auto"/>
                <w:sz w:val="24"/>
              </w:rPr>
              <w:t>5本</w:t>
            </w:r>
            <w:r>
              <w:rPr>
                <w:b/>
                <w:bCs/>
                <w:color w:val="auto"/>
                <w:sz w:val="24"/>
              </w:rPr>
              <w:t>项目</w:t>
            </w:r>
            <w:r>
              <w:rPr>
                <w:b/>
                <w:bCs/>
                <w:snapToGrid w:val="0"/>
                <w:color w:val="auto"/>
                <w:kern w:val="0"/>
                <w:sz w:val="24"/>
              </w:rPr>
              <w:t>与《</w:t>
            </w:r>
            <w:r>
              <w:rPr>
                <w:b/>
                <w:bCs/>
                <w:color w:val="auto"/>
                <w:sz w:val="24"/>
              </w:rPr>
              <w:t>淮安市环境管控单元生态环境准入清单》（淮环发</w:t>
            </w:r>
            <w:r>
              <w:rPr>
                <w:rFonts w:hint="eastAsia"/>
                <w:b/>
                <w:bCs/>
                <w:color w:val="auto"/>
                <w:sz w:val="24"/>
                <w:lang w:val="en-US" w:eastAsia="zh-CN"/>
              </w:rPr>
              <w:t>[</w:t>
            </w:r>
            <w:r>
              <w:rPr>
                <w:b/>
                <w:bCs/>
                <w:color w:val="auto"/>
                <w:sz w:val="24"/>
              </w:rPr>
              <w:t>2020</w:t>
            </w:r>
            <w:r>
              <w:rPr>
                <w:rFonts w:hint="eastAsia"/>
                <w:b/>
                <w:bCs/>
                <w:color w:val="auto"/>
                <w:sz w:val="24"/>
                <w:lang w:val="en-US" w:eastAsia="zh-CN"/>
              </w:rPr>
              <w:t>]</w:t>
            </w:r>
            <w:r>
              <w:rPr>
                <w:b/>
                <w:bCs/>
                <w:color w:val="auto"/>
                <w:sz w:val="24"/>
              </w:rPr>
              <w:t>264号）相符性分析</w:t>
            </w:r>
          </w:p>
          <w:tbl>
            <w:tblPr>
              <w:tblStyle w:val="88"/>
              <w:tblW w:w="5000" w:type="pct"/>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fixed"/>
              <w:tblCellMar>
                <w:top w:w="0" w:type="dxa"/>
                <w:left w:w="28" w:type="dxa"/>
                <w:bottom w:w="0" w:type="dxa"/>
                <w:right w:w="28" w:type="dxa"/>
              </w:tblCellMar>
            </w:tblPr>
            <w:tblGrid>
              <w:gridCol w:w="520"/>
              <w:gridCol w:w="3288"/>
              <w:gridCol w:w="2694"/>
              <w:gridCol w:w="673"/>
            </w:tblGrid>
            <w:tr w14:paraId="60908E50">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2" w:type="pct"/>
                  <w:vAlign w:val="center"/>
                </w:tcPr>
                <w:p w14:paraId="3A45FB22">
                  <w:pPr>
                    <w:keepNext w:val="0"/>
                    <w:keepLines w:val="0"/>
                    <w:suppressLineNumbers w:val="0"/>
                    <w:adjustRightInd w:val="0"/>
                    <w:snapToGrid w:val="0"/>
                    <w:spacing w:before="0" w:beforeAutospacing="0" w:after="0" w:afterAutospacing="0"/>
                    <w:ind w:left="0" w:right="0"/>
                    <w:jc w:val="center"/>
                    <w:rPr>
                      <w:b/>
                      <w:bCs/>
                      <w:color w:val="auto"/>
                      <w:szCs w:val="21"/>
                    </w:rPr>
                  </w:pPr>
                  <w:r>
                    <w:rPr>
                      <w:b/>
                      <w:bCs/>
                      <w:color w:val="auto"/>
                      <w:szCs w:val="21"/>
                    </w:rPr>
                    <w:t>类型</w:t>
                  </w:r>
                </w:p>
              </w:tc>
              <w:tc>
                <w:tcPr>
                  <w:tcW w:w="2291" w:type="pct"/>
                  <w:vAlign w:val="center"/>
                </w:tcPr>
                <w:p w14:paraId="758821BA">
                  <w:pPr>
                    <w:keepNext w:val="0"/>
                    <w:keepLines w:val="0"/>
                    <w:suppressLineNumbers w:val="0"/>
                    <w:adjustRightInd w:val="0"/>
                    <w:snapToGrid w:val="0"/>
                    <w:spacing w:before="0" w:beforeAutospacing="0" w:after="0" w:afterAutospacing="0"/>
                    <w:ind w:left="0" w:right="0"/>
                    <w:jc w:val="center"/>
                    <w:rPr>
                      <w:b/>
                      <w:bCs/>
                      <w:color w:val="auto"/>
                      <w:szCs w:val="21"/>
                    </w:rPr>
                  </w:pPr>
                  <w:r>
                    <w:rPr>
                      <w:rFonts w:hint="eastAsia"/>
                      <w:b/>
                      <w:bCs/>
                      <w:color w:val="auto"/>
                      <w:szCs w:val="21"/>
                      <w:lang w:val="en-US" w:eastAsia="zh-CN"/>
                    </w:rPr>
                    <w:t>一般</w:t>
                  </w:r>
                  <w:r>
                    <w:rPr>
                      <w:b/>
                      <w:bCs/>
                      <w:color w:val="auto"/>
                      <w:szCs w:val="21"/>
                    </w:rPr>
                    <w:t>管控要求</w:t>
                  </w:r>
                </w:p>
              </w:tc>
              <w:tc>
                <w:tcPr>
                  <w:tcW w:w="1877" w:type="pct"/>
                  <w:vAlign w:val="center"/>
                </w:tcPr>
                <w:p w14:paraId="72688551">
                  <w:pPr>
                    <w:keepNext w:val="0"/>
                    <w:keepLines w:val="0"/>
                    <w:suppressLineNumbers w:val="0"/>
                    <w:adjustRightInd w:val="0"/>
                    <w:snapToGrid w:val="0"/>
                    <w:spacing w:before="0" w:beforeAutospacing="0" w:after="0" w:afterAutospacing="0"/>
                    <w:ind w:left="0" w:right="0"/>
                    <w:jc w:val="center"/>
                    <w:rPr>
                      <w:b/>
                      <w:bCs/>
                      <w:color w:val="auto"/>
                      <w:szCs w:val="21"/>
                    </w:rPr>
                  </w:pPr>
                  <w:r>
                    <w:rPr>
                      <w:b/>
                      <w:bCs/>
                      <w:color w:val="auto"/>
                      <w:szCs w:val="21"/>
                    </w:rPr>
                    <w:t>建设项目情况</w:t>
                  </w:r>
                </w:p>
              </w:tc>
              <w:tc>
                <w:tcPr>
                  <w:tcW w:w="469" w:type="pct"/>
                  <w:vAlign w:val="center"/>
                </w:tcPr>
                <w:p w14:paraId="3577A95E">
                  <w:pPr>
                    <w:keepNext w:val="0"/>
                    <w:keepLines w:val="0"/>
                    <w:suppressLineNumbers w:val="0"/>
                    <w:adjustRightInd w:val="0"/>
                    <w:snapToGrid w:val="0"/>
                    <w:spacing w:before="0" w:beforeAutospacing="0" w:after="0" w:afterAutospacing="0"/>
                    <w:ind w:left="0" w:right="0"/>
                    <w:jc w:val="center"/>
                    <w:rPr>
                      <w:b/>
                      <w:bCs/>
                      <w:color w:val="auto"/>
                      <w:szCs w:val="21"/>
                    </w:rPr>
                  </w:pPr>
                  <w:r>
                    <w:rPr>
                      <w:b/>
                      <w:bCs/>
                      <w:color w:val="auto"/>
                      <w:szCs w:val="21"/>
                    </w:rPr>
                    <w:t>相符性分析</w:t>
                  </w:r>
                </w:p>
              </w:tc>
            </w:tr>
            <w:tr w14:paraId="6BA709F0">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2" w:type="pct"/>
                  <w:vAlign w:val="center"/>
                </w:tcPr>
                <w:p w14:paraId="4F08E405">
                  <w:pPr>
                    <w:keepNext w:val="0"/>
                    <w:keepLines w:val="0"/>
                    <w:suppressLineNumbers w:val="0"/>
                    <w:adjustRightInd w:val="0"/>
                    <w:snapToGrid w:val="0"/>
                    <w:spacing w:before="0" w:beforeAutospacing="0" w:after="0" w:afterAutospacing="0"/>
                    <w:ind w:left="0" w:right="0"/>
                    <w:jc w:val="center"/>
                    <w:rPr>
                      <w:color w:val="auto"/>
                      <w:szCs w:val="21"/>
                    </w:rPr>
                  </w:pPr>
                  <w:r>
                    <w:rPr>
                      <w:color w:val="auto"/>
                      <w:szCs w:val="21"/>
                    </w:rPr>
                    <w:t>空间布局约束</w:t>
                  </w:r>
                </w:p>
              </w:tc>
              <w:tc>
                <w:tcPr>
                  <w:tcW w:w="2291" w:type="pct"/>
                  <w:shd w:val="clear" w:color="auto" w:fill="auto"/>
                  <w:vAlign w:val="center"/>
                </w:tcPr>
                <w:p w14:paraId="2A458827">
                  <w:pPr>
                    <w:keepNext w:val="0"/>
                    <w:keepLines w:val="0"/>
                    <w:widowControl/>
                    <w:suppressLineNumbers w:val="0"/>
                    <w:jc w:val="both"/>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0"/>
                      <w:sz w:val="21"/>
                      <w:szCs w:val="21"/>
                      <w:lang w:val="en-US" w:eastAsia="zh-CN" w:bidi="ar"/>
                    </w:rPr>
                    <w:t>（1）引入项目符合淮安市总体准入要求。（2）持续推进工业企业向产业园区和规划工业区块集中。</w:t>
                  </w:r>
                </w:p>
              </w:tc>
              <w:tc>
                <w:tcPr>
                  <w:tcW w:w="2694" w:type="dxa"/>
                  <w:shd w:val="clear" w:color="auto" w:fill="auto"/>
                  <w:vAlign w:val="center"/>
                </w:tcPr>
                <w:p w14:paraId="658E483A">
                  <w:pPr>
                    <w:pStyle w:val="2328"/>
                    <w:keepNext w:val="0"/>
                    <w:keepLines w:val="0"/>
                    <w:suppressLineNumbers w:val="0"/>
                    <w:spacing w:before="0" w:beforeAutospacing="0" w:after="0" w:afterAutospacing="0"/>
                    <w:ind w:left="0" w:leftChars="0" w:right="0" w:rightChars="0"/>
                    <w:jc w:val="both"/>
                    <w:rPr>
                      <w:rFonts w:hint="default" w:ascii="Times New Roman" w:hAnsi="Times New Roman" w:eastAsia="宋体" w:cs="Times New Roman"/>
                      <w:color w:val="auto"/>
                      <w:kern w:val="0"/>
                      <w:sz w:val="21"/>
                      <w:szCs w:val="21"/>
                      <w:highlight w:val="none"/>
                      <w:lang w:val="en-US" w:eastAsia="zh-CN" w:bidi="ar-SA"/>
                    </w:rPr>
                  </w:pPr>
                  <w:r>
                    <w:rPr>
                      <w:rFonts w:hint="eastAsia" w:ascii="Times New Roman" w:hAnsi="Times New Roman" w:eastAsia="宋体" w:cs="Times New Roman"/>
                      <w:color w:val="auto"/>
                      <w:sz w:val="21"/>
                      <w:szCs w:val="21"/>
                      <w:lang w:val="en-US" w:eastAsia="zh-CN"/>
                    </w:rPr>
                    <w:t>本</w:t>
                  </w:r>
                  <w:r>
                    <w:rPr>
                      <w:rFonts w:hint="default" w:ascii="Times New Roman" w:hAnsi="Times New Roman" w:eastAsia="宋体" w:cs="Times New Roman"/>
                      <w:color w:val="auto"/>
                      <w:sz w:val="21"/>
                      <w:szCs w:val="21"/>
                    </w:rPr>
                    <w:t>项目为</w:t>
                  </w:r>
                  <w:r>
                    <w:rPr>
                      <w:rFonts w:hint="eastAsia" w:ascii="Times New Roman" w:hAnsi="Times New Roman" w:eastAsia="宋体" w:cs="Times New Roman"/>
                      <w:color w:val="auto"/>
                      <w:sz w:val="21"/>
                      <w:szCs w:val="21"/>
                      <w:lang w:val="en-US" w:eastAsia="zh-CN"/>
                    </w:rPr>
                    <w:t>五金工具加工项目</w:t>
                  </w:r>
                  <w:r>
                    <w:rPr>
                      <w:rFonts w:hint="default" w:ascii="Times New Roman" w:hAnsi="Times New Roman" w:eastAsia="宋体" w:cs="Times New Roman"/>
                      <w:color w:val="auto"/>
                      <w:sz w:val="21"/>
                      <w:szCs w:val="21"/>
                    </w:rPr>
                    <w:t>，</w:t>
                  </w:r>
                  <w:r>
                    <w:rPr>
                      <w:rFonts w:hint="eastAsia" w:ascii="Times New Roman" w:hAnsi="Times New Roman" w:eastAsia="宋体" w:cs="Times New Roman"/>
                      <w:color w:val="auto"/>
                      <w:sz w:val="21"/>
                      <w:szCs w:val="21"/>
                      <w:lang w:val="en-US" w:eastAsia="zh-CN"/>
                    </w:rPr>
                    <w:t>根据附件6淮安市淮阴区马头镇人民政府出具的证明（关于淮安市鸣锋工具有限公司五金工具加工项目的情况说明），项目所在地属于马头镇原工业集中区，后续将纳入马头镇张庄镇村工业集中区，</w:t>
                  </w:r>
                  <w:r>
                    <w:rPr>
                      <w:rFonts w:hint="default" w:ascii="Times New Roman" w:hAnsi="Times New Roman" w:eastAsia="宋体" w:cs="Times New Roman"/>
                      <w:color w:val="auto"/>
                      <w:kern w:val="0"/>
                      <w:sz w:val="21"/>
                      <w:szCs w:val="21"/>
                      <w:lang w:val="en-US" w:eastAsia="zh-CN" w:bidi="ar"/>
                    </w:rPr>
                    <w:t>符合淮安市总体准入要求。</w:t>
                  </w:r>
                </w:p>
              </w:tc>
              <w:tc>
                <w:tcPr>
                  <w:tcW w:w="469" w:type="pct"/>
                  <w:vAlign w:val="center"/>
                </w:tcPr>
                <w:p w14:paraId="7A4641EF">
                  <w:pPr>
                    <w:keepNext w:val="0"/>
                    <w:keepLines w:val="0"/>
                    <w:suppressLineNumbers w:val="0"/>
                    <w:adjustRightInd w:val="0"/>
                    <w:snapToGrid w:val="0"/>
                    <w:spacing w:before="0" w:beforeAutospacing="0" w:after="0" w:afterAutospacing="0"/>
                    <w:ind w:left="0" w:right="0"/>
                    <w:jc w:val="center"/>
                    <w:rPr>
                      <w:color w:val="auto"/>
                      <w:szCs w:val="21"/>
                    </w:rPr>
                  </w:pPr>
                  <w:r>
                    <w:rPr>
                      <w:color w:val="auto"/>
                      <w:szCs w:val="21"/>
                    </w:rPr>
                    <w:t>相符</w:t>
                  </w:r>
                </w:p>
              </w:tc>
            </w:tr>
            <w:tr w14:paraId="50D7BC68">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2" w:type="pct"/>
                  <w:vAlign w:val="center"/>
                </w:tcPr>
                <w:p w14:paraId="52B336CA">
                  <w:pPr>
                    <w:keepNext w:val="0"/>
                    <w:keepLines w:val="0"/>
                    <w:suppressLineNumbers w:val="0"/>
                    <w:adjustRightInd w:val="0"/>
                    <w:snapToGrid w:val="0"/>
                    <w:spacing w:before="0" w:beforeAutospacing="0" w:after="0" w:afterAutospacing="0"/>
                    <w:ind w:left="0" w:right="0"/>
                    <w:jc w:val="center"/>
                    <w:rPr>
                      <w:color w:val="auto"/>
                      <w:szCs w:val="21"/>
                    </w:rPr>
                  </w:pPr>
                  <w:r>
                    <w:rPr>
                      <w:color w:val="auto"/>
                      <w:szCs w:val="21"/>
                    </w:rPr>
                    <w:t>污染物排放管控</w:t>
                  </w:r>
                </w:p>
              </w:tc>
              <w:tc>
                <w:tcPr>
                  <w:tcW w:w="2291" w:type="pct"/>
                  <w:shd w:val="clear" w:color="auto" w:fill="auto"/>
                  <w:vAlign w:val="center"/>
                </w:tcPr>
                <w:p w14:paraId="79D9A2ED">
                  <w:pPr>
                    <w:keepNext w:val="0"/>
                    <w:keepLines w:val="0"/>
                    <w:widowControl/>
                    <w:suppressLineNumbers w:val="0"/>
                    <w:jc w:val="both"/>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0"/>
                      <w:sz w:val="21"/>
                      <w:szCs w:val="21"/>
                      <w:lang w:val="en-US" w:eastAsia="zh-CN" w:bidi="ar"/>
                    </w:rPr>
                    <w:t>（1）控制畜禽养殖污染，强化规模化畜禽养殖粪污综合利用和污染治理。（2）推进种植业面源污染防治，减少化肥、农药使用量。（3）因地制宜开展农村生活污水治理。加快污水纳管工作或采用合适的分散式污水处理技术，加强对生活污水处理设施的运行和维护，建立长效管理机制。</w:t>
                  </w:r>
                </w:p>
              </w:tc>
              <w:tc>
                <w:tcPr>
                  <w:tcW w:w="2694" w:type="dxa"/>
                  <w:shd w:val="clear" w:color="auto" w:fill="auto"/>
                  <w:vAlign w:val="center"/>
                </w:tcPr>
                <w:p w14:paraId="2AB82E3A">
                  <w:pPr>
                    <w:pStyle w:val="2328"/>
                    <w:keepNext w:val="0"/>
                    <w:keepLines w:val="0"/>
                    <w:suppressLineNumbers w:val="0"/>
                    <w:spacing w:before="0" w:beforeAutospacing="0" w:after="0" w:afterAutospacing="0"/>
                    <w:ind w:left="0" w:leftChars="0" w:right="0" w:rightChars="0"/>
                    <w:jc w:val="both"/>
                    <w:rPr>
                      <w:rFonts w:hint="default" w:ascii="Times New Roman" w:hAnsi="Times New Roman" w:eastAsia="宋体" w:cs="Times New Roman"/>
                      <w:color w:val="auto"/>
                      <w:kern w:val="0"/>
                      <w:sz w:val="21"/>
                      <w:szCs w:val="21"/>
                      <w:highlight w:val="none"/>
                      <w:lang w:val="en-US" w:eastAsia="en-US" w:bidi="ar-SA"/>
                    </w:rPr>
                  </w:pPr>
                  <w:r>
                    <w:rPr>
                      <w:rFonts w:hint="eastAsia" w:ascii="Times New Roman" w:hAnsi="Times New Roman" w:eastAsia="宋体" w:cs="Times New Roman"/>
                      <w:color w:val="auto"/>
                      <w:sz w:val="21"/>
                      <w:szCs w:val="21"/>
                      <w:lang w:val="en-US" w:eastAsia="zh-CN"/>
                    </w:rPr>
                    <w:t>本</w:t>
                  </w:r>
                  <w:r>
                    <w:rPr>
                      <w:rFonts w:hint="default" w:ascii="Times New Roman" w:hAnsi="Times New Roman" w:eastAsia="宋体" w:cs="Times New Roman"/>
                      <w:color w:val="auto"/>
                      <w:sz w:val="21"/>
                      <w:szCs w:val="21"/>
                    </w:rPr>
                    <w:t>项目为</w:t>
                  </w:r>
                  <w:r>
                    <w:rPr>
                      <w:rFonts w:hint="eastAsia" w:ascii="Times New Roman" w:hAnsi="Times New Roman" w:eastAsia="宋体" w:cs="Times New Roman"/>
                      <w:color w:val="auto"/>
                      <w:sz w:val="21"/>
                      <w:szCs w:val="21"/>
                      <w:lang w:val="en-US" w:eastAsia="zh-CN"/>
                    </w:rPr>
                    <w:t>五金工具加工项目</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val="en-US" w:eastAsia="zh-CN"/>
                    </w:rPr>
                    <w:t>不涉及</w:t>
                  </w:r>
                  <w:r>
                    <w:rPr>
                      <w:rFonts w:hint="default" w:ascii="Times New Roman" w:hAnsi="Times New Roman" w:eastAsia="宋体" w:cs="Times New Roman"/>
                      <w:color w:val="auto"/>
                      <w:kern w:val="0"/>
                      <w:sz w:val="21"/>
                      <w:szCs w:val="21"/>
                      <w:lang w:val="en-US" w:eastAsia="zh-CN" w:bidi="ar"/>
                    </w:rPr>
                    <w:t>畜禽养殖、种植业</w:t>
                  </w:r>
                  <w:r>
                    <w:rPr>
                      <w:rFonts w:hint="eastAsia" w:ascii="Times New Roman" w:hAnsi="Times New Roman" w:eastAsia="宋体" w:cs="Times New Roman"/>
                      <w:color w:val="auto"/>
                      <w:kern w:val="0"/>
                      <w:sz w:val="21"/>
                      <w:szCs w:val="21"/>
                      <w:lang w:val="en-US" w:eastAsia="zh-CN" w:bidi="ar"/>
                    </w:rPr>
                    <w:t>。</w:t>
                  </w:r>
                  <w:r>
                    <w:rPr>
                      <w:rFonts w:hint="default" w:ascii="Times New Roman" w:hAnsi="Times New Roman" w:eastAsia="宋体" w:cs="Times New Roman"/>
                      <w:color w:val="auto"/>
                      <w:kern w:val="0"/>
                      <w:sz w:val="21"/>
                      <w:szCs w:val="21"/>
                    </w:rPr>
                    <w:t>生活污水</w:t>
                  </w:r>
                  <w:r>
                    <w:rPr>
                      <w:rFonts w:hint="eastAsia" w:ascii="Times New Roman" w:hAnsi="Times New Roman" w:eastAsia="宋体" w:cs="Times New Roman"/>
                      <w:color w:val="auto"/>
                      <w:kern w:val="0"/>
                      <w:sz w:val="21"/>
                      <w:szCs w:val="21"/>
                      <w:lang w:val="en-US" w:eastAsia="zh-CN"/>
                    </w:rPr>
                    <w:t>经</w:t>
                  </w:r>
                  <w:r>
                    <w:rPr>
                      <w:rFonts w:hint="default" w:ascii="Times New Roman" w:hAnsi="Times New Roman" w:eastAsia="宋体" w:cs="Times New Roman"/>
                      <w:color w:val="auto"/>
                      <w:kern w:val="0"/>
                      <w:sz w:val="21"/>
                      <w:szCs w:val="21"/>
                    </w:rPr>
                    <w:t>化粪池处理</w:t>
                  </w:r>
                  <w:r>
                    <w:rPr>
                      <w:rFonts w:hint="eastAsia" w:ascii="Times New Roman" w:hAnsi="Times New Roman" w:eastAsia="宋体" w:cs="Times New Roman"/>
                      <w:color w:val="auto"/>
                      <w:kern w:val="0"/>
                      <w:sz w:val="21"/>
                      <w:szCs w:val="21"/>
                      <w:lang w:val="en-US" w:eastAsia="zh-CN"/>
                    </w:rPr>
                    <w:t>作为农田灌溉用水使用</w:t>
                  </w:r>
                  <w:r>
                    <w:rPr>
                      <w:rFonts w:hint="default" w:ascii="Times New Roman" w:hAnsi="Times New Roman" w:eastAsia="宋体" w:cs="Times New Roman"/>
                      <w:color w:val="auto"/>
                      <w:kern w:val="0"/>
                      <w:sz w:val="21"/>
                      <w:szCs w:val="21"/>
                      <w:lang w:val="en-US" w:eastAsia="zh-CN"/>
                    </w:rPr>
                    <w:t>。</w:t>
                  </w:r>
                </w:p>
              </w:tc>
              <w:tc>
                <w:tcPr>
                  <w:tcW w:w="469" w:type="pct"/>
                  <w:vAlign w:val="center"/>
                </w:tcPr>
                <w:p w14:paraId="3C0732DD">
                  <w:pPr>
                    <w:keepNext w:val="0"/>
                    <w:keepLines w:val="0"/>
                    <w:suppressLineNumbers w:val="0"/>
                    <w:adjustRightInd w:val="0"/>
                    <w:snapToGrid w:val="0"/>
                    <w:spacing w:before="0" w:beforeAutospacing="0" w:after="0" w:afterAutospacing="0"/>
                    <w:ind w:left="0" w:right="0"/>
                    <w:jc w:val="center"/>
                    <w:rPr>
                      <w:color w:val="auto"/>
                      <w:szCs w:val="21"/>
                    </w:rPr>
                  </w:pPr>
                  <w:r>
                    <w:rPr>
                      <w:color w:val="auto"/>
                      <w:szCs w:val="21"/>
                    </w:rPr>
                    <w:t>相符</w:t>
                  </w:r>
                </w:p>
              </w:tc>
            </w:tr>
            <w:tr w14:paraId="7E07C142">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2" w:type="pct"/>
                  <w:vAlign w:val="center"/>
                </w:tcPr>
                <w:p w14:paraId="20B7E9F7">
                  <w:pPr>
                    <w:keepNext w:val="0"/>
                    <w:keepLines w:val="0"/>
                    <w:suppressLineNumbers w:val="0"/>
                    <w:adjustRightInd w:val="0"/>
                    <w:snapToGrid w:val="0"/>
                    <w:spacing w:before="0" w:beforeAutospacing="0" w:after="0" w:afterAutospacing="0"/>
                    <w:ind w:left="0" w:right="0"/>
                    <w:jc w:val="center"/>
                    <w:rPr>
                      <w:color w:val="auto"/>
                      <w:szCs w:val="21"/>
                    </w:rPr>
                  </w:pPr>
                  <w:r>
                    <w:rPr>
                      <w:color w:val="auto"/>
                      <w:szCs w:val="21"/>
                    </w:rPr>
                    <w:t>环境风险防控</w:t>
                  </w:r>
                </w:p>
              </w:tc>
              <w:tc>
                <w:tcPr>
                  <w:tcW w:w="2291" w:type="pct"/>
                  <w:shd w:val="clear" w:color="auto" w:fill="auto"/>
                  <w:vAlign w:val="center"/>
                </w:tcPr>
                <w:p w14:paraId="15B08637">
                  <w:pPr>
                    <w:keepNext w:val="0"/>
                    <w:keepLines w:val="0"/>
                    <w:widowControl/>
                    <w:suppressLineNumbers w:val="0"/>
                    <w:jc w:val="both"/>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0"/>
                      <w:sz w:val="21"/>
                      <w:szCs w:val="21"/>
                      <w:lang w:val="en-US" w:eastAsia="zh-CN" w:bidi="ar"/>
                    </w:rPr>
                    <w:t>严格管控类农用地，不得在依法划定的特定农产品禁止生产区域种植食用农产品。安全利用类农用地，应制定农艺调控、替代种植、定期开展土壤和农产品协同监测与评价、技术指导和培训等安全利用方案，降低农产品超标风险。</w:t>
                  </w:r>
                </w:p>
              </w:tc>
              <w:tc>
                <w:tcPr>
                  <w:tcW w:w="2694" w:type="dxa"/>
                  <w:shd w:val="clear" w:color="auto" w:fill="auto"/>
                  <w:vAlign w:val="center"/>
                </w:tcPr>
                <w:p w14:paraId="7B78D2FD">
                  <w:pPr>
                    <w:pStyle w:val="2328"/>
                    <w:keepNext w:val="0"/>
                    <w:keepLines w:val="0"/>
                    <w:suppressLineNumbers w:val="0"/>
                    <w:spacing w:before="0" w:beforeAutospacing="0" w:after="0" w:afterAutospacing="0"/>
                    <w:ind w:left="0" w:leftChars="0" w:right="0" w:rightChars="0"/>
                    <w:jc w:val="both"/>
                    <w:rPr>
                      <w:rFonts w:hint="default" w:ascii="Times New Roman" w:hAnsi="Times New Roman" w:eastAsia="宋体" w:cs="Times New Roman"/>
                      <w:color w:val="auto"/>
                      <w:kern w:val="0"/>
                      <w:sz w:val="21"/>
                      <w:szCs w:val="21"/>
                      <w:highlight w:val="none"/>
                      <w:lang w:val="en-US" w:eastAsia="zh-CN" w:bidi="ar-SA"/>
                    </w:rPr>
                  </w:pPr>
                  <w:r>
                    <w:rPr>
                      <w:rFonts w:hint="eastAsia" w:ascii="Times New Roman" w:hAnsi="Times New Roman" w:eastAsia="宋体" w:cs="Times New Roman"/>
                      <w:color w:val="auto"/>
                      <w:sz w:val="21"/>
                      <w:szCs w:val="21"/>
                      <w:lang w:val="en-US" w:eastAsia="zh-CN"/>
                    </w:rPr>
                    <w:t>根据附件7淮安市淮阴区马头镇人民政府、淮安市自然资源和规划局淮阴分局出具的证明，项目所在地用地性质为工业用地</w:t>
                  </w:r>
                  <w:r>
                    <w:rPr>
                      <w:rFonts w:hint="eastAsia" w:cs="Times New Roman"/>
                      <w:color w:val="auto"/>
                      <w:sz w:val="21"/>
                      <w:szCs w:val="21"/>
                      <w:lang w:val="en-US" w:eastAsia="zh-CN"/>
                    </w:rPr>
                    <w:t>。</w:t>
                  </w:r>
                </w:p>
              </w:tc>
              <w:tc>
                <w:tcPr>
                  <w:tcW w:w="469" w:type="pct"/>
                  <w:vAlign w:val="center"/>
                </w:tcPr>
                <w:p w14:paraId="400893E9">
                  <w:pPr>
                    <w:keepNext w:val="0"/>
                    <w:keepLines w:val="0"/>
                    <w:suppressLineNumbers w:val="0"/>
                    <w:adjustRightInd w:val="0"/>
                    <w:snapToGrid w:val="0"/>
                    <w:spacing w:before="0" w:beforeAutospacing="0" w:after="0" w:afterAutospacing="0"/>
                    <w:ind w:left="0" w:right="0"/>
                    <w:jc w:val="center"/>
                    <w:rPr>
                      <w:color w:val="auto"/>
                      <w:szCs w:val="21"/>
                    </w:rPr>
                  </w:pPr>
                  <w:r>
                    <w:rPr>
                      <w:color w:val="auto"/>
                      <w:szCs w:val="21"/>
                    </w:rPr>
                    <w:t>相符</w:t>
                  </w:r>
                </w:p>
              </w:tc>
            </w:tr>
          </w:tbl>
          <w:p w14:paraId="22EC8DF5">
            <w:pPr>
              <w:adjustRightInd w:val="0"/>
              <w:snapToGrid w:val="0"/>
              <w:spacing w:line="360" w:lineRule="auto"/>
              <w:ind w:firstLine="480" w:firstLineChars="200"/>
              <w:rPr>
                <w:rFonts w:hint="eastAsia" w:ascii="Times New Roman" w:hAnsi="Times New Roman" w:cs="Times New Roman"/>
                <w:bCs/>
                <w:color w:val="auto"/>
                <w:sz w:val="24"/>
                <w:lang w:val="en-US" w:eastAsia="zh-CN"/>
              </w:rPr>
            </w:pPr>
            <w:r>
              <w:rPr>
                <w:rFonts w:hint="eastAsia" w:ascii="Times New Roman" w:hAnsi="Times New Roman" w:cs="Times New Roman"/>
                <w:bCs/>
                <w:color w:val="auto"/>
                <w:sz w:val="24"/>
                <w:lang w:val="en-US" w:eastAsia="zh-CN"/>
              </w:rPr>
              <w:t>根据上表分析可知，本项目与《淮安市环境管控单元生态环境准入清单》（淮环发[2020]264号）是相符的。</w:t>
            </w:r>
          </w:p>
          <w:p w14:paraId="17381F58">
            <w:pPr>
              <w:adjustRightInd w:val="0"/>
              <w:snapToGrid w:val="0"/>
              <w:spacing w:line="360" w:lineRule="auto"/>
              <w:ind w:firstLine="482" w:firstLineChars="200"/>
              <w:rPr>
                <w:b/>
                <w:bCs/>
                <w:color w:val="auto"/>
                <w:sz w:val="24"/>
              </w:rPr>
            </w:pPr>
            <w:r>
              <w:rPr>
                <w:rFonts w:hint="eastAsia"/>
                <w:b/>
                <w:bCs/>
                <w:color w:val="auto"/>
                <w:sz w:val="24"/>
              </w:rPr>
              <w:t>2、</w:t>
            </w:r>
            <w:r>
              <w:rPr>
                <w:b/>
                <w:bCs/>
                <w:color w:val="auto"/>
                <w:sz w:val="24"/>
              </w:rPr>
              <w:t>环境质量底线</w:t>
            </w:r>
          </w:p>
          <w:p w14:paraId="17381F59">
            <w:pPr>
              <w:adjustRightInd w:val="0"/>
              <w:snapToGrid w:val="0"/>
              <w:spacing w:line="360" w:lineRule="auto"/>
              <w:ind w:firstLine="480" w:firstLineChars="200"/>
              <w:rPr>
                <w:rFonts w:hint="eastAsia"/>
                <w:color w:val="auto"/>
                <w:sz w:val="24"/>
              </w:rPr>
            </w:pPr>
            <w:r>
              <w:rPr>
                <w:rFonts w:hint="eastAsia"/>
                <w:color w:val="auto"/>
                <w:sz w:val="24"/>
              </w:rPr>
              <w:t>①大气环境</w:t>
            </w:r>
          </w:p>
          <w:p w14:paraId="17381F5A">
            <w:pPr>
              <w:adjustRightInd w:val="0"/>
              <w:snapToGrid w:val="0"/>
              <w:spacing w:line="360" w:lineRule="auto"/>
              <w:ind w:firstLine="480" w:firstLineChars="200"/>
              <w:rPr>
                <w:rFonts w:hint="eastAsia"/>
                <w:color w:val="auto"/>
                <w:sz w:val="24"/>
              </w:rPr>
            </w:pPr>
            <w:r>
              <w:rPr>
                <w:rFonts w:hint="eastAsia"/>
                <w:color w:val="auto"/>
                <w:sz w:val="24"/>
              </w:rPr>
              <w:t>根据《2024年淮安市生态环境状况公报》，2024年淮安市空气质量等级优良308 天（扣除沙尘影响异常超标天），优良率为84.2%。与2023年相比，空气质量等级优良的天数增加18天，优良率比率提升4.7个百分点。全市细颗粒物（PM</w:t>
            </w:r>
            <w:r>
              <w:rPr>
                <w:rFonts w:hint="eastAsia"/>
                <w:color w:val="auto"/>
                <w:sz w:val="24"/>
                <w:vertAlign w:val="subscript"/>
              </w:rPr>
              <w:t>2.5</w:t>
            </w:r>
            <w:r>
              <w:rPr>
                <w:rFonts w:hint="eastAsia"/>
                <w:color w:val="auto"/>
                <w:sz w:val="24"/>
              </w:rPr>
              <w:t>）、可吸入颗粒物（PM</w:t>
            </w:r>
            <w:r>
              <w:rPr>
                <w:rFonts w:hint="eastAsia"/>
                <w:color w:val="auto"/>
                <w:sz w:val="24"/>
                <w:vertAlign w:val="subscript"/>
              </w:rPr>
              <w:t>10</w:t>
            </w:r>
            <w:r>
              <w:rPr>
                <w:rFonts w:hint="eastAsia"/>
                <w:color w:val="auto"/>
                <w:sz w:val="24"/>
              </w:rPr>
              <w:t>）、二氧化硫（SO</w:t>
            </w:r>
            <w:r>
              <w:rPr>
                <w:rFonts w:hint="eastAsia"/>
                <w:color w:val="auto"/>
                <w:sz w:val="24"/>
                <w:vertAlign w:val="subscript"/>
              </w:rPr>
              <w:t>2</w:t>
            </w:r>
            <w:r>
              <w:rPr>
                <w:rFonts w:hint="eastAsia"/>
                <w:color w:val="auto"/>
                <w:sz w:val="24"/>
              </w:rPr>
              <w:t>）、二氧化氮（NO</w:t>
            </w:r>
            <w:r>
              <w:rPr>
                <w:rFonts w:hint="eastAsia"/>
                <w:color w:val="auto"/>
                <w:sz w:val="24"/>
                <w:vertAlign w:val="subscript"/>
              </w:rPr>
              <w:t>2</w:t>
            </w:r>
            <w:r>
              <w:rPr>
                <w:rFonts w:hint="eastAsia"/>
                <w:color w:val="auto"/>
                <w:sz w:val="24"/>
              </w:rPr>
              <w:t>）、一氧化碳（CO）和臭氧（O</w:t>
            </w:r>
            <w:r>
              <w:rPr>
                <w:rFonts w:hint="eastAsia"/>
                <w:color w:val="auto"/>
                <w:sz w:val="24"/>
                <w:vertAlign w:val="subscript"/>
              </w:rPr>
              <w:t>3</w:t>
            </w:r>
            <w:r>
              <w:rPr>
                <w:rFonts w:hint="eastAsia"/>
                <w:color w:val="auto"/>
                <w:sz w:val="24"/>
              </w:rPr>
              <w:t>）浓度年均浓度分别为37微克/立方米、54微克/立方米、7微克/立方米、25微克/立方米、0.9毫克/立方米、15</w:t>
            </w:r>
            <w:r>
              <w:rPr>
                <w:rFonts w:hint="eastAsia"/>
                <w:color w:val="auto"/>
                <w:sz w:val="24"/>
                <w:lang w:val="en-US" w:eastAsia="zh-CN"/>
              </w:rPr>
              <w:t>2</w:t>
            </w:r>
            <w:r>
              <w:rPr>
                <w:rFonts w:hint="eastAsia"/>
                <w:color w:val="auto"/>
                <w:sz w:val="24"/>
              </w:rPr>
              <w:t>微克/立方米。除细颗粒物（PM</w:t>
            </w:r>
            <w:r>
              <w:rPr>
                <w:rFonts w:hint="eastAsia"/>
                <w:color w:val="auto"/>
                <w:sz w:val="24"/>
                <w:vertAlign w:val="subscript"/>
              </w:rPr>
              <w:t>2.5</w:t>
            </w:r>
            <w:r>
              <w:rPr>
                <w:rFonts w:hint="eastAsia"/>
                <w:color w:val="auto"/>
                <w:sz w:val="24"/>
              </w:rPr>
              <w:t>）外其余因子均达到国家二级标准限值，故建设项目所在地为不达标区。</w:t>
            </w:r>
          </w:p>
          <w:p w14:paraId="608A13F2">
            <w:pPr>
              <w:adjustRightInd w:val="0"/>
              <w:snapToGrid w:val="0"/>
              <w:spacing w:line="360" w:lineRule="auto"/>
              <w:ind w:firstLine="480" w:firstLineChars="200"/>
              <w:rPr>
                <w:rFonts w:hint="eastAsia"/>
                <w:color w:val="auto"/>
                <w:sz w:val="24"/>
              </w:rPr>
            </w:pPr>
            <w:r>
              <w:rPr>
                <w:rFonts w:hint="eastAsia"/>
                <w:color w:val="auto"/>
                <w:sz w:val="24"/>
              </w:rPr>
              <w:t>根据淮安市2025年印发《淮安市2025年大气污染防治工作计划》，提出大气整治方案如下：以降低细颗粒物（PM</w:t>
            </w:r>
            <w:r>
              <w:rPr>
                <w:rFonts w:hint="eastAsia"/>
                <w:color w:val="auto"/>
                <w:sz w:val="24"/>
                <w:vertAlign w:val="subscript"/>
              </w:rPr>
              <w:t>2.5</w:t>
            </w:r>
            <w:r>
              <w:rPr>
                <w:rFonts w:hint="eastAsia"/>
                <w:color w:val="auto"/>
                <w:sz w:val="24"/>
              </w:rPr>
              <w:t>）浓度为主线，坚持科学治理、系统治理、源头治理，大力推动氮氧化物和VOCs（以非甲烷总烃计）减排；以上措施实施后进一步改善淮安市大气环境质量。</w:t>
            </w:r>
          </w:p>
          <w:p w14:paraId="17381F5E">
            <w:pPr>
              <w:adjustRightInd w:val="0"/>
              <w:snapToGrid w:val="0"/>
              <w:spacing w:line="360" w:lineRule="auto"/>
              <w:ind w:firstLine="480" w:firstLineChars="200"/>
              <w:rPr>
                <w:rFonts w:hint="eastAsia"/>
                <w:color w:val="auto"/>
                <w:sz w:val="24"/>
              </w:rPr>
            </w:pPr>
            <w:r>
              <w:rPr>
                <w:rFonts w:hint="eastAsia"/>
                <w:color w:val="auto"/>
                <w:sz w:val="24"/>
              </w:rPr>
              <w:t>②地表水环境</w:t>
            </w:r>
          </w:p>
          <w:p w14:paraId="17381F5F">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color w:val="auto"/>
                <w:sz w:val="24"/>
              </w:rPr>
              <w:t>根据《2024年淮安市生态环境状况公报》，2024年，27条主要河流水质保持稳定，其中淮河、京杭大运河、苏北灌溉总渠、淮河入江水道、分淮入沂水道水质状况为优；南淮泗河、维桥河、张福河、团结河、高桥河、池河、淮河入海水道、盐河、黄河故道、金宝航道、南六塘河、草泽河、唐响河、头溪河、汪木排河、运西河-新河、浔河、一帆河、跃进河、周桥灌区总干渠为良好；公兴河、赵公河水质状况为轻度污染。</w:t>
            </w:r>
          </w:p>
          <w:p w14:paraId="17381F60">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color w:val="auto"/>
                <w:sz w:val="24"/>
              </w:rPr>
              <w:t>本项目周边水环境质量良好。</w:t>
            </w:r>
          </w:p>
          <w:p w14:paraId="17381F61">
            <w:pPr>
              <w:adjustRightInd w:val="0"/>
              <w:snapToGrid w:val="0"/>
              <w:spacing w:line="360" w:lineRule="auto"/>
              <w:ind w:firstLine="480" w:firstLineChars="200"/>
              <w:rPr>
                <w:color w:val="auto"/>
                <w:sz w:val="24"/>
              </w:rPr>
            </w:pPr>
            <w:r>
              <w:rPr>
                <w:rFonts w:hint="eastAsia"/>
                <w:color w:val="auto"/>
                <w:sz w:val="24"/>
              </w:rPr>
              <w:t>③声环境</w:t>
            </w:r>
          </w:p>
          <w:p w14:paraId="17381F62">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color w:val="auto"/>
                <w:sz w:val="24"/>
              </w:rPr>
            </w:pPr>
            <w:r>
              <w:rPr>
                <w:rFonts w:hint="eastAsia"/>
                <w:color w:val="auto"/>
                <w:sz w:val="24"/>
                <w:lang w:val="en-US" w:eastAsia="zh-CN"/>
              </w:rPr>
              <w:t>本项目</w:t>
            </w:r>
            <w:r>
              <w:rPr>
                <w:rFonts w:hint="eastAsia"/>
                <w:color w:val="auto"/>
                <w:sz w:val="24"/>
              </w:rPr>
              <w:t>位于淮安市淮阴区马头镇东港路一号</w:t>
            </w:r>
            <w:r>
              <w:rPr>
                <w:rFonts w:hint="eastAsia"/>
                <w:color w:val="auto"/>
                <w:sz w:val="24"/>
                <w:lang w:eastAsia="zh-CN"/>
              </w:rPr>
              <w:t>，</w:t>
            </w:r>
            <w:r>
              <w:rPr>
                <w:rFonts w:hint="eastAsia" w:ascii="Times New Roman" w:hAnsi="Times New Roman" w:eastAsia="宋体" w:cs="Times New Roman"/>
                <w:color w:val="auto"/>
                <w:kern w:val="0"/>
                <w:sz w:val="24"/>
                <w:highlight w:val="none"/>
                <w:lang w:val="en-US" w:eastAsia="zh-CN"/>
              </w:rPr>
              <w:t>根据附件</w:t>
            </w:r>
            <w:r>
              <w:rPr>
                <w:rFonts w:hint="eastAsia" w:cs="Times New Roman"/>
                <w:color w:val="auto"/>
                <w:kern w:val="0"/>
                <w:sz w:val="24"/>
                <w:highlight w:val="none"/>
                <w:lang w:val="en-US" w:eastAsia="zh-CN"/>
              </w:rPr>
              <w:t>6</w:t>
            </w:r>
            <w:r>
              <w:rPr>
                <w:rFonts w:hint="eastAsia" w:ascii="Times New Roman" w:hAnsi="Times New Roman" w:eastAsia="宋体" w:cs="Times New Roman"/>
                <w:color w:val="auto"/>
                <w:kern w:val="0"/>
                <w:sz w:val="24"/>
                <w:highlight w:val="none"/>
                <w:lang w:val="en-US" w:eastAsia="zh-CN"/>
              </w:rPr>
              <w:t>淮安市淮阴区马头镇人民政府出具的证明</w:t>
            </w:r>
            <w:r>
              <w:rPr>
                <w:rFonts w:hint="eastAsia" w:cs="Times New Roman"/>
                <w:color w:val="auto"/>
                <w:kern w:val="0"/>
                <w:sz w:val="24"/>
                <w:highlight w:val="none"/>
                <w:lang w:val="en-US" w:eastAsia="zh-CN"/>
              </w:rPr>
              <w:t>（关于淮安市鸣锋工具有限公司五金工具加工项目的情况说明）</w:t>
            </w:r>
            <w:r>
              <w:rPr>
                <w:rFonts w:hint="eastAsia" w:ascii="Times New Roman" w:hAnsi="Times New Roman" w:eastAsia="宋体" w:cs="Times New Roman"/>
                <w:color w:val="auto"/>
                <w:kern w:val="0"/>
                <w:sz w:val="24"/>
                <w:highlight w:val="none"/>
                <w:lang w:val="en-US" w:eastAsia="zh-CN"/>
              </w:rPr>
              <w:t>，项目所在地</w:t>
            </w:r>
            <w:r>
              <w:rPr>
                <w:rFonts w:hint="eastAsia" w:cs="Times New Roman"/>
                <w:color w:val="auto"/>
                <w:kern w:val="0"/>
                <w:sz w:val="24"/>
                <w:highlight w:val="none"/>
                <w:lang w:val="en-US" w:eastAsia="zh-CN"/>
              </w:rPr>
              <w:t>属于马头镇原工业集中区，后续将纳入马头镇张庄镇村工业集中区。</w:t>
            </w:r>
            <w:r>
              <w:rPr>
                <w:rFonts w:hint="eastAsia"/>
                <w:color w:val="auto"/>
                <w:sz w:val="24"/>
              </w:rPr>
              <w:t>根据</w:t>
            </w:r>
            <w:r>
              <w:rPr>
                <w:rFonts w:hint="eastAsia"/>
                <w:color w:val="auto"/>
                <w:sz w:val="24"/>
                <w:lang w:eastAsia="zh-CN"/>
              </w:rPr>
              <w:t>《</w:t>
            </w:r>
            <w:r>
              <w:rPr>
                <w:rFonts w:hint="eastAsia"/>
                <w:color w:val="auto"/>
                <w:sz w:val="24"/>
                <w:lang w:val="en-US" w:eastAsia="zh-CN"/>
              </w:rPr>
              <w:t>声环境质量标准</w:t>
            </w:r>
            <w:r>
              <w:rPr>
                <w:rFonts w:hint="eastAsia"/>
                <w:color w:val="auto"/>
                <w:sz w:val="24"/>
                <w:lang w:eastAsia="zh-CN"/>
              </w:rPr>
              <w:t>》（</w:t>
            </w:r>
            <w:r>
              <w:rPr>
                <w:rFonts w:hint="eastAsia"/>
                <w:color w:val="auto"/>
                <w:sz w:val="24"/>
                <w:lang w:val="en-US" w:eastAsia="zh-CN"/>
              </w:rPr>
              <w:t>GB3096-2008</w:t>
            </w:r>
            <w:r>
              <w:rPr>
                <w:rFonts w:hint="eastAsia"/>
                <w:color w:val="auto"/>
                <w:sz w:val="24"/>
                <w:lang w:eastAsia="zh-CN"/>
              </w:rPr>
              <w:t>），</w:t>
            </w:r>
            <w:r>
              <w:rPr>
                <w:rFonts w:hint="eastAsia"/>
                <w:color w:val="auto"/>
                <w:sz w:val="24"/>
              </w:rPr>
              <w:t>2类声环境功能区指以商业金融、集市贸易为主要功能，或者居住、商业、工业混杂，需要维护住宅安静的区域</w:t>
            </w:r>
            <w:r>
              <w:rPr>
                <w:rFonts w:hint="eastAsia"/>
                <w:color w:val="auto"/>
                <w:sz w:val="24"/>
                <w:lang w:eastAsia="zh-CN"/>
              </w:rPr>
              <w:t>，</w:t>
            </w:r>
            <w:r>
              <w:rPr>
                <w:rFonts w:hint="eastAsia"/>
                <w:color w:val="auto"/>
                <w:sz w:val="24"/>
                <w:lang w:val="en-US" w:eastAsia="zh-CN"/>
              </w:rPr>
              <w:t>因此本项目厂区四周及周围居民点（张庄镇）声环境需满足2类标准。本公司委托江苏安诺检测技术有限公司于2024年11月28日-29日对厂界四周及周围保护目标（张庄镇）进行噪声监测，监测报告详见附件9，</w:t>
            </w:r>
            <w:r>
              <w:rPr>
                <w:rFonts w:hint="eastAsia"/>
                <w:color w:val="auto"/>
                <w:sz w:val="24"/>
              </w:rPr>
              <w:t>监测结果</w:t>
            </w:r>
            <w:r>
              <w:rPr>
                <w:rFonts w:hint="eastAsia"/>
                <w:color w:val="auto"/>
                <w:sz w:val="24"/>
                <w:lang w:val="en-US" w:eastAsia="zh-CN"/>
              </w:rPr>
              <w:t>详见表1-6</w:t>
            </w:r>
            <w:r>
              <w:rPr>
                <w:rFonts w:hint="eastAsia"/>
                <w:color w:val="auto"/>
                <w:sz w:val="24"/>
              </w:rPr>
              <w:t>，</w:t>
            </w:r>
            <w:r>
              <w:rPr>
                <w:rFonts w:hint="eastAsia"/>
                <w:color w:val="auto"/>
                <w:sz w:val="24"/>
                <w:lang w:val="en-US" w:eastAsia="zh-CN"/>
              </w:rPr>
              <w:t>厂界四周及声环境保护目标</w:t>
            </w:r>
            <w:r>
              <w:rPr>
                <w:rFonts w:hint="eastAsia"/>
                <w:color w:val="auto"/>
                <w:sz w:val="24"/>
              </w:rPr>
              <w:t>可满足</w:t>
            </w:r>
            <w:r>
              <w:rPr>
                <w:color w:val="auto"/>
                <w:sz w:val="24"/>
              </w:rPr>
              <w:t>《声环境质量标准》（GB3096-2008）中2类标准。</w:t>
            </w:r>
          </w:p>
          <w:p w14:paraId="4CBC6578">
            <w:pPr>
              <w:widowControl/>
              <w:snapToGrid w:val="0"/>
              <w:jc w:val="center"/>
              <w:rPr>
                <w:b/>
                <w:color w:val="auto"/>
                <w:sz w:val="24"/>
              </w:rPr>
            </w:pPr>
            <w:r>
              <w:rPr>
                <w:rFonts w:hint="eastAsia"/>
                <w:b/>
                <w:color w:val="auto"/>
                <w:sz w:val="24"/>
              </w:rPr>
              <w:t>表</w:t>
            </w:r>
            <w:r>
              <w:rPr>
                <w:rFonts w:hint="eastAsia"/>
                <w:b/>
                <w:color w:val="auto"/>
                <w:sz w:val="24"/>
                <w:lang w:val="en-US" w:eastAsia="zh-CN"/>
              </w:rPr>
              <w:t>1-6本</w:t>
            </w:r>
            <w:r>
              <w:rPr>
                <w:rFonts w:hint="eastAsia"/>
                <w:b/>
                <w:color w:val="auto"/>
                <w:sz w:val="24"/>
              </w:rPr>
              <w:t>项目声环境监测结果</w:t>
            </w:r>
            <w:r>
              <w:rPr>
                <w:b/>
                <w:color w:val="auto"/>
                <w:sz w:val="24"/>
              </w:rPr>
              <w:t xml:space="preserve">   </w:t>
            </w:r>
            <w:r>
              <w:rPr>
                <w:rFonts w:hint="eastAsia"/>
                <w:b/>
                <w:color w:val="auto"/>
                <w:sz w:val="24"/>
              </w:rPr>
              <w:t>单位：</w:t>
            </w:r>
            <w:r>
              <w:rPr>
                <w:b/>
                <w:color w:val="auto"/>
                <w:sz w:val="24"/>
              </w:rPr>
              <w:t>L</w:t>
            </w:r>
            <w:r>
              <w:rPr>
                <w:b/>
                <w:color w:val="auto"/>
                <w:sz w:val="24"/>
                <w:vertAlign w:val="subscript"/>
              </w:rPr>
              <w:t>eq</w:t>
            </w:r>
            <w:r>
              <w:rPr>
                <w:b/>
                <w:color w:val="auto"/>
                <w:sz w:val="24"/>
              </w:rPr>
              <w:t>dB(A)</w:t>
            </w:r>
          </w:p>
          <w:tbl>
            <w:tblPr>
              <w:tblStyle w:val="88"/>
              <w:tblW w:w="4996"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658"/>
              <w:gridCol w:w="675"/>
              <w:gridCol w:w="938"/>
              <w:gridCol w:w="993"/>
              <w:gridCol w:w="938"/>
              <w:gridCol w:w="937"/>
              <w:gridCol w:w="750"/>
              <w:gridCol w:w="750"/>
              <w:gridCol w:w="531"/>
            </w:tblGrid>
            <w:tr w14:paraId="0BAA9B9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929" w:type="pct"/>
                  <w:gridSpan w:val="2"/>
                  <w:tcBorders>
                    <w:top w:val="single" w:color="auto" w:sz="12" w:space="0"/>
                    <w:bottom w:val="single" w:color="auto" w:sz="4" w:space="0"/>
                    <w:right w:val="single" w:color="auto" w:sz="4" w:space="0"/>
                  </w:tcBorders>
                  <w:vAlign w:val="center"/>
                </w:tcPr>
                <w:p w14:paraId="50EEC13A">
                  <w:pPr>
                    <w:tabs>
                      <w:tab w:val="left" w:pos="8358"/>
                    </w:tabs>
                    <w:jc w:val="center"/>
                    <w:rPr>
                      <w:color w:val="auto"/>
                      <w:kern w:val="0"/>
                      <w:szCs w:val="21"/>
                    </w:rPr>
                  </w:pPr>
                  <w:r>
                    <w:rPr>
                      <w:rFonts w:hint="eastAsia"/>
                      <w:color w:val="auto"/>
                      <w:kern w:val="0"/>
                      <w:szCs w:val="21"/>
                    </w:rPr>
                    <w:t>监测点位</w:t>
                  </w:r>
                </w:p>
              </w:tc>
              <w:tc>
                <w:tcPr>
                  <w:tcW w:w="654" w:type="pct"/>
                  <w:tcBorders>
                    <w:top w:val="single" w:color="auto" w:sz="12" w:space="0"/>
                    <w:left w:val="single" w:color="auto" w:sz="4" w:space="0"/>
                    <w:bottom w:val="single" w:color="auto" w:sz="4" w:space="0"/>
                    <w:right w:val="single" w:color="auto" w:sz="4" w:space="0"/>
                  </w:tcBorders>
                  <w:vAlign w:val="center"/>
                </w:tcPr>
                <w:p w14:paraId="4F09616D">
                  <w:pPr>
                    <w:tabs>
                      <w:tab w:val="left" w:pos="8358"/>
                    </w:tabs>
                    <w:jc w:val="center"/>
                    <w:rPr>
                      <w:color w:val="auto"/>
                      <w:kern w:val="0"/>
                      <w:szCs w:val="21"/>
                    </w:rPr>
                  </w:pPr>
                  <w:r>
                    <w:rPr>
                      <w:rFonts w:hint="eastAsia"/>
                      <w:color w:val="auto"/>
                      <w:kern w:val="0"/>
                      <w:szCs w:val="21"/>
                      <w:lang w:val="en-US" w:eastAsia="zh-CN"/>
                    </w:rPr>
                    <w:t>厂界东外1米</w:t>
                  </w:r>
                  <w:r>
                    <w:rPr>
                      <w:color w:val="auto"/>
                      <w:kern w:val="0"/>
                      <w:szCs w:val="21"/>
                    </w:rPr>
                    <w:t>N1</w:t>
                  </w:r>
                </w:p>
              </w:tc>
              <w:tc>
                <w:tcPr>
                  <w:tcW w:w="692" w:type="pct"/>
                  <w:tcBorders>
                    <w:top w:val="single" w:color="auto" w:sz="12" w:space="0"/>
                    <w:left w:val="single" w:color="auto" w:sz="4" w:space="0"/>
                    <w:bottom w:val="single" w:color="auto" w:sz="4" w:space="0"/>
                    <w:right w:val="single" w:color="auto" w:sz="4" w:space="0"/>
                  </w:tcBorders>
                  <w:vAlign w:val="center"/>
                </w:tcPr>
                <w:p w14:paraId="1336A1AF">
                  <w:pPr>
                    <w:tabs>
                      <w:tab w:val="left" w:pos="8358"/>
                    </w:tabs>
                    <w:jc w:val="center"/>
                    <w:rPr>
                      <w:color w:val="auto"/>
                      <w:kern w:val="0"/>
                      <w:szCs w:val="21"/>
                    </w:rPr>
                  </w:pPr>
                  <w:r>
                    <w:rPr>
                      <w:rFonts w:hint="eastAsia"/>
                      <w:color w:val="auto"/>
                      <w:kern w:val="0"/>
                      <w:szCs w:val="21"/>
                      <w:lang w:val="en-US" w:eastAsia="zh-CN"/>
                    </w:rPr>
                    <w:t>厂界南外1米</w:t>
                  </w:r>
                  <w:r>
                    <w:rPr>
                      <w:color w:val="auto"/>
                      <w:kern w:val="0"/>
                      <w:szCs w:val="21"/>
                    </w:rPr>
                    <w:t>N2</w:t>
                  </w:r>
                </w:p>
              </w:tc>
              <w:tc>
                <w:tcPr>
                  <w:tcW w:w="654" w:type="pct"/>
                  <w:tcBorders>
                    <w:top w:val="single" w:color="auto" w:sz="12" w:space="0"/>
                    <w:left w:val="single" w:color="auto" w:sz="4" w:space="0"/>
                    <w:bottom w:val="single" w:color="auto" w:sz="4" w:space="0"/>
                    <w:right w:val="single" w:color="auto" w:sz="4" w:space="0"/>
                  </w:tcBorders>
                  <w:vAlign w:val="center"/>
                </w:tcPr>
                <w:p w14:paraId="5E98C535">
                  <w:pPr>
                    <w:tabs>
                      <w:tab w:val="left" w:pos="8358"/>
                    </w:tabs>
                    <w:jc w:val="center"/>
                    <w:rPr>
                      <w:color w:val="auto"/>
                      <w:kern w:val="0"/>
                      <w:szCs w:val="21"/>
                    </w:rPr>
                  </w:pPr>
                  <w:r>
                    <w:rPr>
                      <w:rFonts w:hint="eastAsia"/>
                      <w:color w:val="auto"/>
                      <w:kern w:val="0"/>
                      <w:szCs w:val="21"/>
                      <w:lang w:val="en-US" w:eastAsia="zh-CN"/>
                    </w:rPr>
                    <w:t>厂界西外1米</w:t>
                  </w:r>
                  <w:r>
                    <w:rPr>
                      <w:color w:val="auto"/>
                      <w:kern w:val="0"/>
                      <w:szCs w:val="21"/>
                    </w:rPr>
                    <w:t>N3</w:t>
                  </w:r>
                </w:p>
              </w:tc>
              <w:tc>
                <w:tcPr>
                  <w:tcW w:w="653" w:type="pct"/>
                  <w:tcBorders>
                    <w:top w:val="single" w:color="auto" w:sz="12" w:space="0"/>
                    <w:left w:val="single" w:color="auto" w:sz="4" w:space="0"/>
                    <w:bottom w:val="single" w:color="auto" w:sz="4" w:space="0"/>
                    <w:right w:val="single" w:color="auto" w:sz="4" w:space="0"/>
                  </w:tcBorders>
                  <w:vAlign w:val="center"/>
                </w:tcPr>
                <w:p w14:paraId="72E7DD6A">
                  <w:pPr>
                    <w:tabs>
                      <w:tab w:val="left" w:pos="8358"/>
                    </w:tabs>
                    <w:jc w:val="center"/>
                    <w:rPr>
                      <w:color w:val="auto"/>
                      <w:kern w:val="0"/>
                      <w:szCs w:val="21"/>
                    </w:rPr>
                  </w:pPr>
                  <w:r>
                    <w:rPr>
                      <w:rFonts w:hint="eastAsia"/>
                      <w:color w:val="auto"/>
                      <w:kern w:val="0"/>
                      <w:szCs w:val="21"/>
                      <w:lang w:val="en-US" w:eastAsia="zh-CN"/>
                    </w:rPr>
                    <w:t>厂界北外1米</w:t>
                  </w:r>
                  <w:r>
                    <w:rPr>
                      <w:color w:val="auto"/>
                      <w:kern w:val="0"/>
                      <w:szCs w:val="21"/>
                    </w:rPr>
                    <w:t>N4</w:t>
                  </w:r>
                </w:p>
              </w:tc>
              <w:tc>
                <w:tcPr>
                  <w:tcW w:w="523" w:type="pct"/>
                  <w:tcBorders>
                    <w:top w:val="single" w:color="auto" w:sz="12" w:space="0"/>
                    <w:left w:val="single" w:color="auto" w:sz="4" w:space="0"/>
                    <w:bottom w:val="single" w:color="auto" w:sz="4" w:space="0"/>
                    <w:right w:val="single" w:color="auto" w:sz="4" w:space="0"/>
                  </w:tcBorders>
                  <w:vAlign w:val="center"/>
                </w:tcPr>
                <w:p w14:paraId="7163E018">
                  <w:pPr>
                    <w:tabs>
                      <w:tab w:val="left" w:pos="8358"/>
                    </w:tabs>
                    <w:jc w:val="center"/>
                    <w:rPr>
                      <w:color w:val="auto"/>
                      <w:kern w:val="0"/>
                      <w:szCs w:val="21"/>
                    </w:rPr>
                  </w:pPr>
                  <w:r>
                    <w:rPr>
                      <w:rFonts w:hint="eastAsia"/>
                      <w:color w:val="auto"/>
                      <w:kern w:val="0"/>
                      <w:szCs w:val="21"/>
                    </w:rPr>
                    <w:t>张庄镇N5</w:t>
                  </w:r>
                </w:p>
              </w:tc>
              <w:tc>
                <w:tcPr>
                  <w:tcW w:w="523" w:type="pct"/>
                  <w:tcBorders>
                    <w:top w:val="single" w:color="auto" w:sz="12" w:space="0"/>
                    <w:left w:val="single" w:color="auto" w:sz="4" w:space="0"/>
                    <w:bottom w:val="single" w:color="auto" w:sz="4" w:space="0"/>
                  </w:tcBorders>
                  <w:vAlign w:val="center"/>
                </w:tcPr>
                <w:p w14:paraId="16B59966">
                  <w:pPr>
                    <w:tabs>
                      <w:tab w:val="left" w:pos="8358"/>
                    </w:tabs>
                    <w:jc w:val="center"/>
                    <w:rPr>
                      <w:color w:val="auto"/>
                      <w:kern w:val="0"/>
                      <w:szCs w:val="21"/>
                    </w:rPr>
                  </w:pPr>
                  <w:r>
                    <w:rPr>
                      <w:rFonts w:hint="eastAsia"/>
                      <w:color w:val="auto"/>
                      <w:kern w:val="0"/>
                      <w:szCs w:val="21"/>
                    </w:rPr>
                    <w:t>标准值</w:t>
                  </w:r>
                </w:p>
              </w:tc>
              <w:tc>
                <w:tcPr>
                  <w:tcW w:w="370" w:type="pct"/>
                  <w:tcBorders>
                    <w:top w:val="single" w:color="auto" w:sz="12" w:space="0"/>
                    <w:left w:val="single" w:color="auto" w:sz="4" w:space="0"/>
                    <w:bottom w:val="single" w:color="auto" w:sz="4" w:space="0"/>
                  </w:tcBorders>
                  <w:vAlign w:val="center"/>
                </w:tcPr>
                <w:p w14:paraId="656AD9F8">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达标情况</w:t>
                  </w:r>
                </w:p>
              </w:tc>
            </w:tr>
            <w:tr w14:paraId="07E960E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458" w:type="pct"/>
                  <w:vMerge w:val="restart"/>
                  <w:tcBorders>
                    <w:top w:val="single" w:color="auto" w:sz="4" w:space="0"/>
                    <w:bottom w:val="single" w:color="auto" w:sz="4" w:space="0"/>
                    <w:right w:val="single" w:color="auto" w:sz="4" w:space="0"/>
                  </w:tcBorders>
                  <w:vAlign w:val="center"/>
                </w:tcPr>
                <w:p w14:paraId="6874A764">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11.28</w:t>
                  </w:r>
                </w:p>
              </w:tc>
              <w:tc>
                <w:tcPr>
                  <w:tcW w:w="470" w:type="pct"/>
                  <w:tcBorders>
                    <w:top w:val="single" w:color="auto" w:sz="4" w:space="0"/>
                    <w:left w:val="single" w:color="auto" w:sz="4" w:space="0"/>
                    <w:bottom w:val="single" w:color="auto" w:sz="4" w:space="0"/>
                    <w:right w:val="single" w:color="auto" w:sz="4" w:space="0"/>
                  </w:tcBorders>
                  <w:vAlign w:val="center"/>
                </w:tcPr>
                <w:p w14:paraId="5AB9FAC1">
                  <w:pPr>
                    <w:tabs>
                      <w:tab w:val="left" w:pos="8358"/>
                    </w:tabs>
                    <w:jc w:val="center"/>
                    <w:rPr>
                      <w:color w:val="auto"/>
                      <w:kern w:val="0"/>
                      <w:szCs w:val="21"/>
                    </w:rPr>
                  </w:pPr>
                  <w:r>
                    <w:rPr>
                      <w:rFonts w:hint="eastAsia"/>
                      <w:color w:val="auto"/>
                      <w:kern w:val="0"/>
                      <w:szCs w:val="21"/>
                    </w:rPr>
                    <w:t>昼间</w:t>
                  </w:r>
                </w:p>
              </w:tc>
              <w:tc>
                <w:tcPr>
                  <w:tcW w:w="654" w:type="pct"/>
                  <w:tcBorders>
                    <w:top w:val="single" w:color="auto" w:sz="4" w:space="0"/>
                    <w:left w:val="single" w:color="auto" w:sz="4" w:space="0"/>
                    <w:bottom w:val="single" w:color="auto" w:sz="4" w:space="0"/>
                    <w:right w:val="single" w:color="auto" w:sz="4" w:space="0"/>
                  </w:tcBorders>
                  <w:vAlign w:val="center"/>
                </w:tcPr>
                <w:p w14:paraId="4611A3E4">
                  <w:pPr>
                    <w:tabs>
                      <w:tab w:val="left" w:pos="8358"/>
                    </w:tabs>
                    <w:jc w:val="center"/>
                    <w:rPr>
                      <w:color w:val="auto"/>
                      <w:kern w:val="0"/>
                      <w:szCs w:val="21"/>
                    </w:rPr>
                  </w:pPr>
                  <w:r>
                    <w:rPr>
                      <w:rFonts w:hint="eastAsia"/>
                      <w:color w:val="auto"/>
                      <w:kern w:val="0"/>
                      <w:szCs w:val="21"/>
                      <w:lang w:val="en-US" w:eastAsia="zh-CN"/>
                    </w:rPr>
                    <w:t>49</w:t>
                  </w:r>
                  <w:r>
                    <w:rPr>
                      <w:rFonts w:hint="eastAsia"/>
                      <w:color w:val="auto"/>
                      <w:kern w:val="0"/>
                      <w:szCs w:val="21"/>
                    </w:rPr>
                    <w:t xml:space="preserve"> </w:t>
                  </w:r>
                </w:p>
              </w:tc>
              <w:tc>
                <w:tcPr>
                  <w:tcW w:w="692" w:type="pct"/>
                  <w:tcBorders>
                    <w:top w:val="single" w:color="auto" w:sz="4" w:space="0"/>
                    <w:left w:val="single" w:color="auto" w:sz="4" w:space="0"/>
                    <w:bottom w:val="single" w:color="auto" w:sz="4" w:space="0"/>
                    <w:right w:val="single" w:color="auto" w:sz="4" w:space="0"/>
                  </w:tcBorders>
                  <w:vAlign w:val="center"/>
                </w:tcPr>
                <w:p w14:paraId="28850A7E">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54</w:t>
                  </w:r>
                </w:p>
              </w:tc>
              <w:tc>
                <w:tcPr>
                  <w:tcW w:w="654" w:type="pct"/>
                  <w:tcBorders>
                    <w:top w:val="single" w:color="auto" w:sz="4" w:space="0"/>
                    <w:left w:val="single" w:color="auto" w:sz="4" w:space="0"/>
                    <w:bottom w:val="single" w:color="auto" w:sz="4" w:space="0"/>
                    <w:right w:val="single" w:color="auto" w:sz="4" w:space="0"/>
                  </w:tcBorders>
                  <w:vAlign w:val="center"/>
                </w:tcPr>
                <w:p w14:paraId="25C1BB64">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57</w:t>
                  </w:r>
                </w:p>
              </w:tc>
              <w:tc>
                <w:tcPr>
                  <w:tcW w:w="653" w:type="pct"/>
                  <w:tcBorders>
                    <w:top w:val="single" w:color="auto" w:sz="4" w:space="0"/>
                    <w:left w:val="single" w:color="auto" w:sz="4" w:space="0"/>
                    <w:bottom w:val="single" w:color="auto" w:sz="4" w:space="0"/>
                    <w:right w:val="single" w:color="auto" w:sz="4" w:space="0"/>
                  </w:tcBorders>
                  <w:vAlign w:val="center"/>
                </w:tcPr>
                <w:p w14:paraId="2491F62F">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56</w:t>
                  </w:r>
                </w:p>
              </w:tc>
              <w:tc>
                <w:tcPr>
                  <w:tcW w:w="523" w:type="pct"/>
                  <w:tcBorders>
                    <w:top w:val="single" w:color="auto" w:sz="4" w:space="0"/>
                    <w:left w:val="single" w:color="auto" w:sz="4" w:space="0"/>
                    <w:bottom w:val="single" w:color="auto" w:sz="4" w:space="0"/>
                    <w:right w:val="single" w:color="auto" w:sz="4" w:space="0"/>
                  </w:tcBorders>
                  <w:vAlign w:val="center"/>
                </w:tcPr>
                <w:p w14:paraId="67D839F4">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43</w:t>
                  </w:r>
                </w:p>
              </w:tc>
              <w:tc>
                <w:tcPr>
                  <w:tcW w:w="523" w:type="pct"/>
                  <w:tcBorders>
                    <w:top w:val="single" w:color="auto" w:sz="4" w:space="0"/>
                    <w:left w:val="single" w:color="auto" w:sz="4" w:space="0"/>
                    <w:bottom w:val="single" w:color="auto" w:sz="4" w:space="0"/>
                  </w:tcBorders>
                  <w:vAlign w:val="center"/>
                </w:tcPr>
                <w:p w14:paraId="31DFC6DA">
                  <w:pPr>
                    <w:tabs>
                      <w:tab w:val="left" w:pos="8358"/>
                    </w:tabs>
                    <w:jc w:val="center"/>
                    <w:rPr>
                      <w:color w:val="auto"/>
                      <w:kern w:val="0"/>
                      <w:szCs w:val="21"/>
                    </w:rPr>
                  </w:pPr>
                  <w:r>
                    <w:rPr>
                      <w:color w:val="auto"/>
                      <w:kern w:val="0"/>
                      <w:szCs w:val="21"/>
                    </w:rPr>
                    <w:t>60</w:t>
                  </w:r>
                </w:p>
              </w:tc>
              <w:tc>
                <w:tcPr>
                  <w:tcW w:w="370" w:type="pct"/>
                  <w:tcBorders>
                    <w:top w:val="single" w:color="auto" w:sz="4" w:space="0"/>
                    <w:left w:val="single" w:color="auto" w:sz="4" w:space="0"/>
                    <w:bottom w:val="single" w:color="auto" w:sz="4" w:space="0"/>
                  </w:tcBorders>
                  <w:vAlign w:val="center"/>
                </w:tcPr>
                <w:p w14:paraId="4CEC35F5">
                  <w:pPr>
                    <w:tabs>
                      <w:tab w:val="left" w:pos="8358"/>
                    </w:tabs>
                    <w:jc w:val="center"/>
                    <w:rPr>
                      <w:rFonts w:hint="eastAsia" w:eastAsia="宋体"/>
                      <w:color w:val="auto"/>
                      <w:kern w:val="0"/>
                      <w:szCs w:val="21"/>
                      <w:lang w:val="en-US" w:eastAsia="zh-CN"/>
                    </w:rPr>
                  </w:pPr>
                  <w:r>
                    <w:rPr>
                      <w:rFonts w:hint="eastAsia"/>
                      <w:color w:val="auto"/>
                      <w:kern w:val="0"/>
                      <w:szCs w:val="21"/>
                      <w:lang w:val="en-US" w:eastAsia="zh-CN"/>
                    </w:rPr>
                    <w:t>达标</w:t>
                  </w:r>
                </w:p>
              </w:tc>
            </w:tr>
            <w:tr w14:paraId="1538B36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458" w:type="pct"/>
                  <w:vMerge w:val="continue"/>
                  <w:tcBorders>
                    <w:top w:val="single" w:color="auto" w:sz="4" w:space="0"/>
                    <w:bottom w:val="single" w:color="auto" w:sz="4" w:space="0"/>
                    <w:right w:val="single" w:color="auto" w:sz="4" w:space="0"/>
                  </w:tcBorders>
                  <w:vAlign w:val="center"/>
                </w:tcPr>
                <w:p w14:paraId="263AE60B">
                  <w:pPr>
                    <w:tabs>
                      <w:tab w:val="left" w:pos="8358"/>
                    </w:tabs>
                    <w:jc w:val="center"/>
                    <w:rPr>
                      <w:color w:val="auto"/>
                      <w:kern w:val="0"/>
                      <w:szCs w:val="21"/>
                    </w:rPr>
                  </w:pPr>
                </w:p>
              </w:tc>
              <w:tc>
                <w:tcPr>
                  <w:tcW w:w="470" w:type="pct"/>
                  <w:tcBorders>
                    <w:top w:val="single" w:color="auto" w:sz="4" w:space="0"/>
                    <w:left w:val="single" w:color="auto" w:sz="4" w:space="0"/>
                    <w:bottom w:val="single" w:color="auto" w:sz="4" w:space="0"/>
                    <w:right w:val="single" w:color="auto" w:sz="4" w:space="0"/>
                  </w:tcBorders>
                  <w:vAlign w:val="center"/>
                </w:tcPr>
                <w:p w14:paraId="5E86BE4F">
                  <w:pPr>
                    <w:tabs>
                      <w:tab w:val="left" w:pos="8358"/>
                    </w:tabs>
                    <w:jc w:val="center"/>
                    <w:rPr>
                      <w:color w:val="auto"/>
                      <w:kern w:val="0"/>
                      <w:szCs w:val="21"/>
                    </w:rPr>
                  </w:pPr>
                  <w:r>
                    <w:rPr>
                      <w:rFonts w:hint="eastAsia"/>
                      <w:color w:val="auto"/>
                      <w:kern w:val="0"/>
                      <w:szCs w:val="21"/>
                    </w:rPr>
                    <w:t>夜间</w:t>
                  </w:r>
                </w:p>
              </w:tc>
              <w:tc>
                <w:tcPr>
                  <w:tcW w:w="654" w:type="pct"/>
                  <w:tcBorders>
                    <w:top w:val="single" w:color="auto" w:sz="4" w:space="0"/>
                    <w:left w:val="single" w:color="auto" w:sz="4" w:space="0"/>
                    <w:bottom w:val="single" w:color="auto" w:sz="4" w:space="0"/>
                    <w:right w:val="single" w:color="auto" w:sz="4" w:space="0"/>
                  </w:tcBorders>
                  <w:vAlign w:val="center"/>
                </w:tcPr>
                <w:p w14:paraId="7940B702">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40</w:t>
                  </w:r>
                </w:p>
              </w:tc>
              <w:tc>
                <w:tcPr>
                  <w:tcW w:w="692" w:type="pct"/>
                  <w:tcBorders>
                    <w:top w:val="single" w:color="auto" w:sz="4" w:space="0"/>
                    <w:left w:val="single" w:color="auto" w:sz="4" w:space="0"/>
                    <w:bottom w:val="single" w:color="auto" w:sz="4" w:space="0"/>
                    <w:right w:val="single" w:color="auto" w:sz="4" w:space="0"/>
                  </w:tcBorders>
                  <w:vAlign w:val="center"/>
                </w:tcPr>
                <w:p w14:paraId="63CB0E30">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43</w:t>
                  </w:r>
                </w:p>
              </w:tc>
              <w:tc>
                <w:tcPr>
                  <w:tcW w:w="654" w:type="pct"/>
                  <w:tcBorders>
                    <w:top w:val="single" w:color="auto" w:sz="4" w:space="0"/>
                    <w:left w:val="single" w:color="auto" w:sz="4" w:space="0"/>
                    <w:bottom w:val="single" w:color="auto" w:sz="4" w:space="0"/>
                    <w:right w:val="single" w:color="auto" w:sz="4" w:space="0"/>
                  </w:tcBorders>
                  <w:vAlign w:val="center"/>
                </w:tcPr>
                <w:p w14:paraId="53696BE2">
                  <w:pPr>
                    <w:jc w:val="center"/>
                    <w:rPr>
                      <w:rFonts w:hint="default" w:eastAsia="宋体"/>
                      <w:color w:val="auto"/>
                      <w:kern w:val="0"/>
                      <w:szCs w:val="21"/>
                      <w:lang w:val="en-US" w:eastAsia="zh-CN"/>
                    </w:rPr>
                  </w:pPr>
                  <w:r>
                    <w:rPr>
                      <w:rFonts w:hint="eastAsia"/>
                      <w:color w:val="auto"/>
                      <w:kern w:val="0"/>
                      <w:szCs w:val="21"/>
                      <w:lang w:val="en-US" w:eastAsia="zh-CN"/>
                    </w:rPr>
                    <w:t>41</w:t>
                  </w:r>
                </w:p>
              </w:tc>
              <w:tc>
                <w:tcPr>
                  <w:tcW w:w="653" w:type="pct"/>
                  <w:tcBorders>
                    <w:top w:val="single" w:color="auto" w:sz="4" w:space="0"/>
                    <w:left w:val="single" w:color="auto" w:sz="4" w:space="0"/>
                    <w:bottom w:val="single" w:color="auto" w:sz="4" w:space="0"/>
                    <w:right w:val="single" w:color="auto" w:sz="4" w:space="0"/>
                  </w:tcBorders>
                  <w:vAlign w:val="center"/>
                </w:tcPr>
                <w:p w14:paraId="50B5ADC9">
                  <w:pPr>
                    <w:jc w:val="center"/>
                    <w:rPr>
                      <w:rFonts w:hint="default" w:eastAsia="宋体"/>
                      <w:color w:val="auto"/>
                      <w:kern w:val="0"/>
                      <w:szCs w:val="21"/>
                      <w:lang w:val="en-US" w:eastAsia="zh-CN"/>
                    </w:rPr>
                  </w:pPr>
                  <w:r>
                    <w:rPr>
                      <w:rFonts w:hint="eastAsia"/>
                      <w:color w:val="auto"/>
                      <w:kern w:val="0"/>
                      <w:szCs w:val="21"/>
                      <w:lang w:val="en-US" w:eastAsia="zh-CN"/>
                    </w:rPr>
                    <w:t>42</w:t>
                  </w:r>
                </w:p>
              </w:tc>
              <w:tc>
                <w:tcPr>
                  <w:tcW w:w="523" w:type="pct"/>
                  <w:tcBorders>
                    <w:top w:val="single" w:color="auto" w:sz="4" w:space="0"/>
                    <w:left w:val="single" w:color="auto" w:sz="4" w:space="0"/>
                    <w:bottom w:val="single" w:color="auto" w:sz="4" w:space="0"/>
                    <w:right w:val="single" w:color="auto" w:sz="4" w:space="0"/>
                  </w:tcBorders>
                  <w:vAlign w:val="center"/>
                </w:tcPr>
                <w:p w14:paraId="76D87833">
                  <w:pPr>
                    <w:jc w:val="center"/>
                    <w:rPr>
                      <w:rFonts w:hint="default" w:eastAsia="宋体"/>
                      <w:color w:val="auto"/>
                      <w:kern w:val="0"/>
                      <w:szCs w:val="21"/>
                      <w:lang w:val="en-US" w:eastAsia="zh-CN"/>
                    </w:rPr>
                  </w:pPr>
                  <w:r>
                    <w:rPr>
                      <w:rFonts w:hint="eastAsia"/>
                      <w:color w:val="auto"/>
                      <w:kern w:val="0"/>
                      <w:szCs w:val="21"/>
                      <w:lang w:val="en-US" w:eastAsia="zh-CN"/>
                    </w:rPr>
                    <w:t>34</w:t>
                  </w:r>
                </w:p>
              </w:tc>
              <w:tc>
                <w:tcPr>
                  <w:tcW w:w="523" w:type="pct"/>
                  <w:tcBorders>
                    <w:top w:val="single" w:color="auto" w:sz="4" w:space="0"/>
                    <w:left w:val="single" w:color="auto" w:sz="4" w:space="0"/>
                    <w:bottom w:val="single" w:color="auto" w:sz="4" w:space="0"/>
                  </w:tcBorders>
                  <w:vAlign w:val="center"/>
                </w:tcPr>
                <w:p w14:paraId="560A2484">
                  <w:pPr>
                    <w:tabs>
                      <w:tab w:val="left" w:pos="8358"/>
                    </w:tabs>
                    <w:jc w:val="center"/>
                    <w:rPr>
                      <w:color w:val="auto"/>
                      <w:kern w:val="0"/>
                      <w:szCs w:val="21"/>
                    </w:rPr>
                  </w:pPr>
                  <w:r>
                    <w:rPr>
                      <w:color w:val="auto"/>
                      <w:kern w:val="0"/>
                      <w:szCs w:val="21"/>
                    </w:rPr>
                    <w:t>50</w:t>
                  </w:r>
                </w:p>
              </w:tc>
              <w:tc>
                <w:tcPr>
                  <w:tcW w:w="370" w:type="pct"/>
                  <w:tcBorders>
                    <w:top w:val="single" w:color="auto" w:sz="4" w:space="0"/>
                    <w:left w:val="single" w:color="auto" w:sz="4" w:space="0"/>
                    <w:bottom w:val="single" w:color="auto" w:sz="4" w:space="0"/>
                  </w:tcBorders>
                  <w:vAlign w:val="center"/>
                </w:tcPr>
                <w:p w14:paraId="3217DD00">
                  <w:pPr>
                    <w:tabs>
                      <w:tab w:val="left" w:pos="8358"/>
                    </w:tabs>
                    <w:jc w:val="center"/>
                    <w:rPr>
                      <w:rFonts w:hint="eastAsia" w:eastAsia="宋体"/>
                      <w:color w:val="auto"/>
                      <w:kern w:val="0"/>
                      <w:szCs w:val="21"/>
                      <w:lang w:val="en-US" w:eastAsia="zh-CN"/>
                    </w:rPr>
                  </w:pPr>
                  <w:r>
                    <w:rPr>
                      <w:rFonts w:hint="eastAsia"/>
                      <w:color w:val="auto"/>
                      <w:kern w:val="0"/>
                      <w:szCs w:val="21"/>
                      <w:lang w:val="en-US" w:eastAsia="zh-CN"/>
                    </w:rPr>
                    <w:t>达标</w:t>
                  </w:r>
                </w:p>
              </w:tc>
            </w:tr>
            <w:tr w14:paraId="6C26028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458" w:type="pct"/>
                  <w:vMerge w:val="restart"/>
                  <w:tcBorders>
                    <w:top w:val="single" w:color="auto" w:sz="4" w:space="0"/>
                    <w:bottom w:val="single" w:color="auto" w:sz="4" w:space="0"/>
                    <w:right w:val="single" w:color="auto" w:sz="4" w:space="0"/>
                  </w:tcBorders>
                  <w:vAlign w:val="center"/>
                </w:tcPr>
                <w:p w14:paraId="43FAC548">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11.29</w:t>
                  </w:r>
                </w:p>
              </w:tc>
              <w:tc>
                <w:tcPr>
                  <w:tcW w:w="470" w:type="pct"/>
                  <w:tcBorders>
                    <w:top w:val="single" w:color="auto" w:sz="4" w:space="0"/>
                    <w:left w:val="single" w:color="auto" w:sz="4" w:space="0"/>
                    <w:bottom w:val="single" w:color="auto" w:sz="4" w:space="0"/>
                    <w:right w:val="single" w:color="auto" w:sz="4" w:space="0"/>
                  </w:tcBorders>
                  <w:vAlign w:val="center"/>
                </w:tcPr>
                <w:p w14:paraId="51BD80F0">
                  <w:pPr>
                    <w:tabs>
                      <w:tab w:val="left" w:pos="8358"/>
                    </w:tabs>
                    <w:jc w:val="center"/>
                    <w:rPr>
                      <w:color w:val="auto"/>
                      <w:kern w:val="0"/>
                      <w:szCs w:val="21"/>
                    </w:rPr>
                  </w:pPr>
                  <w:r>
                    <w:rPr>
                      <w:rFonts w:hint="eastAsia"/>
                      <w:color w:val="auto"/>
                      <w:kern w:val="0"/>
                      <w:szCs w:val="21"/>
                    </w:rPr>
                    <w:t>昼间</w:t>
                  </w:r>
                </w:p>
              </w:tc>
              <w:tc>
                <w:tcPr>
                  <w:tcW w:w="654" w:type="pct"/>
                  <w:tcBorders>
                    <w:top w:val="single" w:color="auto" w:sz="4" w:space="0"/>
                    <w:left w:val="single" w:color="auto" w:sz="4" w:space="0"/>
                    <w:bottom w:val="single" w:color="auto" w:sz="4" w:space="0"/>
                    <w:right w:val="single" w:color="auto" w:sz="4" w:space="0"/>
                  </w:tcBorders>
                  <w:vAlign w:val="center"/>
                </w:tcPr>
                <w:p w14:paraId="002ADB60">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42</w:t>
                  </w:r>
                </w:p>
              </w:tc>
              <w:tc>
                <w:tcPr>
                  <w:tcW w:w="692" w:type="pct"/>
                  <w:tcBorders>
                    <w:top w:val="single" w:color="auto" w:sz="4" w:space="0"/>
                    <w:left w:val="single" w:color="auto" w:sz="4" w:space="0"/>
                    <w:bottom w:val="single" w:color="auto" w:sz="4" w:space="0"/>
                    <w:right w:val="single" w:color="auto" w:sz="4" w:space="0"/>
                  </w:tcBorders>
                  <w:vAlign w:val="center"/>
                </w:tcPr>
                <w:p w14:paraId="49E7012E">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53</w:t>
                  </w:r>
                </w:p>
              </w:tc>
              <w:tc>
                <w:tcPr>
                  <w:tcW w:w="654" w:type="pct"/>
                  <w:tcBorders>
                    <w:top w:val="single" w:color="auto" w:sz="4" w:space="0"/>
                    <w:left w:val="single" w:color="auto" w:sz="4" w:space="0"/>
                    <w:bottom w:val="single" w:color="auto" w:sz="4" w:space="0"/>
                    <w:right w:val="single" w:color="auto" w:sz="4" w:space="0"/>
                  </w:tcBorders>
                  <w:vAlign w:val="center"/>
                </w:tcPr>
                <w:p w14:paraId="17BF5E92">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56</w:t>
                  </w:r>
                </w:p>
              </w:tc>
              <w:tc>
                <w:tcPr>
                  <w:tcW w:w="653" w:type="pct"/>
                  <w:tcBorders>
                    <w:top w:val="single" w:color="auto" w:sz="4" w:space="0"/>
                    <w:left w:val="single" w:color="auto" w:sz="4" w:space="0"/>
                    <w:bottom w:val="single" w:color="auto" w:sz="4" w:space="0"/>
                    <w:right w:val="single" w:color="auto" w:sz="4" w:space="0"/>
                  </w:tcBorders>
                  <w:vAlign w:val="center"/>
                </w:tcPr>
                <w:p w14:paraId="0C247442">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58</w:t>
                  </w:r>
                </w:p>
              </w:tc>
              <w:tc>
                <w:tcPr>
                  <w:tcW w:w="523" w:type="pct"/>
                  <w:tcBorders>
                    <w:top w:val="single" w:color="auto" w:sz="4" w:space="0"/>
                    <w:left w:val="single" w:color="auto" w:sz="4" w:space="0"/>
                    <w:bottom w:val="single" w:color="auto" w:sz="4" w:space="0"/>
                    <w:right w:val="single" w:color="auto" w:sz="4" w:space="0"/>
                  </w:tcBorders>
                  <w:vAlign w:val="center"/>
                </w:tcPr>
                <w:p w14:paraId="1EAAC9EB">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40</w:t>
                  </w:r>
                </w:p>
              </w:tc>
              <w:tc>
                <w:tcPr>
                  <w:tcW w:w="523" w:type="pct"/>
                  <w:tcBorders>
                    <w:top w:val="single" w:color="auto" w:sz="4" w:space="0"/>
                    <w:left w:val="single" w:color="auto" w:sz="4" w:space="0"/>
                    <w:bottom w:val="single" w:color="auto" w:sz="4" w:space="0"/>
                  </w:tcBorders>
                  <w:vAlign w:val="center"/>
                </w:tcPr>
                <w:p w14:paraId="0191FCFF">
                  <w:pPr>
                    <w:tabs>
                      <w:tab w:val="left" w:pos="8358"/>
                    </w:tabs>
                    <w:jc w:val="center"/>
                    <w:rPr>
                      <w:color w:val="auto"/>
                      <w:kern w:val="0"/>
                      <w:szCs w:val="21"/>
                    </w:rPr>
                  </w:pPr>
                  <w:r>
                    <w:rPr>
                      <w:color w:val="auto"/>
                      <w:kern w:val="0"/>
                      <w:szCs w:val="21"/>
                    </w:rPr>
                    <w:t>60</w:t>
                  </w:r>
                </w:p>
              </w:tc>
              <w:tc>
                <w:tcPr>
                  <w:tcW w:w="370" w:type="pct"/>
                  <w:tcBorders>
                    <w:top w:val="single" w:color="auto" w:sz="4" w:space="0"/>
                    <w:left w:val="single" w:color="auto" w:sz="4" w:space="0"/>
                    <w:bottom w:val="single" w:color="auto" w:sz="4" w:space="0"/>
                  </w:tcBorders>
                  <w:vAlign w:val="center"/>
                </w:tcPr>
                <w:p w14:paraId="0A002D74">
                  <w:pPr>
                    <w:tabs>
                      <w:tab w:val="left" w:pos="8358"/>
                    </w:tabs>
                    <w:jc w:val="center"/>
                    <w:rPr>
                      <w:rFonts w:hint="eastAsia" w:eastAsia="宋体"/>
                      <w:color w:val="auto"/>
                      <w:kern w:val="0"/>
                      <w:szCs w:val="21"/>
                      <w:lang w:val="en-US" w:eastAsia="zh-CN"/>
                    </w:rPr>
                  </w:pPr>
                  <w:r>
                    <w:rPr>
                      <w:rFonts w:hint="eastAsia"/>
                      <w:color w:val="auto"/>
                      <w:kern w:val="0"/>
                      <w:szCs w:val="21"/>
                      <w:lang w:val="en-US" w:eastAsia="zh-CN"/>
                    </w:rPr>
                    <w:t>达标</w:t>
                  </w:r>
                </w:p>
              </w:tc>
            </w:tr>
            <w:tr w14:paraId="41F9E74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458" w:type="pct"/>
                  <w:vMerge w:val="continue"/>
                  <w:tcBorders>
                    <w:top w:val="single" w:color="auto" w:sz="4" w:space="0"/>
                    <w:bottom w:val="single" w:color="auto" w:sz="12" w:space="0"/>
                    <w:right w:val="single" w:color="auto" w:sz="4" w:space="0"/>
                  </w:tcBorders>
                  <w:vAlign w:val="center"/>
                </w:tcPr>
                <w:p w14:paraId="04EBA764">
                  <w:pPr>
                    <w:tabs>
                      <w:tab w:val="left" w:pos="8358"/>
                    </w:tabs>
                    <w:jc w:val="center"/>
                    <w:rPr>
                      <w:color w:val="auto"/>
                      <w:kern w:val="0"/>
                      <w:szCs w:val="21"/>
                    </w:rPr>
                  </w:pPr>
                </w:p>
              </w:tc>
              <w:tc>
                <w:tcPr>
                  <w:tcW w:w="470" w:type="pct"/>
                  <w:tcBorders>
                    <w:top w:val="single" w:color="auto" w:sz="4" w:space="0"/>
                    <w:left w:val="single" w:color="auto" w:sz="4" w:space="0"/>
                    <w:bottom w:val="single" w:color="auto" w:sz="12" w:space="0"/>
                    <w:right w:val="single" w:color="auto" w:sz="4" w:space="0"/>
                  </w:tcBorders>
                  <w:vAlign w:val="center"/>
                </w:tcPr>
                <w:p w14:paraId="6E1F4F9C">
                  <w:pPr>
                    <w:tabs>
                      <w:tab w:val="left" w:pos="8358"/>
                    </w:tabs>
                    <w:jc w:val="center"/>
                    <w:rPr>
                      <w:color w:val="auto"/>
                      <w:kern w:val="0"/>
                      <w:szCs w:val="21"/>
                    </w:rPr>
                  </w:pPr>
                  <w:r>
                    <w:rPr>
                      <w:rFonts w:hint="eastAsia"/>
                      <w:color w:val="auto"/>
                      <w:kern w:val="0"/>
                      <w:szCs w:val="21"/>
                    </w:rPr>
                    <w:t>夜间</w:t>
                  </w:r>
                </w:p>
              </w:tc>
              <w:tc>
                <w:tcPr>
                  <w:tcW w:w="654" w:type="pct"/>
                  <w:tcBorders>
                    <w:top w:val="single" w:color="auto" w:sz="4" w:space="0"/>
                    <w:left w:val="single" w:color="auto" w:sz="4" w:space="0"/>
                    <w:bottom w:val="single" w:color="auto" w:sz="12" w:space="0"/>
                    <w:right w:val="single" w:color="auto" w:sz="4" w:space="0"/>
                  </w:tcBorders>
                  <w:vAlign w:val="center"/>
                </w:tcPr>
                <w:p w14:paraId="66503838">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43</w:t>
                  </w:r>
                </w:p>
              </w:tc>
              <w:tc>
                <w:tcPr>
                  <w:tcW w:w="692" w:type="pct"/>
                  <w:tcBorders>
                    <w:top w:val="single" w:color="auto" w:sz="4" w:space="0"/>
                    <w:left w:val="single" w:color="auto" w:sz="4" w:space="0"/>
                    <w:bottom w:val="single" w:color="auto" w:sz="12" w:space="0"/>
                    <w:right w:val="single" w:color="auto" w:sz="4" w:space="0"/>
                  </w:tcBorders>
                  <w:vAlign w:val="center"/>
                </w:tcPr>
                <w:p w14:paraId="2FCC31D6">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42</w:t>
                  </w:r>
                </w:p>
              </w:tc>
              <w:tc>
                <w:tcPr>
                  <w:tcW w:w="654" w:type="pct"/>
                  <w:tcBorders>
                    <w:top w:val="single" w:color="auto" w:sz="4" w:space="0"/>
                    <w:left w:val="single" w:color="auto" w:sz="4" w:space="0"/>
                    <w:bottom w:val="single" w:color="auto" w:sz="12" w:space="0"/>
                    <w:right w:val="single" w:color="auto" w:sz="4" w:space="0"/>
                  </w:tcBorders>
                  <w:vAlign w:val="center"/>
                </w:tcPr>
                <w:p w14:paraId="361FDE91">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42</w:t>
                  </w:r>
                </w:p>
              </w:tc>
              <w:tc>
                <w:tcPr>
                  <w:tcW w:w="653" w:type="pct"/>
                  <w:tcBorders>
                    <w:top w:val="single" w:color="auto" w:sz="4" w:space="0"/>
                    <w:left w:val="single" w:color="auto" w:sz="4" w:space="0"/>
                    <w:bottom w:val="single" w:color="auto" w:sz="12" w:space="0"/>
                    <w:right w:val="single" w:color="auto" w:sz="4" w:space="0"/>
                  </w:tcBorders>
                  <w:vAlign w:val="center"/>
                </w:tcPr>
                <w:p w14:paraId="5FC810FC">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42</w:t>
                  </w:r>
                </w:p>
              </w:tc>
              <w:tc>
                <w:tcPr>
                  <w:tcW w:w="523" w:type="pct"/>
                  <w:tcBorders>
                    <w:top w:val="single" w:color="auto" w:sz="4" w:space="0"/>
                    <w:left w:val="single" w:color="auto" w:sz="4" w:space="0"/>
                    <w:bottom w:val="single" w:color="auto" w:sz="12" w:space="0"/>
                    <w:right w:val="single" w:color="auto" w:sz="4" w:space="0"/>
                  </w:tcBorders>
                  <w:vAlign w:val="center"/>
                </w:tcPr>
                <w:p w14:paraId="0C8C5596">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40</w:t>
                  </w:r>
                </w:p>
              </w:tc>
              <w:tc>
                <w:tcPr>
                  <w:tcW w:w="523" w:type="pct"/>
                  <w:tcBorders>
                    <w:top w:val="single" w:color="auto" w:sz="4" w:space="0"/>
                    <w:left w:val="single" w:color="auto" w:sz="4" w:space="0"/>
                    <w:bottom w:val="single" w:color="auto" w:sz="12" w:space="0"/>
                  </w:tcBorders>
                  <w:vAlign w:val="center"/>
                </w:tcPr>
                <w:p w14:paraId="518A678B">
                  <w:pPr>
                    <w:tabs>
                      <w:tab w:val="left" w:pos="8358"/>
                    </w:tabs>
                    <w:jc w:val="center"/>
                    <w:rPr>
                      <w:color w:val="auto"/>
                      <w:kern w:val="0"/>
                      <w:szCs w:val="21"/>
                    </w:rPr>
                  </w:pPr>
                  <w:r>
                    <w:rPr>
                      <w:color w:val="auto"/>
                      <w:kern w:val="0"/>
                      <w:szCs w:val="21"/>
                    </w:rPr>
                    <w:t>50</w:t>
                  </w:r>
                </w:p>
              </w:tc>
              <w:tc>
                <w:tcPr>
                  <w:tcW w:w="370" w:type="pct"/>
                  <w:tcBorders>
                    <w:top w:val="single" w:color="auto" w:sz="4" w:space="0"/>
                    <w:left w:val="single" w:color="auto" w:sz="4" w:space="0"/>
                    <w:bottom w:val="single" w:color="auto" w:sz="12" w:space="0"/>
                  </w:tcBorders>
                  <w:vAlign w:val="center"/>
                </w:tcPr>
                <w:p w14:paraId="48BF54B5">
                  <w:pPr>
                    <w:tabs>
                      <w:tab w:val="left" w:pos="8358"/>
                    </w:tabs>
                    <w:jc w:val="center"/>
                    <w:rPr>
                      <w:rFonts w:hint="eastAsia" w:eastAsia="宋体"/>
                      <w:color w:val="auto"/>
                      <w:kern w:val="0"/>
                      <w:szCs w:val="21"/>
                      <w:lang w:val="en-US" w:eastAsia="zh-CN"/>
                    </w:rPr>
                  </w:pPr>
                  <w:r>
                    <w:rPr>
                      <w:rFonts w:hint="eastAsia"/>
                      <w:color w:val="auto"/>
                      <w:kern w:val="0"/>
                      <w:szCs w:val="21"/>
                      <w:lang w:val="en-US" w:eastAsia="zh-CN"/>
                    </w:rPr>
                    <w:t>达标</w:t>
                  </w:r>
                </w:p>
              </w:tc>
            </w:tr>
          </w:tbl>
          <w:p w14:paraId="17381F63">
            <w:pPr>
              <w:adjustRightInd w:val="0"/>
              <w:snapToGrid w:val="0"/>
              <w:spacing w:line="360" w:lineRule="auto"/>
              <w:ind w:firstLine="480" w:firstLineChars="200"/>
              <w:rPr>
                <w:color w:val="auto"/>
                <w:sz w:val="24"/>
              </w:rPr>
            </w:pPr>
            <w:r>
              <w:rPr>
                <w:rFonts w:hint="eastAsia"/>
                <w:color w:val="auto"/>
                <w:sz w:val="24"/>
              </w:rPr>
              <w:t>本</w:t>
            </w:r>
            <w:r>
              <w:rPr>
                <w:color w:val="auto"/>
                <w:sz w:val="24"/>
              </w:rPr>
              <w:t>项目</w:t>
            </w:r>
            <w:r>
              <w:rPr>
                <w:rFonts w:hint="eastAsia"/>
                <w:color w:val="auto"/>
                <w:sz w:val="24"/>
              </w:rPr>
              <w:t>建设后产生的</w:t>
            </w:r>
            <w:r>
              <w:rPr>
                <w:color w:val="auto"/>
                <w:sz w:val="24"/>
              </w:rPr>
              <w:t>废气、废水、噪声、固体废弃物等</w:t>
            </w:r>
            <w:r>
              <w:rPr>
                <w:rFonts w:hint="eastAsia"/>
                <w:color w:val="auto"/>
                <w:sz w:val="24"/>
              </w:rPr>
              <w:t>污染物</w:t>
            </w:r>
            <w:r>
              <w:rPr>
                <w:color w:val="auto"/>
                <w:sz w:val="24"/>
              </w:rPr>
              <w:t>经有效处理后，对环境影响较小，不会改变环境质量现状。</w:t>
            </w:r>
          </w:p>
          <w:p w14:paraId="17381F64">
            <w:pPr>
              <w:adjustRightInd w:val="0"/>
              <w:snapToGrid w:val="0"/>
              <w:spacing w:line="360" w:lineRule="auto"/>
              <w:ind w:firstLine="540"/>
              <w:rPr>
                <w:color w:val="auto"/>
                <w:sz w:val="24"/>
              </w:rPr>
            </w:pPr>
            <w:r>
              <w:rPr>
                <w:bCs/>
                <w:color w:val="auto"/>
                <w:sz w:val="24"/>
              </w:rPr>
              <w:t>因此项目的建设符合环境质量底线要求。</w:t>
            </w:r>
          </w:p>
          <w:p w14:paraId="17381F65">
            <w:pPr>
              <w:adjustRightInd w:val="0"/>
              <w:snapToGrid w:val="0"/>
              <w:spacing w:line="360" w:lineRule="auto"/>
              <w:ind w:firstLine="482" w:firstLineChars="200"/>
              <w:rPr>
                <w:b/>
                <w:color w:val="auto"/>
                <w:sz w:val="24"/>
              </w:rPr>
            </w:pPr>
            <w:r>
              <w:rPr>
                <w:rFonts w:hint="eastAsia"/>
                <w:b/>
                <w:color w:val="auto"/>
                <w:sz w:val="24"/>
              </w:rPr>
              <w:t>3、</w:t>
            </w:r>
            <w:r>
              <w:rPr>
                <w:b/>
                <w:color w:val="auto"/>
                <w:sz w:val="24"/>
              </w:rPr>
              <w:t>资源利用上线</w:t>
            </w:r>
          </w:p>
          <w:p w14:paraId="17381F66">
            <w:pPr>
              <w:adjustRightInd w:val="0"/>
              <w:snapToGrid w:val="0"/>
              <w:spacing w:line="360" w:lineRule="auto"/>
              <w:ind w:firstLine="480" w:firstLineChars="200"/>
              <w:rPr>
                <w:rFonts w:hint="eastAsia" w:ascii="Times New Roman" w:hAnsi="Times New Roman" w:eastAsia="宋体" w:cs="Times New Roman"/>
                <w:color w:val="auto"/>
                <w:sz w:val="24"/>
              </w:rPr>
            </w:pPr>
            <w:r>
              <w:rPr>
                <w:rFonts w:hint="eastAsia" w:ascii="Times New Roman" w:hAnsi="Times New Roman" w:eastAsia="宋体" w:cs="Times New Roman"/>
                <w:color w:val="auto"/>
                <w:sz w:val="24"/>
              </w:rPr>
              <w:t>本项目位于江苏省淮安市淮阴区马头镇东港路一号</w:t>
            </w:r>
            <w:r>
              <w:rPr>
                <w:rFonts w:hint="eastAsia" w:cs="Times New Roman"/>
                <w:color w:val="auto"/>
                <w:sz w:val="24"/>
                <w:lang w:eastAsia="zh-CN"/>
              </w:rPr>
              <w:t>，</w:t>
            </w:r>
            <w:r>
              <w:rPr>
                <w:rFonts w:hint="eastAsia" w:ascii="Times New Roman" w:hAnsi="Times New Roman" w:eastAsia="宋体" w:cs="Times New Roman"/>
                <w:color w:val="auto"/>
                <w:sz w:val="24"/>
              </w:rPr>
              <w:t>建筑面积1500平方米。目前项目所在地尚未制定资源利用上线相关文件，本次评价从项目原辅料及能源利用方面分析其相符性。本项目为五金工具加工项目，原辅料均从其他企业购买，未从环境资源中直接获取，市场供应量充足；项目水、电等能源来自市政管网供应，余量充足，不会突破当地资源利用上线。</w:t>
            </w:r>
          </w:p>
          <w:p w14:paraId="17381F67">
            <w:pPr>
              <w:adjustRightInd w:val="0"/>
              <w:snapToGrid w:val="0"/>
              <w:spacing w:line="360" w:lineRule="auto"/>
              <w:ind w:firstLine="480" w:firstLineChars="200"/>
              <w:rPr>
                <w:rFonts w:hint="eastAsia" w:ascii="Times New Roman" w:hAnsi="Times New Roman" w:eastAsia="宋体" w:cs="Times New Roman"/>
                <w:color w:val="auto"/>
                <w:sz w:val="24"/>
              </w:rPr>
            </w:pPr>
            <w:r>
              <w:rPr>
                <w:rFonts w:hint="eastAsia" w:ascii="Times New Roman" w:hAnsi="Times New Roman" w:eastAsia="宋体" w:cs="Times New Roman"/>
                <w:color w:val="auto"/>
                <w:sz w:val="24"/>
              </w:rPr>
              <w:t>因此，本项目符合资源利用上线。</w:t>
            </w:r>
          </w:p>
          <w:p w14:paraId="17381F68">
            <w:pPr>
              <w:adjustRightInd w:val="0"/>
              <w:snapToGrid w:val="0"/>
              <w:spacing w:line="360" w:lineRule="auto"/>
              <w:ind w:firstLine="482" w:firstLineChars="200"/>
              <w:rPr>
                <w:b/>
                <w:color w:val="auto"/>
                <w:sz w:val="24"/>
                <w:highlight w:val="none"/>
              </w:rPr>
            </w:pPr>
            <w:r>
              <w:rPr>
                <w:rFonts w:hint="eastAsia"/>
                <w:b/>
                <w:color w:val="auto"/>
                <w:sz w:val="24"/>
                <w:highlight w:val="none"/>
              </w:rPr>
              <w:t>4、</w:t>
            </w:r>
            <w:r>
              <w:rPr>
                <w:b/>
                <w:color w:val="auto"/>
                <w:sz w:val="24"/>
                <w:highlight w:val="none"/>
              </w:rPr>
              <w:t>环境准入清单</w:t>
            </w:r>
          </w:p>
          <w:p w14:paraId="17381F69">
            <w:pPr>
              <w:autoSpaceDE w:val="0"/>
              <w:autoSpaceDN w:val="0"/>
              <w:adjustRightInd w:val="0"/>
              <w:snapToGrid w:val="0"/>
              <w:spacing w:line="360" w:lineRule="auto"/>
              <w:ind w:firstLine="480" w:firstLineChars="200"/>
              <w:rPr>
                <w:color w:val="auto"/>
                <w:sz w:val="24"/>
                <w:highlight w:val="none"/>
              </w:rPr>
            </w:pPr>
            <w:r>
              <w:rPr>
                <w:rFonts w:hAnsi="宋体"/>
                <w:color w:val="auto"/>
                <w:sz w:val="24"/>
                <w:szCs w:val="32"/>
              </w:rPr>
              <w:t>本次环评对照国家及地方产业政策进行说明，具体</w:t>
            </w:r>
            <w:r>
              <w:rPr>
                <w:color w:val="auto"/>
                <w:sz w:val="24"/>
                <w:highlight w:val="none"/>
              </w:rPr>
              <w:t>见表1-</w:t>
            </w:r>
            <w:r>
              <w:rPr>
                <w:rFonts w:hint="eastAsia"/>
                <w:color w:val="auto"/>
                <w:sz w:val="24"/>
                <w:highlight w:val="none"/>
              </w:rPr>
              <w:t>7</w:t>
            </w:r>
            <w:r>
              <w:rPr>
                <w:color w:val="auto"/>
                <w:sz w:val="24"/>
                <w:highlight w:val="none"/>
              </w:rPr>
              <w:t>。</w:t>
            </w:r>
          </w:p>
          <w:p w14:paraId="17381F6A">
            <w:pPr>
              <w:widowControl/>
              <w:snapToGrid w:val="0"/>
              <w:jc w:val="center"/>
              <w:rPr>
                <w:rFonts w:hint="default"/>
                <w:b/>
                <w:color w:val="auto"/>
                <w:sz w:val="24"/>
                <w:lang w:val="en-US" w:eastAsia="zh-CN"/>
              </w:rPr>
            </w:pPr>
            <w:r>
              <w:rPr>
                <w:rFonts w:hint="eastAsia"/>
                <w:b/>
                <w:color w:val="auto"/>
                <w:sz w:val="24"/>
                <w:lang w:val="zh-CN"/>
              </w:rPr>
              <w:t>表1-</w:t>
            </w:r>
            <w:r>
              <w:rPr>
                <w:rFonts w:hint="eastAsia"/>
                <w:b/>
                <w:color w:val="auto"/>
                <w:sz w:val="24"/>
              </w:rPr>
              <w:t xml:space="preserve">7 </w:t>
            </w:r>
            <w:r>
              <w:rPr>
                <w:rFonts w:hint="eastAsia"/>
                <w:b/>
                <w:color w:val="auto"/>
                <w:sz w:val="24"/>
                <w:lang w:val="en-US" w:eastAsia="zh-CN"/>
              </w:rPr>
              <w:t>环境准入负面清单对照表</w:t>
            </w:r>
          </w:p>
          <w:tbl>
            <w:tblPr>
              <w:tblStyle w:val="88"/>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360"/>
              <w:gridCol w:w="3750"/>
              <w:gridCol w:w="2569"/>
              <w:gridCol w:w="496"/>
            </w:tblGrid>
            <w:tr w14:paraId="17381F7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17381F6B">
                  <w:pPr>
                    <w:adjustRightInd w:val="0"/>
                    <w:snapToGrid w:val="0"/>
                    <w:jc w:val="center"/>
                    <w:rPr>
                      <w:b/>
                      <w:bCs/>
                      <w:color w:val="auto"/>
                      <w:kern w:val="0"/>
                      <w:szCs w:val="21"/>
                    </w:rPr>
                  </w:pPr>
                  <w:r>
                    <w:rPr>
                      <w:b/>
                      <w:bCs/>
                      <w:color w:val="auto"/>
                      <w:kern w:val="0"/>
                      <w:szCs w:val="21"/>
                    </w:rPr>
                    <w:t>序号</w:t>
                  </w:r>
                </w:p>
              </w:tc>
              <w:tc>
                <w:tcPr>
                  <w:tcW w:w="3750" w:type="dxa"/>
                  <w:vAlign w:val="center"/>
                </w:tcPr>
                <w:p w14:paraId="17381F6C">
                  <w:pPr>
                    <w:adjustRightInd w:val="0"/>
                    <w:snapToGrid w:val="0"/>
                    <w:jc w:val="center"/>
                    <w:rPr>
                      <w:b/>
                      <w:bCs/>
                      <w:color w:val="auto"/>
                      <w:kern w:val="0"/>
                      <w:szCs w:val="21"/>
                    </w:rPr>
                  </w:pPr>
                  <w:r>
                    <w:rPr>
                      <w:b/>
                      <w:bCs/>
                      <w:color w:val="auto"/>
                      <w:kern w:val="0"/>
                      <w:szCs w:val="21"/>
                    </w:rPr>
                    <w:t>文件</w:t>
                  </w:r>
                </w:p>
              </w:tc>
              <w:tc>
                <w:tcPr>
                  <w:tcW w:w="2569" w:type="dxa"/>
                  <w:vAlign w:val="center"/>
                </w:tcPr>
                <w:p w14:paraId="17381F6D">
                  <w:pPr>
                    <w:adjustRightInd w:val="0"/>
                    <w:snapToGrid w:val="0"/>
                    <w:jc w:val="center"/>
                    <w:rPr>
                      <w:b/>
                      <w:bCs/>
                      <w:color w:val="auto"/>
                      <w:kern w:val="0"/>
                      <w:szCs w:val="21"/>
                    </w:rPr>
                  </w:pPr>
                  <w:r>
                    <w:rPr>
                      <w:b/>
                      <w:bCs/>
                      <w:color w:val="auto"/>
                      <w:kern w:val="0"/>
                      <w:szCs w:val="21"/>
                    </w:rPr>
                    <w:t>相符性分析</w:t>
                  </w:r>
                </w:p>
              </w:tc>
              <w:tc>
                <w:tcPr>
                  <w:tcW w:w="496" w:type="dxa"/>
                  <w:vAlign w:val="center"/>
                </w:tcPr>
                <w:p w14:paraId="17381F6E">
                  <w:pPr>
                    <w:adjustRightInd w:val="0"/>
                    <w:snapToGrid w:val="0"/>
                    <w:jc w:val="center"/>
                    <w:rPr>
                      <w:b/>
                      <w:bCs/>
                      <w:color w:val="auto"/>
                      <w:kern w:val="0"/>
                      <w:szCs w:val="21"/>
                    </w:rPr>
                  </w:pPr>
                  <w:r>
                    <w:rPr>
                      <w:b/>
                      <w:bCs/>
                      <w:color w:val="auto"/>
                      <w:kern w:val="0"/>
                      <w:szCs w:val="21"/>
                    </w:rPr>
                    <w:t>判定</w:t>
                  </w:r>
                </w:p>
                <w:p w14:paraId="17381F6F">
                  <w:pPr>
                    <w:adjustRightInd w:val="0"/>
                    <w:snapToGrid w:val="0"/>
                    <w:jc w:val="center"/>
                    <w:rPr>
                      <w:b/>
                      <w:bCs/>
                      <w:color w:val="auto"/>
                      <w:kern w:val="0"/>
                      <w:szCs w:val="21"/>
                    </w:rPr>
                  </w:pPr>
                  <w:r>
                    <w:rPr>
                      <w:b/>
                      <w:bCs/>
                      <w:color w:val="auto"/>
                      <w:kern w:val="0"/>
                      <w:szCs w:val="21"/>
                    </w:rPr>
                    <w:t>结果</w:t>
                  </w:r>
                </w:p>
              </w:tc>
            </w:tr>
            <w:tr w14:paraId="17381F7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17381F71">
                  <w:pPr>
                    <w:adjustRightInd w:val="0"/>
                    <w:snapToGrid w:val="0"/>
                    <w:jc w:val="center"/>
                    <w:rPr>
                      <w:color w:val="auto"/>
                      <w:kern w:val="0"/>
                      <w:szCs w:val="21"/>
                    </w:rPr>
                  </w:pPr>
                  <w:r>
                    <w:rPr>
                      <w:rFonts w:hint="eastAsia"/>
                      <w:color w:val="auto"/>
                      <w:kern w:val="0"/>
                      <w:szCs w:val="21"/>
                    </w:rPr>
                    <w:t>1</w:t>
                  </w:r>
                </w:p>
              </w:tc>
              <w:tc>
                <w:tcPr>
                  <w:tcW w:w="3750" w:type="dxa"/>
                  <w:vAlign w:val="center"/>
                </w:tcPr>
                <w:p w14:paraId="17381F72">
                  <w:pPr>
                    <w:adjustRightInd w:val="0"/>
                    <w:snapToGrid w:val="0"/>
                    <w:jc w:val="both"/>
                    <w:rPr>
                      <w:color w:val="auto"/>
                      <w:kern w:val="0"/>
                      <w:szCs w:val="21"/>
                    </w:rPr>
                  </w:pPr>
                  <w:r>
                    <w:rPr>
                      <w:color w:val="auto"/>
                      <w:kern w:val="0"/>
                      <w:szCs w:val="21"/>
                    </w:rPr>
                    <w:t>《产业结构调整指导目录（2024年本）》</w:t>
                  </w:r>
                </w:p>
              </w:tc>
              <w:tc>
                <w:tcPr>
                  <w:tcW w:w="2569" w:type="dxa"/>
                  <w:vAlign w:val="center"/>
                </w:tcPr>
                <w:p w14:paraId="17381F73">
                  <w:pPr>
                    <w:adjustRightInd w:val="0"/>
                    <w:snapToGrid w:val="0"/>
                    <w:jc w:val="both"/>
                    <w:rPr>
                      <w:color w:val="auto"/>
                      <w:kern w:val="0"/>
                      <w:szCs w:val="21"/>
                    </w:rPr>
                  </w:pPr>
                  <w:r>
                    <w:rPr>
                      <w:color w:val="auto"/>
                      <w:kern w:val="0"/>
                      <w:szCs w:val="21"/>
                    </w:rPr>
                    <w:t>不属于限制类、淘汰类、禁止类项目</w:t>
                  </w:r>
                </w:p>
              </w:tc>
              <w:tc>
                <w:tcPr>
                  <w:tcW w:w="496" w:type="dxa"/>
                  <w:vAlign w:val="center"/>
                </w:tcPr>
                <w:p w14:paraId="17381F74">
                  <w:pPr>
                    <w:adjustRightInd w:val="0"/>
                    <w:snapToGrid w:val="0"/>
                    <w:jc w:val="center"/>
                    <w:rPr>
                      <w:color w:val="auto"/>
                      <w:kern w:val="0"/>
                      <w:szCs w:val="21"/>
                    </w:rPr>
                  </w:pPr>
                  <w:r>
                    <w:rPr>
                      <w:color w:val="auto"/>
                      <w:kern w:val="0"/>
                      <w:szCs w:val="21"/>
                    </w:rPr>
                    <w:t>符合</w:t>
                  </w:r>
                </w:p>
              </w:tc>
            </w:tr>
            <w:tr w14:paraId="17381F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17381F76">
                  <w:pPr>
                    <w:adjustRightInd w:val="0"/>
                    <w:snapToGrid w:val="0"/>
                    <w:jc w:val="center"/>
                    <w:rPr>
                      <w:color w:val="auto"/>
                      <w:kern w:val="0"/>
                      <w:szCs w:val="21"/>
                    </w:rPr>
                  </w:pPr>
                  <w:r>
                    <w:rPr>
                      <w:rFonts w:hint="eastAsia"/>
                      <w:color w:val="auto"/>
                      <w:kern w:val="0"/>
                      <w:szCs w:val="21"/>
                    </w:rPr>
                    <w:t>2</w:t>
                  </w:r>
                </w:p>
              </w:tc>
              <w:tc>
                <w:tcPr>
                  <w:tcW w:w="3750" w:type="dxa"/>
                  <w:vAlign w:val="center"/>
                </w:tcPr>
                <w:p w14:paraId="17381F77">
                  <w:pPr>
                    <w:shd w:val="clear" w:color="auto" w:fill="FFFFFF"/>
                    <w:adjustRightInd w:val="0"/>
                    <w:snapToGrid w:val="0"/>
                    <w:jc w:val="both"/>
                    <w:rPr>
                      <w:color w:val="auto"/>
                      <w:szCs w:val="21"/>
                    </w:rPr>
                  </w:pPr>
                  <w:r>
                    <w:rPr>
                      <w:color w:val="auto"/>
                      <w:szCs w:val="21"/>
                    </w:rPr>
                    <w:t>《江苏省产业结构调整限制、淘汰和禁止目录》（苏办发[2018]32号</w:t>
                  </w:r>
                  <w:r>
                    <w:rPr>
                      <w:rFonts w:hint="eastAsia"/>
                      <w:color w:val="auto"/>
                      <w:szCs w:val="21"/>
                      <w:lang w:val="en-US" w:eastAsia="zh-CN"/>
                    </w:rPr>
                    <w:t>附件三</w:t>
                  </w:r>
                  <w:r>
                    <w:rPr>
                      <w:color w:val="auto"/>
                      <w:szCs w:val="21"/>
                    </w:rPr>
                    <w:t>）</w:t>
                  </w:r>
                </w:p>
              </w:tc>
              <w:tc>
                <w:tcPr>
                  <w:tcW w:w="2569" w:type="dxa"/>
                  <w:vAlign w:val="center"/>
                </w:tcPr>
                <w:p w14:paraId="17381F78">
                  <w:pPr>
                    <w:jc w:val="both"/>
                    <w:rPr>
                      <w:color w:val="auto"/>
                      <w:szCs w:val="21"/>
                    </w:rPr>
                  </w:pPr>
                  <w:r>
                    <w:rPr>
                      <w:color w:val="auto"/>
                      <w:kern w:val="0"/>
                      <w:szCs w:val="21"/>
                    </w:rPr>
                    <w:t>不属于限制类、淘汰类、禁止类项目</w:t>
                  </w:r>
                </w:p>
              </w:tc>
              <w:tc>
                <w:tcPr>
                  <w:tcW w:w="496" w:type="dxa"/>
                  <w:vAlign w:val="center"/>
                </w:tcPr>
                <w:p w14:paraId="17381F79">
                  <w:pPr>
                    <w:adjustRightInd w:val="0"/>
                    <w:snapToGrid w:val="0"/>
                    <w:jc w:val="center"/>
                    <w:rPr>
                      <w:color w:val="auto"/>
                      <w:kern w:val="0"/>
                      <w:szCs w:val="21"/>
                    </w:rPr>
                  </w:pPr>
                  <w:r>
                    <w:rPr>
                      <w:color w:val="auto"/>
                      <w:szCs w:val="21"/>
                    </w:rPr>
                    <w:t>符合</w:t>
                  </w:r>
                </w:p>
              </w:tc>
            </w:tr>
            <w:tr w14:paraId="17381F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17381F7B">
                  <w:pPr>
                    <w:adjustRightInd w:val="0"/>
                    <w:snapToGrid w:val="0"/>
                    <w:jc w:val="center"/>
                    <w:rPr>
                      <w:color w:val="auto"/>
                      <w:kern w:val="0"/>
                      <w:szCs w:val="21"/>
                    </w:rPr>
                  </w:pPr>
                  <w:r>
                    <w:rPr>
                      <w:rFonts w:hint="eastAsia"/>
                      <w:color w:val="auto"/>
                      <w:kern w:val="0"/>
                      <w:szCs w:val="21"/>
                    </w:rPr>
                    <w:t>3</w:t>
                  </w:r>
                </w:p>
              </w:tc>
              <w:tc>
                <w:tcPr>
                  <w:tcW w:w="3750" w:type="dxa"/>
                  <w:vAlign w:val="center"/>
                </w:tcPr>
                <w:p w14:paraId="17381F7C">
                  <w:pPr>
                    <w:adjustRightInd w:val="0"/>
                    <w:snapToGrid w:val="0"/>
                    <w:jc w:val="both"/>
                    <w:rPr>
                      <w:color w:val="auto"/>
                      <w:kern w:val="0"/>
                      <w:szCs w:val="21"/>
                    </w:rPr>
                  </w:pPr>
                  <w:r>
                    <w:rPr>
                      <w:color w:val="auto"/>
                      <w:kern w:val="0"/>
                      <w:szCs w:val="21"/>
                    </w:rPr>
                    <w:t>《限制用地项目目录（2012年本）》</w:t>
                  </w:r>
                </w:p>
                <w:p w14:paraId="17381F7D">
                  <w:pPr>
                    <w:adjustRightInd w:val="0"/>
                    <w:snapToGrid w:val="0"/>
                    <w:jc w:val="both"/>
                    <w:rPr>
                      <w:color w:val="auto"/>
                      <w:kern w:val="0"/>
                      <w:szCs w:val="21"/>
                    </w:rPr>
                  </w:pPr>
                  <w:r>
                    <w:rPr>
                      <w:color w:val="auto"/>
                      <w:kern w:val="0"/>
                      <w:szCs w:val="21"/>
                    </w:rPr>
                    <w:t>《禁止用地项目目录（2012年本）》</w:t>
                  </w:r>
                </w:p>
              </w:tc>
              <w:tc>
                <w:tcPr>
                  <w:tcW w:w="2569" w:type="dxa"/>
                  <w:vAlign w:val="center"/>
                </w:tcPr>
                <w:p w14:paraId="17381F7E">
                  <w:pPr>
                    <w:adjustRightInd w:val="0"/>
                    <w:snapToGrid w:val="0"/>
                    <w:jc w:val="both"/>
                    <w:rPr>
                      <w:color w:val="auto"/>
                      <w:kern w:val="0"/>
                      <w:szCs w:val="21"/>
                    </w:rPr>
                  </w:pPr>
                  <w:r>
                    <w:rPr>
                      <w:color w:val="auto"/>
                      <w:kern w:val="0"/>
                      <w:szCs w:val="21"/>
                    </w:rPr>
                    <w:t>不属于限制、禁止用地项目</w:t>
                  </w:r>
                </w:p>
              </w:tc>
              <w:tc>
                <w:tcPr>
                  <w:tcW w:w="496" w:type="dxa"/>
                  <w:vAlign w:val="center"/>
                </w:tcPr>
                <w:p w14:paraId="17381F7F">
                  <w:pPr>
                    <w:adjustRightInd w:val="0"/>
                    <w:snapToGrid w:val="0"/>
                    <w:jc w:val="center"/>
                    <w:rPr>
                      <w:color w:val="auto"/>
                      <w:kern w:val="0"/>
                      <w:szCs w:val="21"/>
                    </w:rPr>
                  </w:pPr>
                  <w:r>
                    <w:rPr>
                      <w:color w:val="auto"/>
                      <w:kern w:val="0"/>
                      <w:szCs w:val="21"/>
                    </w:rPr>
                    <w:t>符合</w:t>
                  </w:r>
                </w:p>
              </w:tc>
            </w:tr>
            <w:tr w14:paraId="17381F8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17381F81">
                  <w:pPr>
                    <w:adjustRightInd w:val="0"/>
                    <w:snapToGrid w:val="0"/>
                    <w:jc w:val="center"/>
                    <w:rPr>
                      <w:color w:val="auto"/>
                      <w:szCs w:val="21"/>
                    </w:rPr>
                  </w:pPr>
                  <w:r>
                    <w:rPr>
                      <w:rFonts w:hint="eastAsia"/>
                      <w:color w:val="auto"/>
                      <w:szCs w:val="21"/>
                    </w:rPr>
                    <w:t>4</w:t>
                  </w:r>
                </w:p>
              </w:tc>
              <w:tc>
                <w:tcPr>
                  <w:tcW w:w="3750" w:type="dxa"/>
                  <w:vAlign w:val="center"/>
                </w:tcPr>
                <w:p w14:paraId="17381F82">
                  <w:pPr>
                    <w:adjustRightInd w:val="0"/>
                    <w:snapToGrid w:val="0"/>
                    <w:jc w:val="both"/>
                    <w:rPr>
                      <w:color w:val="auto"/>
                      <w:szCs w:val="21"/>
                    </w:rPr>
                  </w:pPr>
                  <w:r>
                    <w:rPr>
                      <w:color w:val="auto"/>
                      <w:szCs w:val="21"/>
                    </w:rPr>
                    <w:t>《市场准入负面清单（20</w:t>
                  </w:r>
                  <w:r>
                    <w:rPr>
                      <w:rFonts w:hint="eastAsia"/>
                      <w:color w:val="auto"/>
                      <w:szCs w:val="21"/>
                      <w:lang w:val="en-US" w:eastAsia="zh-CN"/>
                    </w:rPr>
                    <w:t>25</w:t>
                  </w:r>
                  <w:r>
                    <w:rPr>
                      <w:color w:val="auto"/>
                      <w:szCs w:val="21"/>
                    </w:rPr>
                    <w:t>年版）》</w:t>
                  </w:r>
                </w:p>
              </w:tc>
              <w:tc>
                <w:tcPr>
                  <w:tcW w:w="2569" w:type="dxa"/>
                  <w:vAlign w:val="center"/>
                </w:tcPr>
                <w:p w14:paraId="17381F83">
                  <w:pPr>
                    <w:adjustRightInd w:val="0"/>
                    <w:snapToGrid w:val="0"/>
                    <w:jc w:val="both"/>
                    <w:rPr>
                      <w:color w:val="auto"/>
                      <w:szCs w:val="21"/>
                    </w:rPr>
                  </w:pPr>
                  <w:r>
                    <w:rPr>
                      <w:color w:val="auto"/>
                      <w:szCs w:val="21"/>
                    </w:rPr>
                    <w:t>不属于市场禁止准入事项</w:t>
                  </w:r>
                </w:p>
              </w:tc>
              <w:tc>
                <w:tcPr>
                  <w:tcW w:w="496" w:type="dxa"/>
                  <w:vAlign w:val="center"/>
                </w:tcPr>
                <w:p w14:paraId="17381F84">
                  <w:pPr>
                    <w:adjustRightInd w:val="0"/>
                    <w:snapToGrid w:val="0"/>
                    <w:jc w:val="center"/>
                    <w:rPr>
                      <w:color w:val="auto"/>
                      <w:szCs w:val="21"/>
                    </w:rPr>
                  </w:pPr>
                  <w:r>
                    <w:rPr>
                      <w:color w:val="auto"/>
                      <w:szCs w:val="21"/>
                    </w:rPr>
                    <w:t>符合</w:t>
                  </w:r>
                </w:p>
              </w:tc>
            </w:tr>
            <w:tr w14:paraId="0034A0A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5CBA85B8">
                  <w:pPr>
                    <w:adjustRightInd w:val="0"/>
                    <w:snapToGrid w:val="0"/>
                    <w:jc w:val="center"/>
                    <w:rPr>
                      <w:rFonts w:hint="eastAsia" w:eastAsia="宋体"/>
                      <w:color w:val="auto"/>
                      <w:szCs w:val="21"/>
                      <w:lang w:val="en-US" w:eastAsia="zh-CN"/>
                    </w:rPr>
                  </w:pPr>
                  <w:r>
                    <w:rPr>
                      <w:rFonts w:hint="eastAsia"/>
                      <w:color w:val="auto"/>
                      <w:szCs w:val="21"/>
                      <w:lang w:val="en-US" w:eastAsia="zh-CN"/>
                    </w:rPr>
                    <w:t>5</w:t>
                  </w:r>
                </w:p>
              </w:tc>
              <w:tc>
                <w:tcPr>
                  <w:tcW w:w="3750" w:type="dxa"/>
                  <w:shd w:val="clear" w:color="auto" w:fill="auto"/>
                  <w:vAlign w:val="center"/>
                </w:tcPr>
                <w:p w14:paraId="04EA35FD">
                  <w:pPr>
                    <w:adjustRightInd w:val="0"/>
                    <w:snapToGrid w:val="0"/>
                    <w:spacing w:line="280" w:lineRule="exact"/>
                    <w:jc w:val="both"/>
                    <w:rPr>
                      <w:rFonts w:ascii="Times New Roman" w:hAnsi="Times New Roman" w:eastAsia="宋体" w:cs="Times New Roman"/>
                      <w:color w:val="auto"/>
                      <w:kern w:val="2"/>
                      <w:sz w:val="21"/>
                      <w:szCs w:val="24"/>
                      <w:lang w:val="en-US" w:eastAsia="zh-CN" w:bidi="ar-SA"/>
                    </w:rPr>
                  </w:pPr>
                  <w:r>
                    <w:rPr>
                      <w:color w:val="auto"/>
                    </w:rPr>
                    <w:t>环境保护综合名录</w:t>
                  </w:r>
                  <w:r>
                    <w:rPr>
                      <w:rFonts w:hint="eastAsia"/>
                      <w:color w:val="auto"/>
                      <w:lang w:eastAsia="zh-CN"/>
                    </w:rPr>
                    <w:t>（</w:t>
                  </w:r>
                  <w:r>
                    <w:rPr>
                      <w:color w:val="auto"/>
                    </w:rPr>
                    <w:t>2021年版</w:t>
                  </w:r>
                  <w:r>
                    <w:rPr>
                      <w:rFonts w:hint="eastAsia"/>
                      <w:color w:val="auto"/>
                      <w:lang w:eastAsia="zh-CN"/>
                    </w:rPr>
                    <w:t>）“</w:t>
                  </w:r>
                  <w:r>
                    <w:rPr>
                      <w:color w:val="auto"/>
                    </w:rPr>
                    <w:t>高污染、高环境风险</w:t>
                  </w:r>
                  <w:r>
                    <w:rPr>
                      <w:rFonts w:hint="eastAsia"/>
                      <w:color w:val="auto"/>
                      <w:lang w:eastAsia="zh-CN"/>
                    </w:rPr>
                    <w:t>”</w:t>
                  </w:r>
                  <w:r>
                    <w:rPr>
                      <w:color w:val="auto"/>
                    </w:rPr>
                    <w:t>产品名录规定的项目</w:t>
                  </w:r>
                </w:p>
              </w:tc>
              <w:tc>
                <w:tcPr>
                  <w:tcW w:w="2569" w:type="dxa"/>
                  <w:shd w:val="clear" w:color="auto" w:fill="auto"/>
                  <w:vAlign w:val="center"/>
                </w:tcPr>
                <w:p w14:paraId="09A4E7C6">
                  <w:pPr>
                    <w:adjustRightInd w:val="0"/>
                    <w:snapToGrid w:val="0"/>
                    <w:spacing w:line="280" w:lineRule="exact"/>
                    <w:jc w:val="both"/>
                    <w:rPr>
                      <w:rFonts w:hint="default" w:ascii="Times New Roman" w:hAnsi="Times New Roman" w:eastAsia="宋体" w:cs="Times New Roman"/>
                      <w:color w:val="auto"/>
                      <w:kern w:val="2"/>
                      <w:sz w:val="21"/>
                      <w:szCs w:val="24"/>
                      <w:lang w:val="en-US" w:eastAsia="zh-CN" w:bidi="ar-SA"/>
                    </w:rPr>
                  </w:pPr>
                  <w:r>
                    <w:rPr>
                      <w:color w:val="auto"/>
                    </w:rPr>
                    <w:t>不属于</w:t>
                  </w:r>
                  <w:r>
                    <w:rPr>
                      <w:rFonts w:hint="eastAsia"/>
                      <w:color w:val="auto"/>
                      <w:lang w:val="en-US" w:eastAsia="zh-CN"/>
                    </w:rPr>
                    <w:t>高污染、高环境风险产品名录规定的项目</w:t>
                  </w:r>
                </w:p>
              </w:tc>
              <w:tc>
                <w:tcPr>
                  <w:tcW w:w="496" w:type="dxa"/>
                  <w:vAlign w:val="center"/>
                </w:tcPr>
                <w:p w14:paraId="43869EDB">
                  <w:pPr>
                    <w:adjustRightInd w:val="0"/>
                    <w:snapToGrid w:val="0"/>
                    <w:jc w:val="center"/>
                    <w:rPr>
                      <w:rFonts w:hint="eastAsia" w:eastAsia="宋体"/>
                      <w:color w:val="auto"/>
                      <w:szCs w:val="21"/>
                      <w:lang w:val="en-US" w:eastAsia="zh-CN"/>
                    </w:rPr>
                  </w:pPr>
                  <w:r>
                    <w:rPr>
                      <w:rFonts w:hint="eastAsia"/>
                      <w:color w:val="auto"/>
                      <w:szCs w:val="21"/>
                      <w:lang w:val="en-US" w:eastAsia="zh-CN"/>
                    </w:rPr>
                    <w:t>符合</w:t>
                  </w:r>
                </w:p>
              </w:tc>
            </w:tr>
            <w:tr w14:paraId="7A9F60A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0F5AD9EE">
                  <w:pPr>
                    <w:adjustRightInd w:val="0"/>
                    <w:snapToGrid w:val="0"/>
                    <w:jc w:val="center"/>
                    <w:rPr>
                      <w:rFonts w:hint="eastAsia" w:eastAsia="宋体"/>
                      <w:color w:val="auto"/>
                      <w:szCs w:val="21"/>
                      <w:lang w:val="en-US" w:eastAsia="zh-CN"/>
                    </w:rPr>
                  </w:pPr>
                  <w:r>
                    <w:rPr>
                      <w:rFonts w:hint="eastAsia"/>
                      <w:color w:val="auto"/>
                      <w:szCs w:val="21"/>
                      <w:lang w:val="en-US" w:eastAsia="zh-CN"/>
                    </w:rPr>
                    <w:t>6</w:t>
                  </w:r>
                </w:p>
              </w:tc>
              <w:tc>
                <w:tcPr>
                  <w:tcW w:w="3750" w:type="dxa"/>
                  <w:vAlign w:val="center"/>
                </w:tcPr>
                <w:p w14:paraId="4FFC1DB0">
                  <w:pPr>
                    <w:adjustRightInd w:val="0"/>
                    <w:snapToGrid w:val="0"/>
                    <w:jc w:val="both"/>
                    <w:rPr>
                      <w:color w:val="auto"/>
                      <w:szCs w:val="21"/>
                    </w:rPr>
                  </w:pPr>
                  <w:r>
                    <w:rPr>
                      <w:color w:val="auto"/>
                    </w:rPr>
                    <w:t>《大运河江苏段核心监控区国土空间管控暂行办法》（苏政发[2021]20号）禁止准入项目</w:t>
                  </w:r>
                </w:p>
              </w:tc>
              <w:tc>
                <w:tcPr>
                  <w:tcW w:w="2569" w:type="dxa"/>
                  <w:vAlign w:val="center"/>
                </w:tcPr>
                <w:p w14:paraId="10961423">
                  <w:pPr>
                    <w:adjustRightInd w:val="0"/>
                    <w:snapToGrid w:val="0"/>
                    <w:jc w:val="both"/>
                    <w:rPr>
                      <w:rFonts w:hint="default" w:eastAsia="宋体"/>
                      <w:color w:val="auto"/>
                      <w:szCs w:val="21"/>
                      <w:lang w:val="en-US" w:eastAsia="zh-CN"/>
                    </w:rPr>
                  </w:pPr>
                  <w:r>
                    <w:rPr>
                      <w:rFonts w:hint="eastAsia"/>
                      <w:color w:val="auto"/>
                      <w:szCs w:val="21"/>
                      <w:lang w:val="en-US" w:eastAsia="zh-CN"/>
                    </w:rPr>
                    <w:t>根据附件8淮安市自然资源和规划局淮阴分局对淮安市鸣锋工具有限公司项目用地情况查询申请的回复，项目所在地位于大运河淮安段核心监控区“建成区”。本项目不涉及建成区内严禁实施的建设项目。</w:t>
                  </w:r>
                </w:p>
              </w:tc>
              <w:tc>
                <w:tcPr>
                  <w:tcW w:w="496" w:type="dxa"/>
                  <w:vAlign w:val="center"/>
                </w:tcPr>
                <w:p w14:paraId="3ED0C21B">
                  <w:pPr>
                    <w:adjustRightInd w:val="0"/>
                    <w:snapToGrid w:val="0"/>
                    <w:jc w:val="center"/>
                    <w:rPr>
                      <w:rFonts w:hint="eastAsia" w:eastAsia="宋体"/>
                      <w:color w:val="auto"/>
                      <w:szCs w:val="21"/>
                      <w:lang w:val="en-US" w:eastAsia="zh-CN"/>
                    </w:rPr>
                  </w:pPr>
                  <w:r>
                    <w:rPr>
                      <w:rFonts w:hint="eastAsia"/>
                      <w:color w:val="auto"/>
                      <w:szCs w:val="21"/>
                      <w:lang w:val="en-US" w:eastAsia="zh-CN"/>
                    </w:rPr>
                    <w:t>符合</w:t>
                  </w:r>
                </w:p>
              </w:tc>
            </w:tr>
            <w:tr w14:paraId="70E5E24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09014D5A">
                  <w:pPr>
                    <w:adjustRightInd w:val="0"/>
                    <w:snapToGrid w:val="0"/>
                    <w:jc w:val="center"/>
                    <w:rPr>
                      <w:rFonts w:hint="eastAsia" w:eastAsia="宋体"/>
                      <w:color w:val="auto"/>
                      <w:szCs w:val="21"/>
                      <w:lang w:val="en-US" w:eastAsia="zh-CN"/>
                    </w:rPr>
                  </w:pPr>
                  <w:r>
                    <w:rPr>
                      <w:rFonts w:hint="eastAsia"/>
                      <w:color w:val="auto"/>
                      <w:szCs w:val="21"/>
                      <w:lang w:val="en-US" w:eastAsia="zh-CN"/>
                    </w:rPr>
                    <w:t>7</w:t>
                  </w:r>
                </w:p>
              </w:tc>
              <w:tc>
                <w:tcPr>
                  <w:tcW w:w="3750" w:type="dxa"/>
                  <w:shd w:val="clear" w:color="auto" w:fill="auto"/>
                  <w:vAlign w:val="center"/>
                </w:tcPr>
                <w:p w14:paraId="58AD5945">
                  <w:pPr>
                    <w:keepNext w:val="0"/>
                    <w:keepLines w:val="0"/>
                    <w:suppressLineNumbers w:val="0"/>
                    <w:adjustRightInd w:val="0"/>
                    <w:snapToGrid w:val="0"/>
                    <w:spacing w:before="0" w:beforeAutospacing="0" w:after="0" w:afterAutospacing="0"/>
                    <w:ind w:left="0" w:leftChars="0" w:right="0" w:rightChars="0"/>
                    <w:jc w:val="both"/>
                    <w:rPr>
                      <w:rFonts w:ascii="Times New Roman" w:hAnsi="Times New Roman" w:eastAsia="宋体" w:cs="Times New Roman"/>
                      <w:color w:val="auto"/>
                      <w:kern w:val="2"/>
                      <w:sz w:val="21"/>
                      <w:szCs w:val="21"/>
                      <w:lang w:val="en-US" w:eastAsia="zh-CN" w:bidi="ar-SA"/>
                    </w:rPr>
                  </w:pPr>
                  <w:r>
                    <w:rPr>
                      <w:rFonts w:hint="eastAsia"/>
                      <w:color w:val="auto"/>
                      <w:szCs w:val="21"/>
                    </w:rPr>
                    <w:t>《长江经济带发展负面清单指南（试行，2022年版）》（长江办[2022]7号）</w:t>
                  </w:r>
                </w:p>
              </w:tc>
              <w:tc>
                <w:tcPr>
                  <w:tcW w:w="2569" w:type="dxa"/>
                  <w:shd w:val="clear" w:color="auto" w:fill="auto"/>
                  <w:vAlign w:val="center"/>
                </w:tcPr>
                <w:p w14:paraId="35626FE6">
                  <w:pPr>
                    <w:keepNext w:val="0"/>
                    <w:keepLines w:val="0"/>
                    <w:suppressLineNumbers w:val="0"/>
                    <w:adjustRightInd w:val="0"/>
                    <w:snapToGrid w:val="0"/>
                    <w:spacing w:before="0" w:beforeAutospacing="0" w:after="0" w:afterAutospacing="0"/>
                    <w:ind w:left="0" w:leftChars="0" w:right="0" w:rightChars="0"/>
                    <w:jc w:val="both"/>
                    <w:rPr>
                      <w:rFonts w:hint="eastAsia" w:ascii="Times New Roman" w:hAnsi="Times New Roman" w:eastAsia="宋体" w:cs="Times New Roman"/>
                      <w:color w:val="auto"/>
                      <w:kern w:val="2"/>
                      <w:sz w:val="21"/>
                      <w:szCs w:val="21"/>
                      <w:lang w:val="en-US" w:eastAsia="zh-CN" w:bidi="ar-SA"/>
                    </w:rPr>
                  </w:pPr>
                  <w:r>
                    <w:rPr>
                      <w:rFonts w:hint="eastAsia"/>
                      <w:color w:val="auto"/>
                      <w:szCs w:val="21"/>
                      <w:lang w:eastAsia="zh-CN"/>
                    </w:rPr>
                    <w:t>不属于负面清单中禁止类项目</w:t>
                  </w:r>
                </w:p>
              </w:tc>
              <w:tc>
                <w:tcPr>
                  <w:tcW w:w="496" w:type="dxa"/>
                  <w:shd w:val="clear" w:color="auto" w:fill="auto"/>
                  <w:vAlign w:val="center"/>
                </w:tcPr>
                <w:p w14:paraId="65BC1494">
                  <w:pPr>
                    <w:keepNext w:val="0"/>
                    <w:keepLines w:val="0"/>
                    <w:suppressLineNumbers w:val="0"/>
                    <w:adjustRightInd w:val="0"/>
                    <w:snapToGrid w:val="0"/>
                    <w:spacing w:before="0" w:beforeAutospacing="0" w:after="0" w:afterAutospacing="0"/>
                    <w:ind w:left="0" w:leftChars="0" w:right="0" w:rightChars="0"/>
                    <w:jc w:val="center"/>
                    <w:rPr>
                      <w:rFonts w:ascii="Times New Roman" w:hAnsi="Times New Roman" w:eastAsia="宋体" w:cs="Times New Roman"/>
                      <w:color w:val="auto"/>
                      <w:kern w:val="2"/>
                      <w:sz w:val="21"/>
                      <w:szCs w:val="21"/>
                      <w:lang w:val="en-US" w:eastAsia="zh-CN" w:bidi="ar-SA"/>
                    </w:rPr>
                  </w:pPr>
                  <w:r>
                    <w:rPr>
                      <w:color w:val="auto"/>
                      <w:szCs w:val="21"/>
                    </w:rPr>
                    <w:t>符合</w:t>
                  </w:r>
                </w:p>
              </w:tc>
            </w:tr>
            <w:tr w14:paraId="2E555CF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4B7DE9A4">
                  <w:pPr>
                    <w:adjustRightInd w:val="0"/>
                    <w:snapToGrid w:val="0"/>
                    <w:jc w:val="center"/>
                    <w:rPr>
                      <w:rFonts w:hint="eastAsia" w:eastAsia="宋体"/>
                      <w:color w:val="auto"/>
                      <w:szCs w:val="21"/>
                      <w:lang w:val="en-US" w:eastAsia="zh-CN"/>
                    </w:rPr>
                  </w:pPr>
                  <w:r>
                    <w:rPr>
                      <w:rFonts w:hint="eastAsia"/>
                      <w:color w:val="auto"/>
                      <w:szCs w:val="21"/>
                      <w:lang w:val="en-US" w:eastAsia="zh-CN"/>
                    </w:rPr>
                    <w:t>8</w:t>
                  </w:r>
                </w:p>
              </w:tc>
              <w:tc>
                <w:tcPr>
                  <w:tcW w:w="3750" w:type="dxa"/>
                  <w:shd w:val="clear" w:color="auto" w:fill="auto"/>
                  <w:vAlign w:val="center"/>
                </w:tcPr>
                <w:p w14:paraId="0E2CC00B">
                  <w:pPr>
                    <w:keepNext w:val="0"/>
                    <w:keepLines w:val="0"/>
                    <w:suppressLineNumbers w:val="0"/>
                    <w:adjustRightInd w:val="0"/>
                    <w:snapToGrid w:val="0"/>
                    <w:spacing w:before="0" w:beforeAutospacing="0" w:after="0" w:afterAutospacing="0"/>
                    <w:ind w:left="0" w:leftChars="0" w:right="0" w:rightChars="0"/>
                    <w:jc w:val="both"/>
                    <w:rPr>
                      <w:rFonts w:ascii="Times New Roman" w:hAnsi="Times New Roman" w:eastAsia="宋体" w:cs="Times New Roman"/>
                      <w:color w:val="auto"/>
                      <w:kern w:val="2"/>
                      <w:sz w:val="21"/>
                      <w:szCs w:val="21"/>
                      <w:lang w:val="en-US" w:eastAsia="zh-CN" w:bidi="ar-SA"/>
                    </w:rPr>
                  </w:pPr>
                  <w:r>
                    <w:rPr>
                      <w:rFonts w:hint="eastAsia"/>
                      <w:color w:val="auto"/>
                      <w:szCs w:val="21"/>
                    </w:rPr>
                    <w:t>《&lt;长江经济带发展负面清单指南（试行，2022年版）&gt;江苏省实施细则》（苏长江办发[2022]55号）</w:t>
                  </w:r>
                </w:p>
              </w:tc>
              <w:tc>
                <w:tcPr>
                  <w:tcW w:w="2569" w:type="dxa"/>
                  <w:shd w:val="clear" w:color="auto" w:fill="auto"/>
                  <w:vAlign w:val="center"/>
                </w:tcPr>
                <w:p w14:paraId="15BDE147">
                  <w:pPr>
                    <w:keepNext w:val="0"/>
                    <w:keepLines w:val="0"/>
                    <w:suppressLineNumbers w:val="0"/>
                    <w:adjustRightInd w:val="0"/>
                    <w:snapToGrid w:val="0"/>
                    <w:spacing w:before="0" w:beforeAutospacing="0" w:after="0" w:afterAutospacing="0"/>
                    <w:ind w:left="0" w:leftChars="0" w:right="0" w:rightChars="0"/>
                    <w:jc w:val="both"/>
                    <w:rPr>
                      <w:rFonts w:ascii="Times New Roman" w:hAnsi="Times New Roman" w:eastAsia="宋体" w:cs="Times New Roman"/>
                      <w:color w:val="auto"/>
                      <w:kern w:val="2"/>
                      <w:sz w:val="21"/>
                      <w:szCs w:val="21"/>
                      <w:lang w:val="en-US" w:eastAsia="zh-CN" w:bidi="ar-SA"/>
                    </w:rPr>
                  </w:pPr>
                  <w:r>
                    <w:rPr>
                      <w:rFonts w:hint="eastAsia"/>
                      <w:color w:val="auto"/>
                      <w:szCs w:val="21"/>
                      <w:lang w:eastAsia="zh-CN"/>
                    </w:rPr>
                    <w:t>不属于负面清单中禁止类项目</w:t>
                  </w:r>
                </w:p>
              </w:tc>
              <w:tc>
                <w:tcPr>
                  <w:tcW w:w="496" w:type="dxa"/>
                  <w:shd w:val="clear" w:color="auto" w:fill="auto"/>
                  <w:vAlign w:val="center"/>
                </w:tcPr>
                <w:p w14:paraId="1A20BF20">
                  <w:pPr>
                    <w:keepNext w:val="0"/>
                    <w:keepLines w:val="0"/>
                    <w:suppressLineNumbers w:val="0"/>
                    <w:adjustRightInd w:val="0"/>
                    <w:snapToGrid w:val="0"/>
                    <w:spacing w:before="0" w:beforeAutospacing="0" w:after="0" w:afterAutospacing="0"/>
                    <w:ind w:left="0" w:leftChars="0" w:right="0" w:rightChars="0"/>
                    <w:jc w:val="center"/>
                    <w:rPr>
                      <w:rFonts w:ascii="Times New Roman" w:hAnsi="Times New Roman" w:eastAsia="宋体" w:cs="Times New Roman"/>
                      <w:color w:val="auto"/>
                      <w:kern w:val="2"/>
                      <w:sz w:val="21"/>
                      <w:szCs w:val="21"/>
                      <w:lang w:val="en-US" w:eastAsia="zh-CN" w:bidi="ar-SA"/>
                    </w:rPr>
                  </w:pPr>
                  <w:r>
                    <w:rPr>
                      <w:color w:val="auto"/>
                      <w:szCs w:val="21"/>
                    </w:rPr>
                    <w:t>符合</w:t>
                  </w:r>
                </w:p>
              </w:tc>
            </w:tr>
            <w:tr w14:paraId="4B09789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5CEC0BC1">
                  <w:pPr>
                    <w:adjustRightInd w:val="0"/>
                    <w:snapToGrid w:val="0"/>
                    <w:jc w:val="center"/>
                    <w:rPr>
                      <w:rFonts w:hint="default"/>
                      <w:color w:val="auto"/>
                      <w:szCs w:val="21"/>
                      <w:lang w:val="en-US" w:eastAsia="zh-CN"/>
                    </w:rPr>
                  </w:pPr>
                  <w:r>
                    <w:rPr>
                      <w:rFonts w:hint="eastAsia"/>
                      <w:color w:val="auto"/>
                      <w:szCs w:val="21"/>
                      <w:lang w:val="en-US" w:eastAsia="zh-CN"/>
                    </w:rPr>
                    <w:t>9</w:t>
                  </w:r>
                </w:p>
              </w:tc>
              <w:tc>
                <w:tcPr>
                  <w:tcW w:w="3750" w:type="dxa"/>
                  <w:shd w:val="clear" w:color="auto" w:fill="auto"/>
                  <w:vAlign w:val="center"/>
                </w:tcPr>
                <w:p w14:paraId="6D388CED">
                  <w:pPr>
                    <w:keepNext w:val="0"/>
                    <w:keepLines w:val="0"/>
                    <w:suppressLineNumbers w:val="0"/>
                    <w:adjustRightInd w:val="0"/>
                    <w:snapToGrid w:val="0"/>
                    <w:spacing w:before="0" w:beforeAutospacing="0" w:after="0" w:afterAutospacing="0"/>
                    <w:ind w:left="0" w:leftChars="0" w:right="0" w:rightChars="0"/>
                    <w:jc w:val="both"/>
                    <w:rPr>
                      <w:rFonts w:hint="eastAsia" w:ascii="Times New Roman" w:hAnsi="Times New Roman" w:cs="Times New Roman"/>
                      <w:color w:val="auto"/>
                      <w:szCs w:val="21"/>
                    </w:rPr>
                  </w:pPr>
                  <w:r>
                    <w:rPr>
                      <w:rFonts w:hint="default" w:ascii="Times New Roman" w:hAnsi="Times New Roman" w:cs="Times New Roman"/>
                      <w:color w:val="auto"/>
                      <w:szCs w:val="21"/>
                    </w:rPr>
                    <w:t>《省政府关于印发江苏省生态空间管控区域规划的通知》</w:t>
                  </w:r>
                  <w:r>
                    <w:rPr>
                      <w:rFonts w:hint="default" w:ascii="Times New Roman" w:hAnsi="Times New Roman" w:cs="Times New Roman"/>
                      <w:color w:val="auto"/>
                      <w:szCs w:val="21"/>
                      <w:lang w:val="zh-CN"/>
                    </w:rPr>
                    <w:t>（苏政发</w:t>
                  </w:r>
                  <w:r>
                    <w:rPr>
                      <w:rFonts w:hint="eastAsia" w:ascii="Times New Roman" w:hAnsi="Times New Roman" w:cs="Times New Roman"/>
                      <w:color w:val="auto"/>
                      <w:szCs w:val="21"/>
                      <w:lang w:val="en-US" w:eastAsia="zh-CN"/>
                    </w:rPr>
                    <w:t>[</w:t>
                  </w:r>
                  <w:r>
                    <w:rPr>
                      <w:rFonts w:hint="default" w:ascii="Times New Roman" w:hAnsi="Times New Roman" w:cs="Times New Roman"/>
                      <w:color w:val="auto"/>
                      <w:szCs w:val="21"/>
                      <w:lang w:val="zh-CN"/>
                    </w:rPr>
                    <w:t>20</w:t>
                  </w:r>
                  <w:r>
                    <w:rPr>
                      <w:rFonts w:hint="default" w:ascii="Times New Roman" w:hAnsi="Times New Roman" w:cs="Times New Roman"/>
                      <w:color w:val="auto"/>
                      <w:szCs w:val="21"/>
                    </w:rPr>
                    <w:t>20</w:t>
                  </w:r>
                  <w:r>
                    <w:rPr>
                      <w:rFonts w:hint="eastAsia" w:ascii="Times New Roman" w:hAnsi="Times New Roman" w:cs="Times New Roman"/>
                      <w:color w:val="auto"/>
                      <w:szCs w:val="21"/>
                      <w:lang w:val="en-US" w:eastAsia="zh-CN"/>
                    </w:rPr>
                    <w:t>]</w:t>
                  </w:r>
                  <w:r>
                    <w:rPr>
                      <w:rFonts w:hint="default" w:ascii="Times New Roman" w:hAnsi="Times New Roman" w:cs="Times New Roman"/>
                      <w:color w:val="auto"/>
                      <w:szCs w:val="21"/>
                      <w:lang w:val="zh-CN"/>
                    </w:rPr>
                    <w:t>1号）</w:t>
                  </w:r>
                  <w:r>
                    <w:rPr>
                      <w:rFonts w:hint="default" w:ascii="Times New Roman" w:hAnsi="Times New Roman" w:cs="Times New Roman"/>
                      <w:color w:val="auto"/>
                      <w:szCs w:val="21"/>
                    </w:rPr>
                    <w:t>中规定的位于生态红线保护区以及管控区内与保护主导生态功能无关的开发建设项目、位于生态红线保护区内禁止从事的开发建设项目</w:t>
                  </w:r>
                </w:p>
              </w:tc>
              <w:tc>
                <w:tcPr>
                  <w:tcW w:w="2569" w:type="dxa"/>
                  <w:shd w:val="clear" w:color="auto" w:fill="auto"/>
                  <w:vAlign w:val="center"/>
                </w:tcPr>
                <w:p w14:paraId="2C5BAC6E">
                  <w:pPr>
                    <w:keepNext w:val="0"/>
                    <w:keepLines w:val="0"/>
                    <w:suppressLineNumbers w:val="0"/>
                    <w:adjustRightInd w:val="0"/>
                    <w:snapToGrid w:val="0"/>
                    <w:spacing w:before="0" w:beforeAutospacing="0" w:after="0" w:afterAutospacing="0"/>
                    <w:ind w:left="0" w:leftChars="0" w:right="0" w:rightChars="0"/>
                    <w:jc w:val="both"/>
                    <w:rPr>
                      <w:rFonts w:hint="default"/>
                      <w:color w:val="auto"/>
                      <w:szCs w:val="21"/>
                      <w:lang w:val="en-US" w:eastAsia="zh-CN"/>
                    </w:rPr>
                  </w:pPr>
                  <w:r>
                    <w:rPr>
                      <w:rFonts w:hint="eastAsia"/>
                      <w:color w:val="auto"/>
                      <w:szCs w:val="21"/>
                      <w:lang w:val="en-US" w:eastAsia="zh-CN"/>
                    </w:rPr>
                    <w:t>不属于上述项目</w:t>
                  </w:r>
                </w:p>
              </w:tc>
              <w:tc>
                <w:tcPr>
                  <w:tcW w:w="496" w:type="dxa"/>
                  <w:shd w:val="clear" w:color="auto" w:fill="auto"/>
                  <w:vAlign w:val="center"/>
                </w:tcPr>
                <w:p w14:paraId="749D3BA1">
                  <w:pPr>
                    <w:keepNext w:val="0"/>
                    <w:keepLines w:val="0"/>
                    <w:suppressLineNumbers w:val="0"/>
                    <w:adjustRightInd w:val="0"/>
                    <w:snapToGrid w:val="0"/>
                    <w:spacing w:before="0" w:beforeAutospacing="0" w:after="0" w:afterAutospacing="0"/>
                    <w:ind w:left="0" w:leftChars="0" w:right="0" w:rightChars="0"/>
                    <w:jc w:val="center"/>
                    <w:rPr>
                      <w:rFonts w:hint="eastAsia" w:eastAsia="宋体"/>
                      <w:color w:val="auto"/>
                      <w:szCs w:val="21"/>
                      <w:lang w:val="en-US" w:eastAsia="zh-CN"/>
                    </w:rPr>
                  </w:pPr>
                  <w:r>
                    <w:rPr>
                      <w:rFonts w:hint="eastAsia"/>
                      <w:color w:val="auto"/>
                      <w:szCs w:val="21"/>
                      <w:lang w:val="en-US" w:eastAsia="zh-CN"/>
                    </w:rPr>
                    <w:t>符合</w:t>
                  </w:r>
                </w:p>
              </w:tc>
            </w:tr>
            <w:tr w14:paraId="74BF063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21BF8482">
                  <w:pPr>
                    <w:adjustRightInd w:val="0"/>
                    <w:snapToGrid w:val="0"/>
                    <w:jc w:val="center"/>
                    <w:rPr>
                      <w:rFonts w:hint="default"/>
                      <w:color w:val="auto"/>
                      <w:szCs w:val="21"/>
                      <w:lang w:val="en-US" w:eastAsia="zh-CN"/>
                    </w:rPr>
                  </w:pPr>
                  <w:r>
                    <w:rPr>
                      <w:rFonts w:hint="eastAsia"/>
                      <w:color w:val="auto"/>
                      <w:szCs w:val="21"/>
                      <w:lang w:val="en-US" w:eastAsia="zh-CN"/>
                    </w:rPr>
                    <w:t>10</w:t>
                  </w:r>
                </w:p>
              </w:tc>
              <w:tc>
                <w:tcPr>
                  <w:tcW w:w="3750" w:type="dxa"/>
                  <w:shd w:val="clear" w:color="auto" w:fill="auto"/>
                  <w:vAlign w:val="center"/>
                </w:tcPr>
                <w:p w14:paraId="061485AB">
                  <w:pPr>
                    <w:keepNext w:val="0"/>
                    <w:keepLines w:val="0"/>
                    <w:suppressLineNumbers w:val="0"/>
                    <w:adjustRightInd w:val="0"/>
                    <w:snapToGrid w:val="0"/>
                    <w:spacing w:before="0" w:beforeAutospacing="0" w:after="0" w:afterAutospacing="0"/>
                    <w:ind w:left="0" w:leftChars="0" w:right="0" w:rightChars="0"/>
                    <w:jc w:val="both"/>
                    <w:rPr>
                      <w:rFonts w:hint="eastAsia" w:ascii="Times New Roman" w:hAnsi="Times New Roman" w:cs="Times New Roman"/>
                      <w:color w:val="auto"/>
                      <w:szCs w:val="21"/>
                    </w:rPr>
                  </w:pPr>
                  <w:r>
                    <w:rPr>
                      <w:rFonts w:hint="default" w:ascii="Times New Roman" w:hAnsi="Times New Roman" w:cs="Times New Roman"/>
                      <w:color w:val="auto"/>
                      <w:szCs w:val="21"/>
                    </w:rPr>
                    <w:t>《江苏省国家级生态保护红线规划》（苏政发</w:t>
                  </w:r>
                  <w:r>
                    <w:rPr>
                      <w:rFonts w:hint="eastAsia" w:ascii="Times New Roman" w:hAnsi="Times New Roman" w:cs="Times New Roman"/>
                      <w:color w:val="auto"/>
                      <w:szCs w:val="21"/>
                      <w:lang w:val="en-US" w:eastAsia="zh-CN"/>
                    </w:rPr>
                    <w:t>[</w:t>
                  </w:r>
                  <w:r>
                    <w:rPr>
                      <w:rFonts w:hint="default" w:ascii="Times New Roman" w:hAnsi="Times New Roman" w:cs="Times New Roman"/>
                      <w:color w:val="auto"/>
                      <w:szCs w:val="21"/>
                    </w:rPr>
                    <w:t>2018</w:t>
                  </w:r>
                  <w:r>
                    <w:rPr>
                      <w:rFonts w:hint="eastAsia" w:ascii="Times New Roman" w:hAnsi="Times New Roman" w:cs="Times New Roman"/>
                      <w:color w:val="auto"/>
                      <w:szCs w:val="21"/>
                      <w:lang w:val="en-US" w:eastAsia="zh-CN"/>
                    </w:rPr>
                    <w:t>]</w:t>
                  </w:r>
                  <w:r>
                    <w:rPr>
                      <w:rFonts w:hint="default" w:ascii="Times New Roman" w:hAnsi="Times New Roman" w:cs="Times New Roman"/>
                      <w:color w:val="auto"/>
                      <w:szCs w:val="21"/>
                    </w:rPr>
                    <w:t>74号）中禁止开发区域，不符合主体功能定位活动</w:t>
                  </w:r>
                </w:p>
              </w:tc>
              <w:tc>
                <w:tcPr>
                  <w:tcW w:w="2569" w:type="dxa"/>
                  <w:shd w:val="clear" w:color="auto" w:fill="auto"/>
                  <w:vAlign w:val="center"/>
                </w:tcPr>
                <w:p w14:paraId="30216108">
                  <w:pPr>
                    <w:keepNext w:val="0"/>
                    <w:keepLines w:val="0"/>
                    <w:suppressLineNumbers w:val="0"/>
                    <w:adjustRightInd w:val="0"/>
                    <w:snapToGrid w:val="0"/>
                    <w:spacing w:before="0" w:beforeAutospacing="0" w:after="0" w:afterAutospacing="0"/>
                    <w:ind w:left="0" w:leftChars="0" w:right="0" w:rightChars="0"/>
                    <w:jc w:val="both"/>
                    <w:rPr>
                      <w:rFonts w:hint="default"/>
                      <w:color w:val="auto"/>
                      <w:szCs w:val="21"/>
                      <w:lang w:val="en-US" w:eastAsia="zh-CN"/>
                    </w:rPr>
                  </w:pPr>
                  <w:r>
                    <w:rPr>
                      <w:rFonts w:hint="eastAsia"/>
                      <w:color w:val="auto"/>
                      <w:szCs w:val="21"/>
                      <w:lang w:val="en-US" w:eastAsia="zh-CN"/>
                    </w:rPr>
                    <w:t>不属于禁止开发区域</w:t>
                  </w:r>
                </w:p>
              </w:tc>
              <w:tc>
                <w:tcPr>
                  <w:tcW w:w="496" w:type="dxa"/>
                  <w:shd w:val="clear" w:color="auto" w:fill="auto"/>
                  <w:vAlign w:val="center"/>
                </w:tcPr>
                <w:p w14:paraId="42423EE8">
                  <w:pPr>
                    <w:keepNext w:val="0"/>
                    <w:keepLines w:val="0"/>
                    <w:suppressLineNumbers w:val="0"/>
                    <w:adjustRightInd w:val="0"/>
                    <w:snapToGrid w:val="0"/>
                    <w:spacing w:before="0" w:beforeAutospacing="0" w:after="0" w:afterAutospacing="0"/>
                    <w:ind w:left="0" w:leftChars="0" w:right="0" w:rightChars="0"/>
                    <w:jc w:val="center"/>
                    <w:rPr>
                      <w:rFonts w:hint="eastAsia" w:eastAsia="宋体"/>
                      <w:color w:val="auto"/>
                      <w:szCs w:val="21"/>
                      <w:lang w:val="en-US" w:eastAsia="zh-CN"/>
                    </w:rPr>
                  </w:pPr>
                  <w:r>
                    <w:rPr>
                      <w:rFonts w:hint="eastAsia"/>
                      <w:color w:val="auto"/>
                      <w:szCs w:val="21"/>
                      <w:lang w:val="en-US" w:eastAsia="zh-CN"/>
                    </w:rPr>
                    <w:t>符合</w:t>
                  </w:r>
                </w:p>
              </w:tc>
            </w:tr>
            <w:tr w14:paraId="5326C5F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4D05AFC4">
                  <w:pPr>
                    <w:adjustRightInd w:val="0"/>
                    <w:snapToGrid w:val="0"/>
                    <w:jc w:val="center"/>
                    <w:rPr>
                      <w:rFonts w:hint="default"/>
                      <w:color w:val="auto"/>
                      <w:szCs w:val="21"/>
                      <w:lang w:val="en-US" w:eastAsia="zh-CN"/>
                    </w:rPr>
                  </w:pPr>
                  <w:r>
                    <w:rPr>
                      <w:rFonts w:hint="eastAsia"/>
                      <w:color w:val="auto"/>
                      <w:szCs w:val="21"/>
                      <w:lang w:val="en-US" w:eastAsia="zh-CN"/>
                    </w:rPr>
                    <w:t>11</w:t>
                  </w:r>
                </w:p>
              </w:tc>
              <w:tc>
                <w:tcPr>
                  <w:tcW w:w="3750" w:type="dxa"/>
                  <w:shd w:val="clear" w:color="auto" w:fill="auto"/>
                  <w:vAlign w:val="center"/>
                </w:tcPr>
                <w:p w14:paraId="731E298E">
                  <w:pPr>
                    <w:keepNext w:val="0"/>
                    <w:keepLines w:val="0"/>
                    <w:suppressLineNumbers w:val="0"/>
                    <w:adjustRightInd w:val="0"/>
                    <w:snapToGrid w:val="0"/>
                    <w:spacing w:before="0" w:beforeAutospacing="0" w:after="0" w:afterAutospacing="0"/>
                    <w:ind w:left="0" w:leftChars="0" w:right="0" w:rightChars="0"/>
                    <w:jc w:val="both"/>
                    <w:rPr>
                      <w:rFonts w:hint="eastAsia" w:ascii="Times New Roman" w:hAnsi="Times New Roman" w:cs="Times New Roman"/>
                      <w:color w:val="auto"/>
                      <w:szCs w:val="21"/>
                    </w:rPr>
                  </w:pPr>
                  <w:r>
                    <w:rPr>
                      <w:rFonts w:hint="default" w:ascii="Times New Roman" w:hAnsi="Times New Roman" w:cs="Times New Roman"/>
                      <w:color w:val="auto"/>
                      <w:szCs w:val="21"/>
                    </w:rPr>
                    <w:t>《江苏省人民代表大会常务委员会关于加强饮用水源保护决定》中规定的位于饮用水源准保护区、二级保护区、</w:t>
                  </w:r>
                  <w:r>
                    <w:rPr>
                      <w:rFonts w:hint="default" w:ascii="Times New Roman" w:hAnsi="Times New Roman" w:cs="Times New Roman"/>
                      <w:color w:val="auto"/>
                      <w:szCs w:val="21"/>
                      <w:lang w:eastAsia="zh-CN"/>
                    </w:rPr>
                    <w:t>一级</w:t>
                  </w:r>
                  <w:r>
                    <w:rPr>
                      <w:rFonts w:hint="default" w:ascii="Times New Roman" w:hAnsi="Times New Roman" w:cs="Times New Roman"/>
                      <w:color w:val="auto"/>
                      <w:szCs w:val="21"/>
                    </w:rPr>
                    <w:t>保护区内禁止从事的开发建设项目</w:t>
                  </w:r>
                </w:p>
              </w:tc>
              <w:tc>
                <w:tcPr>
                  <w:tcW w:w="2569" w:type="dxa"/>
                  <w:shd w:val="clear" w:color="auto" w:fill="auto"/>
                  <w:vAlign w:val="center"/>
                </w:tcPr>
                <w:p w14:paraId="2074B0F6">
                  <w:pPr>
                    <w:keepNext w:val="0"/>
                    <w:keepLines w:val="0"/>
                    <w:suppressLineNumbers w:val="0"/>
                    <w:adjustRightInd w:val="0"/>
                    <w:snapToGrid w:val="0"/>
                    <w:spacing w:before="0" w:beforeAutospacing="0" w:after="0" w:afterAutospacing="0"/>
                    <w:ind w:left="0" w:leftChars="0" w:right="0" w:rightChars="0"/>
                    <w:jc w:val="both"/>
                    <w:rPr>
                      <w:rFonts w:hint="default"/>
                      <w:color w:val="auto"/>
                      <w:szCs w:val="21"/>
                      <w:lang w:val="en-US" w:eastAsia="zh-CN"/>
                    </w:rPr>
                  </w:pPr>
                  <w:r>
                    <w:rPr>
                      <w:rFonts w:hint="eastAsia"/>
                      <w:color w:val="auto"/>
                      <w:szCs w:val="21"/>
                      <w:lang w:val="en-US" w:eastAsia="zh-CN"/>
                    </w:rPr>
                    <w:t>不属于上述项目</w:t>
                  </w:r>
                </w:p>
              </w:tc>
              <w:tc>
                <w:tcPr>
                  <w:tcW w:w="496" w:type="dxa"/>
                  <w:shd w:val="clear" w:color="auto" w:fill="auto"/>
                  <w:vAlign w:val="center"/>
                </w:tcPr>
                <w:p w14:paraId="5A880C11">
                  <w:pPr>
                    <w:keepNext w:val="0"/>
                    <w:keepLines w:val="0"/>
                    <w:suppressLineNumbers w:val="0"/>
                    <w:adjustRightInd w:val="0"/>
                    <w:snapToGrid w:val="0"/>
                    <w:spacing w:before="0" w:beforeAutospacing="0" w:after="0" w:afterAutospacing="0"/>
                    <w:ind w:left="0" w:leftChars="0" w:right="0" w:rightChars="0"/>
                    <w:jc w:val="center"/>
                    <w:rPr>
                      <w:rFonts w:hint="eastAsia" w:eastAsia="宋体"/>
                      <w:color w:val="auto"/>
                      <w:szCs w:val="21"/>
                      <w:lang w:val="en-US" w:eastAsia="zh-CN"/>
                    </w:rPr>
                  </w:pPr>
                  <w:r>
                    <w:rPr>
                      <w:rFonts w:hint="eastAsia"/>
                      <w:color w:val="auto"/>
                      <w:szCs w:val="21"/>
                      <w:lang w:val="en-US" w:eastAsia="zh-CN"/>
                    </w:rPr>
                    <w:t>符合</w:t>
                  </w:r>
                </w:p>
              </w:tc>
            </w:tr>
            <w:tr w14:paraId="0F8BC55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60" w:type="dxa"/>
                  <w:vAlign w:val="center"/>
                </w:tcPr>
                <w:p w14:paraId="2771D916">
                  <w:pPr>
                    <w:adjustRightInd w:val="0"/>
                    <w:snapToGrid w:val="0"/>
                    <w:jc w:val="center"/>
                    <w:rPr>
                      <w:rFonts w:hint="default"/>
                      <w:color w:val="auto"/>
                      <w:szCs w:val="21"/>
                      <w:lang w:val="en-US" w:eastAsia="zh-CN"/>
                    </w:rPr>
                  </w:pPr>
                  <w:r>
                    <w:rPr>
                      <w:rFonts w:hint="eastAsia"/>
                      <w:color w:val="auto"/>
                      <w:szCs w:val="21"/>
                      <w:lang w:val="en-US" w:eastAsia="zh-CN"/>
                    </w:rPr>
                    <w:t>12</w:t>
                  </w:r>
                </w:p>
              </w:tc>
              <w:tc>
                <w:tcPr>
                  <w:tcW w:w="3750" w:type="dxa"/>
                  <w:shd w:val="clear" w:color="auto" w:fill="auto"/>
                  <w:vAlign w:val="center"/>
                </w:tcPr>
                <w:p w14:paraId="4B9044BE">
                  <w:pPr>
                    <w:keepNext w:val="0"/>
                    <w:keepLines w:val="0"/>
                    <w:suppressLineNumbers w:val="0"/>
                    <w:adjustRightInd w:val="0"/>
                    <w:snapToGrid w:val="0"/>
                    <w:spacing w:before="0" w:beforeAutospacing="0" w:after="0" w:afterAutospacing="0"/>
                    <w:ind w:left="0" w:leftChars="0" w:right="0" w:rightChars="0"/>
                    <w:jc w:val="both"/>
                    <w:rPr>
                      <w:rFonts w:hint="eastAsia" w:ascii="Times New Roman" w:hAnsi="Times New Roman" w:cs="Times New Roman"/>
                      <w:color w:val="auto"/>
                      <w:szCs w:val="21"/>
                    </w:rPr>
                  </w:pPr>
                  <w:r>
                    <w:rPr>
                      <w:rFonts w:hint="default" w:ascii="Times New Roman" w:hAnsi="Times New Roman" w:cs="Times New Roman"/>
                      <w:color w:val="auto"/>
                      <w:szCs w:val="21"/>
                    </w:rPr>
                    <w:t>《淮安市</w:t>
                  </w:r>
                  <w:r>
                    <w:rPr>
                      <w:rFonts w:hint="eastAsia" w:ascii="Times New Roman" w:hAnsi="Times New Roman" w:cs="Times New Roman"/>
                      <w:color w:val="auto"/>
                      <w:szCs w:val="21"/>
                      <w:lang w:eastAsia="zh-CN"/>
                    </w:rPr>
                    <w:t>“</w:t>
                  </w:r>
                  <w:r>
                    <w:rPr>
                      <w:rFonts w:hint="default" w:ascii="Times New Roman" w:hAnsi="Times New Roman" w:cs="Times New Roman"/>
                      <w:color w:val="auto"/>
                      <w:szCs w:val="21"/>
                    </w:rPr>
                    <w:t>三线一单</w:t>
                  </w:r>
                  <w:r>
                    <w:rPr>
                      <w:rFonts w:hint="eastAsia" w:ascii="Times New Roman" w:hAnsi="Times New Roman" w:cs="Times New Roman"/>
                      <w:color w:val="auto"/>
                      <w:szCs w:val="21"/>
                      <w:lang w:eastAsia="zh-CN"/>
                    </w:rPr>
                    <w:t>”</w:t>
                  </w:r>
                  <w:r>
                    <w:rPr>
                      <w:rFonts w:hint="default" w:ascii="Times New Roman" w:hAnsi="Times New Roman" w:cs="Times New Roman"/>
                      <w:color w:val="auto"/>
                      <w:szCs w:val="21"/>
                    </w:rPr>
                    <w:t>生态环境分区管控方案》（淮政发</w:t>
                  </w:r>
                  <w:r>
                    <w:rPr>
                      <w:rFonts w:hint="eastAsia" w:ascii="Times New Roman" w:hAnsi="Times New Roman" w:cs="Times New Roman"/>
                      <w:color w:val="auto"/>
                      <w:szCs w:val="21"/>
                      <w:lang w:val="en-US" w:eastAsia="zh-CN"/>
                    </w:rPr>
                    <w:t>[</w:t>
                  </w:r>
                  <w:r>
                    <w:rPr>
                      <w:rFonts w:hint="default" w:ascii="Times New Roman" w:hAnsi="Times New Roman" w:cs="Times New Roman"/>
                      <w:color w:val="auto"/>
                      <w:szCs w:val="21"/>
                    </w:rPr>
                    <w:t>2020</w:t>
                  </w:r>
                  <w:r>
                    <w:rPr>
                      <w:rFonts w:hint="eastAsia" w:ascii="Times New Roman" w:hAnsi="Times New Roman" w:cs="Times New Roman"/>
                      <w:color w:val="auto"/>
                      <w:szCs w:val="21"/>
                      <w:lang w:val="en-US" w:eastAsia="zh-CN"/>
                    </w:rPr>
                    <w:t>]</w:t>
                  </w:r>
                  <w:r>
                    <w:rPr>
                      <w:rFonts w:hint="default" w:ascii="Times New Roman" w:hAnsi="Times New Roman" w:cs="Times New Roman"/>
                      <w:color w:val="auto"/>
                      <w:szCs w:val="21"/>
                    </w:rPr>
                    <w:t>162号）和《市政府办公室关于对淮安市</w:t>
                  </w:r>
                  <w:r>
                    <w:rPr>
                      <w:rFonts w:hint="eastAsia" w:ascii="Times New Roman" w:hAnsi="Times New Roman" w:cs="Times New Roman"/>
                      <w:color w:val="auto"/>
                      <w:szCs w:val="21"/>
                      <w:lang w:eastAsia="zh-CN"/>
                    </w:rPr>
                    <w:t>“</w:t>
                  </w:r>
                  <w:r>
                    <w:rPr>
                      <w:rFonts w:hint="default" w:ascii="Times New Roman" w:hAnsi="Times New Roman" w:cs="Times New Roman"/>
                      <w:color w:val="auto"/>
                      <w:szCs w:val="21"/>
                    </w:rPr>
                    <w:t>三线一单</w:t>
                  </w:r>
                  <w:r>
                    <w:rPr>
                      <w:rFonts w:hint="eastAsia" w:ascii="Times New Roman" w:hAnsi="Times New Roman" w:cs="Times New Roman"/>
                      <w:color w:val="auto"/>
                      <w:szCs w:val="21"/>
                      <w:lang w:eastAsia="zh-CN"/>
                    </w:rPr>
                    <w:t>”</w:t>
                  </w:r>
                  <w:r>
                    <w:rPr>
                      <w:rFonts w:hint="default" w:ascii="Times New Roman" w:hAnsi="Times New Roman" w:cs="Times New Roman"/>
                      <w:color w:val="auto"/>
                      <w:szCs w:val="21"/>
                    </w:rPr>
                    <w:t>生态环境分区管控方案内容修改的通知》（淮政办函</w:t>
                  </w:r>
                  <w:r>
                    <w:rPr>
                      <w:rFonts w:hint="eastAsia" w:ascii="Times New Roman" w:hAnsi="Times New Roman" w:cs="Times New Roman"/>
                      <w:color w:val="auto"/>
                      <w:szCs w:val="21"/>
                      <w:lang w:val="en-US" w:eastAsia="zh-CN"/>
                    </w:rPr>
                    <w:t>[</w:t>
                  </w:r>
                  <w:r>
                    <w:rPr>
                      <w:rFonts w:hint="default" w:ascii="Times New Roman" w:hAnsi="Times New Roman" w:cs="Times New Roman"/>
                      <w:color w:val="auto"/>
                      <w:szCs w:val="21"/>
                    </w:rPr>
                    <w:t>2022</w:t>
                  </w:r>
                  <w:r>
                    <w:rPr>
                      <w:rFonts w:hint="eastAsia" w:ascii="Times New Roman" w:hAnsi="Times New Roman" w:cs="Times New Roman"/>
                      <w:color w:val="auto"/>
                      <w:szCs w:val="21"/>
                      <w:lang w:val="en-US" w:eastAsia="zh-CN"/>
                    </w:rPr>
                    <w:t>]</w:t>
                  </w:r>
                  <w:r>
                    <w:rPr>
                      <w:rFonts w:hint="default" w:ascii="Times New Roman" w:hAnsi="Times New Roman" w:cs="Times New Roman"/>
                      <w:color w:val="auto"/>
                      <w:szCs w:val="21"/>
                    </w:rPr>
                    <w:t>5号）管控项目</w:t>
                  </w:r>
                </w:p>
              </w:tc>
              <w:tc>
                <w:tcPr>
                  <w:tcW w:w="2569" w:type="dxa"/>
                  <w:shd w:val="clear" w:color="auto" w:fill="auto"/>
                  <w:vAlign w:val="center"/>
                </w:tcPr>
                <w:p w14:paraId="3B702C56">
                  <w:pPr>
                    <w:keepNext w:val="0"/>
                    <w:keepLines w:val="0"/>
                    <w:suppressLineNumbers w:val="0"/>
                    <w:adjustRightInd w:val="0"/>
                    <w:snapToGrid w:val="0"/>
                    <w:spacing w:before="0" w:beforeAutospacing="0" w:after="0" w:afterAutospacing="0"/>
                    <w:ind w:left="0" w:leftChars="0" w:right="0" w:rightChars="0"/>
                    <w:jc w:val="both"/>
                    <w:rPr>
                      <w:rFonts w:hint="default"/>
                      <w:color w:val="auto"/>
                      <w:szCs w:val="21"/>
                      <w:lang w:val="en-US" w:eastAsia="zh-CN"/>
                    </w:rPr>
                  </w:pPr>
                  <w:r>
                    <w:rPr>
                      <w:rFonts w:hint="eastAsia"/>
                      <w:color w:val="auto"/>
                      <w:szCs w:val="21"/>
                      <w:lang w:val="en-US" w:eastAsia="zh-CN"/>
                    </w:rPr>
                    <w:t>不属于上述管控项目</w:t>
                  </w:r>
                </w:p>
              </w:tc>
              <w:tc>
                <w:tcPr>
                  <w:tcW w:w="496" w:type="dxa"/>
                  <w:shd w:val="clear" w:color="auto" w:fill="auto"/>
                  <w:vAlign w:val="center"/>
                </w:tcPr>
                <w:p w14:paraId="1D123C40">
                  <w:pPr>
                    <w:keepNext w:val="0"/>
                    <w:keepLines w:val="0"/>
                    <w:suppressLineNumbers w:val="0"/>
                    <w:adjustRightInd w:val="0"/>
                    <w:snapToGrid w:val="0"/>
                    <w:spacing w:before="0" w:beforeAutospacing="0" w:after="0" w:afterAutospacing="0"/>
                    <w:ind w:left="0" w:leftChars="0" w:right="0" w:rightChars="0"/>
                    <w:jc w:val="center"/>
                    <w:rPr>
                      <w:rFonts w:hint="eastAsia" w:eastAsia="宋体"/>
                      <w:color w:val="auto"/>
                      <w:szCs w:val="21"/>
                      <w:lang w:val="en-US" w:eastAsia="zh-CN"/>
                    </w:rPr>
                  </w:pPr>
                  <w:r>
                    <w:rPr>
                      <w:rFonts w:hint="eastAsia"/>
                      <w:color w:val="auto"/>
                      <w:szCs w:val="21"/>
                      <w:lang w:val="en-US" w:eastAsia="zh-CN"/>
                    </w:rPr>
                    <w:t>符合</w:t>
                  </w:r>
                </w:p>
              </w:tc>
            </w:tr>
          </w:tbl>
          <w:p w14:paraId="17381F86">
            <w:pPr>
              <w:adjustRightInd w:val="0"/>
              <w:snapToGrid w:val="0"/>
              <w:spacing w:line="360" w:lineRule="auto"/>
              <w:ind w:firstLine="480" w:firstLineChars="200"/>
              <w:rPr>
                <w:color w:val="auto"/>
                <w:sz w:val="24"/>
              </w:rPr>
            </w:pPr>
            <w:r>
              <w:rPr>
                <w:color w:val="auto"/>
                <w:sz w:val="24"/>
              </w:rPr>
              <w:t>综上所述，本项目符合</w:t>
            </w:r>
            <w:r>
              <w:rPr>
                <w:rFonts w:hint="eastAsia"/>
                <w:color w:val="auto"/>
                <w:sz w:val="24"/>
              </w:rPr>
              <w:t>“</w:t>
            </w:r>
            <w:r>
              <w:rPr>
                <w:color w:val="auto"/>
                <w:sz w:val="24"/>
              </w:rPr>
              <w:t>三线一单</w:t>
            </w:r>
            <w:r>
              <w:rPr>
                <w:rFonts w:hint="eastAsia"/>
                <w:color w:val="auto"/>
                <w:sz w:val="24"/>
              </w:rPr>
              <w:t>”</w:t>
            </w:r>
            <w:r>
              <w:rPr>
                <w:color w:val="auto"/>
                <w:sz w:val="24"/>
              </w:rPr>
              <w:t>的要求。</w:t>
            </w:r>
          </w:p>
          <w:p w14:paraId="17381F87">
            <w:pPr>
              <w:widowControl/>
              <w:adjustRightInd w:val="0"/>
              <w:snapToGrid w:val="0"/>
              <w:spacing w:line="360" w:lineRule="auto"/>
              <w:ind w:firstLine="482" w:firstLineChars="200"/>
              <w:jc w:val="left"/>
              <w:rPr>
                <w:color w:val="auto"/>
                <w:kern w:val="0"/>
                <w:sz w:val="24"/>
                <w:szCs w:val="20"/>
              </w:rPr>
            </w:pPr>
            <w:r>
              <w:rPr>
                <w:rFonts w:hint="eastAsia"/>
                <w:b/>
                <w:color w:val="auto"/>
                <w:sz w:val="24"/>
              </w:rPr>
              <w:t>5、</w:t>
            </w:r>
            <w:r>
              <w:rPr>
                <w:b/>
                <w:color w:val="auto"/>
                <w:kern w:val="0"/>
                <w:sz w:val="24"/>
                <w:szCs w:val="20"/>
              </w:rPr>
              <w:t>产业政策相符性分析</w:t>
            </w:r>
          </w:p>
          <w:p w14:paraId="17381F88">
            <w:pPr>
              <w:widowControl/>
              <w:adjustRightInd w:val="0"/>
              <w:snapToGrid w:val="0"/>
              <w:spacing w:line="360" w:lineRule="auto"/>
              <w:ind w:firstLine="480" w:firstLineChars="200"/>
              <w:jc w:val="left"/>
              <w:rPr>
                <w:color w:val="auto"/>
                <w:sz w:val="24"/>
              </w:rPr>
            </w:pPr>
            <w:r>
              <w:rPr>
                <w:color w:val="auto"/>
                <w:sz w:val="24"/>
              </w:rPr>
              <w:t>本项目行业类别为</w:t>
            </w:r>
            <w:r>
              <w:rPr>
                <w:rFonts w:hint="eastAsia"/>
                <w:color w:val="auto"/>
                <w:sz w:val="24"/>
              </w:rPr>
              <w:t>“</w:t>
            </w:r>
            <w:r>
              <w:rPr>
                <w:color w:val="auto"/>
                <w:sz w:val="24"/>
              </w:rPr>
              <w:t>C3062 玻璃纤维增强塑料制品制造</w:t>
            </w:r>
            <w:r>
              <w:rPr>
                <w:rFonts w:hint="eastAsia"/>
                <w:color w:val="auto"/>
                <w:sz w:val="24"/>
              </w:rPr>
              <w:t>、</w:t>
            </w:r>
            <w:r>
              <w:rPr>
                <w:color w:val="auto"/>
                <w:sz w:val="24"/>
              </w:rPr>
              <w:t>C3322手工具制造、C3323 农用及园林用金属工具制造</w:t>
            </w:r>
            <w:r>
              <w:rPr>
                <w:rFonts w:hint="eastAsia"/>
                <w:color w:val="auto"/>
                <w:sz w:val="24"/>
              </w:rPr>
              <w:t>”</w:t>
            </w:r>
            <w:r>
              <w:rPr>
                <w:color w:val="auto"/>
                <w:sz w:val="24"/>
              </w:rPr>
              <w:t>，不属于</w:t>
            </w:r>
            <w:r>
              <w:rPr>
                <w:rFonts w:hint="eastAsia"/>
                <w:color w:val="auto"/>
                <w:sz w:val="24"/>
              </w:rPr>
              <w:t>国家发展改革委</w:t>
            </w:r>
            <w:r>
              <w:rPr>
                <w:color w:val="auto"/>
                <w:sz w:val="24"/>
              </w:rPr>
              <w:t>令第49号《产业结构调整指导目录（20</w:t>
            </w:r>
            <w:r>
              <w:rPr>
                <w:rFonts w:hint="eastAsia"/>
                <w:color w:val="auto"/>
                <w:sz w:val="24"/>
              </w:rPr>
              <w:t>24</w:t>
            </w:r>
            <w:r>
              <w:rPr>
                <w:color w:val="auto"/>
                <w:sz w:val="24"/>
              </w:rPr>
              <w:t>年本）》中规定的</w:t>
            </w:r>
            <w:r>
              <w:rPr>
                <w:rFonts w:hint="eastAsia"/>
                <w:color w:val="auto"/>
                <w:sz w:val="24"/>
              </w:rPr>
              <w:t>“</w:t>
            </w:r>
            <w:r>
              <w:rPr>
                <w:color w:val="auto"/>
                <w:sz w:val="24"/>
              </w:rPr>
              <w:t>鼓励类</w:t>
            </w:r>
            <w:r>
              <w:rPr>
                <w:rFonts w:hint="eastAsia"/>
                <w:color w:val="auto"/>
                <w:sz w:val="24"/>
              </w:rPr>
              <w:t>”</w:t>
            </w:r>
            <w:r>
              <w:rPr>
                <w:color w:val="auto"/>
                <w:sz w:val="24"/>
              </w:rPr>
              <w:t>、</w:t>
            </w:r>
            <w:r>
              <w:rPr>
                <w:rFonts w:hint="eastAsia"/>
                <w:color w:val="auto"/>
                <w:sz w:val="24"/>
              </w:rPr>
              <w:t>“</w:t>
            </w:r>
            <w:r>
              <w:rPr>
                <w:color w:val="auto"/>
                <w:sz w:val="24"/>
              </w:rPr>
              <w:t>限制类</w:t>
            </w:r>
            <w:r>
              <w:rPr>
                <w:rFonts w:hint="eastAsia"/>
                <w:color w:val="auto"/>
                <w:sz w:val="24"/>
              </w:rPr>
              <w:t>”</w:t>
            </w:r>
            <w:r>
              <w:rPr>
                <w:color w:val="auto"/>
                <w:sz w:val="24"/>
              </w:rPr>
              <w:t>和</w:t>
            </w:r>
            <w:r>
              <w:rPr>
                <w:rFonts w:hint="eastAsia"/>
                <w:color w:val="auto"/>
                <w:sz w:val="24"/>
              </w:rPr>
              <w:t>“</w:t>
            </w:r>
            <w:r>
              <w:rPr>
                <w:color w:val="auto"/>
                <w:sz w:val="24"/>
              </w:rPr>
              <w:t>淘汰类</w:t>
            </w:r>
            <w:r>
              <w:rPr>
                <w:rFonts w:hint="eastAsia"/>
                <w:color w:val="auto"/>
                <w:sz w:val="24"/>
              </w:rPr>
              <w:t>”</w:t>
            </w:r>
            <w:r>
              <w:rPr>
                <w:rFonts w:hint="eastAsia"/>
                <w:color w:val="auto"/>
                <w:sz w:val="24"/>
                <w:lang w:eastAsia="zh-CN"/>
              </w:rPr>
              <w:t>，</w:t>
            </w:r>
            <w:r>
              <w:rPr>
                <w:color w:val="auto"/>
                <w:sz w:val="24"/>
              </w:rPr>
              <w:t>也不属于《江苏省产业结构调整限制、淘汰和禁止目录》（苏办发</w:t>
            </w:r>
            <w:r>
              <w:rPr>
                <w:rFonts w:hint="eastAsia"/>
                <w:color w:val="auto"/>
                <w:sz w:val="24"/>
                <w:lang w:val="en-US" w:eastAsia="zh-CN"/>
              </w:rPr>
              <w:t>[</w:t>
            </w:r>
            <w:r>
              <w:rPr>
                <w:color w:val="auto"/>
                <w:sz w:val="24"/>
              </w:rPr>
              <w:t>2018</w:t>
            </w:r>
            <w:r>
              <w:rPr>
                <w:rFonts w:hint="eastAsia"/>
                <w:color w:val="auto"/>
                <w:sz w:val="24"/>
                <w:lang w:val="en-US" w:eastAsia="zh-CN"/>
              </w:rPr>
              <w:t>]</w:t>
            </w:r>
            <w:r>
              <w:rPr>
                <w:color w:val="auto"/>
                <w:sz w:val="24"/>
              </w:rPr>
              <w:t>32号附件3）中规定的</w:t>
            </w:r>
            <w:r>
              <w:rPr>
                <w:rFonts w:hint="eastAsia"/>
                <w:color w:val="auto"/>
                <w:sz w:val="24"/>
              </w:rPr>
              <w:t>“</w:t>
            </w:r>
            <w:r>
              <w:rPr>
                <w:color w:val="auto"/>
                <w:sz w:val="24"/>
              </w:rPr>
              <w:t>限制类</w:t>
            </w:r>
            <w:r>
              <w:rPr>
                <w:rFonts w:hint="eastAsia"/>
                <w:color w:val="auto"/>
                <w:sz w:val="24"/>
              </w:rPr>
              <w:t>”</w:t>
            </w:r>
            <w:r>
              <w:rPr>
                <w:color w:val="auto"/>
                <w:sz w:val="24"/>
              </w:rPr>
              <w:t>、</w:t>
            </w:r>
            <w:r>
              <w:rPr>
                <w:rFonts w:hint="eastAsia"/>
                <w:color w:val="auto"/>
                <w:sz w:val="24"/>
              </w:rPr>
              <w:t>“</w:t>
            </w:r>
            <w:r>
              <w:rPr>
                <w:color w:val="auto"/>
                <w:sz w:val="24"/>
              </w:rPr>
              <w:t>淘汰类</w:t>
            </w:r>
            <w:r>
              <w:rPr>
                <w:rFonts w:hint="eastAsia"/>
                <w:color w:val="auto"/>
                <w:sz w:val="24"/>
              </w:rPr>
              <w:t>”</w:t>
            </w:r>
            <w:r>
              <w:rPr>
                <w:color w:val="auto"/>
                <w:sz w:val="24"/>
              </w:rPr>
              <w:t>和</w:t>
            </w:r>
            <w:r>
              <w:rPr>
                <w:rFonts w:hint="eastAsia"/>
                <w:color w:val="auto"/>
                <w:sz w:val="24"/>
              </w:rPr>
              <w:t>“</w:t>
            </w:r>
            <w:r>
              <w:rPr>
                <w:color w:val="auto"/>
                <w:sz w:val="24"/>
              </w:rPr>
              <w:t>禁止类</w:t>
            </w:r>
            <w:r>
              <w:rPr>
                <w:rFonts w:hint="eastAsia"/>
                <w:color w:val="auto"/>
                <w:sz w:val="24"/>
              </w:rPr>
              <w:t>”</w:t>
            </w:r>
            <w:r>
              <w:rPr>
                <w:rFonts w:hint="eastAsia"/>
                <w:color w:val="auto"/>
                <w:sz w:val="24"/>
                <w:lang w:eastAsia="zh-CN"/>
              </w:rPr>
              <w:t>，</w:t>
            </w:r>
            <w:r>
              <w:rPr>
                <w:color w:val="auto"/>
                <w:sz w:val="24"/>
              </w:rPr>
              <w:t>为允许类项目。</w:t>
            </w:r>
          </w:p>
          <w:p w14:paraId="17381F89">
            <w:pPr>
              <w:widowControl/>
              <w:adjustRightInd w:val="0"/>
              <w:snapToGrid w:val="0"/>
              <w:spacing w:line="360" w:lineRule="auto"/>
              <w:ind w:firstLine="480" w:firstLineChars="200"/>
              <w:jc w:val="left"/>
              <w:rPr>
                <w:color w:val="auto"/>
                <w:sz w:val="24"/>
              </w:rPr>
            </w:pPr>
            <w:r>
              <w:rPr>
                <w:color w:val="auto"/>
                <w:sz w:val="24"/>
              </w:rPr>
              <w:t>本项目已取得</w:t>
            </w:r>
            <w:r>
              <w:rPr>
                <w:rFonts w:hint="eastAsia"/>
                <w:color w:val="auto"/>
                <w:sz w:val="24"/>
              </w:rPr>
              <w:t>淮安市淮阴区政务服务管理办公室出具的</w:t>
            </w:r>
            <w:r>
              <w:rPr>
                <w:color w:val="auto"/>
                <w:sz w:val="24"/>
              </w:rPr>
              <w:t>备案证，备案证号：</w:t>
            </w:r>
            <w:r>
              <w:rPr>
                <w:rFonts w:hint="eastAsia"/>
                <w:color w:val="auto"/>
                <w:sz w:val="24"/>
              </w:rPr>
              <w:t>淮阴区数据投资备[2024]94号</w:t>
            </w:r>
            <w:r>
              <w:rPr>
                <w:color w:val="auto"/>
                <w:sz w:val="24"/>
              </w:rPr>
              <w:t>。因此，本项目的建设符合国家和地方产业政策。</w:t>
            </w:r>
          </w:p>
          <w:p w14:paraId="17381F8A">
            <w:pPr>
              <w:widowControl/>
              <w:adjustRightInd w:val="0"/>
              <w:snapToGrid w:val="0"/>
              <w:spacing w:line="360" w:lineRule="auto"/>
              <w:ind w:firstLine="482" w:firstLineChars="200"/>
              <w:jc w:val="left"/>
              <w:rPr>
                <w:b/>
                <w:bCs/>
                <w:color w:val="auto"/>
                <w:sz w:val="24"/>
              </w:rPr>
            </w:pPr>
            <w:r>
              <w:rPr>
                <w:rFonts w:hint="eastAsia"/>
                <w:b/>
                <w:bCs/>
                <w:color w:val="auto"/>
                <w:sz w:val="24"/>
              </w:rPr>
              <w:t>6、用地规划相符性分析</w:t>
            </w:r>
          </w:p>
          <w:p w14:paraId="17381F8B">
            <w:pPr>
              <w:widowControl/>
              <w:adjustRightInd w:val="0"/>
              <w:snapToGrid w:val="0"/>
              <w:spacing w:line="360" w:lineRule="auto"/>
              <w:ind w:firstLine="480" w:firstLineChars="200"/>
              <w:jc w:val="left"/>
              <w:rPr>
                <w:color w:val="auto"/>
                <w:sz w:val="24"/>
              </w:rPr>
            </w:pPr>
            <w:r>
              <w:rPr>
                <w:color w:val="auto"/>
                <w:sz w:val="24"/>
              </w:rPr>
              <w:t>对照《关于发布实施&lt;江苏省限制用地项目目录（2013年本）&gt;和&lt;江苏省禁止用地项目目录（2013年本）&gt;的通知》（苏国土资发</w:t>
            </w:r>
            <w:r>
              <w:rPr>
                <w:rFonts w:hint="eastAsia"/>
                <w:color w:val="auto"/>
                <w:sz w:val="24"/>
                <w:lang w:val="en-US" w:eastAsia="zh-CN"/>
              </w:rPr>
              <w:t>[</w:t>
            </w:r>
            <w:r>
              <w:rPr>
                <w:color w:val="auto"/>
                <w:sz w:val="24"/>
              </w:rPr>
              <w:t>2013</w:t>
            </w:r>
            <w:r>
              <w:rPr>
                <w:rFonts w:hint="eastAsia"/>
                <w:color w:val="auto"/>
                <w:sz w:val="24"/>
                <w:lang w:val="en-US" w:eastAsia="zh-CN"/>
              </w:rPr>
              <w:t>]</w:t>
            </w:r>
            <w:r>
              <w:rPr>
                <w:color w:val="auto"/>
                <w:sz w:val="24"/>
              </w:rPr>
              <w:t>323号），本项目不属于限制和禁止用地项目。本项目用地位于</w:t>
            </w:r>
            <w:r>
              <w:rPr>
                <w:rFonts w:hint="eastAsia"/>
                <w:color w:val="auto"/>
                <w:sz w:val="24"/>
              </w:rPr>
              <w:t>淮安市淮阴区马头镇东港路一号</w:t>
            </w:r>
            <w:r>
              <w:rPr>
                <w:color w:val="auto"/>
                <w:sz w:val="24"/>
              </w:rPr>
              <w:t>，</w:t>
            </w:r>
            <w:r>
              <w:rPr>
                <w:rFonts w:hint="eastAsia"/>
                <w:color w:val="auto"/>
                <w:sz w:val="24"/>
                <w:lang w:val="en-US" w:eastAsia="zh-CN"/>
              </w:rPr>
              <w:t>根据附件7淮安市淮阴区马头镇人民政府、淮安市自然资源和规划局淮阴分局出具的证明，项目所在地用地性质为工业用地，</w:t>
            </w:r>
            <w:r>
              <w:rPr>
                <w:color w:val="auto"/>
                <w:sz w:val="24"/>
              </w:rPr>
              <w:t>符合相关要求。</w:t>
            </w:r>
          </w:p>
          <w:p w14:paraId="4A562FA5">
            <w:pPr>
              <w:widowControl/>
              <w:adjustRightInd w:val="0"/>
              <w:snapToGrid w:val="0"/>
              <w:spacing w:line="360" w:lineRule="auto"/>
              <w:ind w:firstLine="482" w:firstLineChars="200"/>
              <w:jc w:val="left"/>
              <w:rPr>
                <w:rFonts w:hint="eastAsia" w:ascii="Times New Roman" w:hAnsi="Times New Roman" w:cs="Times New Roman"/>
                <w:b/>
                <w:bCs/>
                <w:color w:val="auto"/>
                <w:sz w:val="24"/>
              </w:rPr>
            </w:pPr>
            <w:r>
              <w:rPr>
                <w:rFonts w:hint="eastAsia" w:ascii="Times New Roman" w:hAnsi="Times New Roman" w:cs="Times New Roman"/>
                <w:b/>
                <w:bCs/>
                <w:color w:val="auto"/>
                <w:sz w:val="24"/>
              </w:rPr>
              <w:t>7、与相关生态环境保护法律法规政策、生态环境保护规划相符性分析</w:t>
            </w:r>
          </w:p>
          <w:p w14:paraId="676EAB6D">
            <w:pPr>
              <w:tabs>
                <w:tab w:val="left" w:pos="1095"/>
              </w:tabs>
              <w:spacing w:line="360" w:lineRule="auto"/>
              <w:ind w:firstLine="480" w:firstLineChars="200"/>
              <w:rPr>
                <w:rFonts w:ascii="Times New Roman" w:hAnsi="Times New Roman" w:cs="Times New Roman"/>
                <w:color w:val="auto"/>
                <w:sz w:val="24"/>
              </w:rPr>
            </w:pPr>
            <w:r>
              <w:rPr>
                <w:rFonts w:hint="eastAsia" w:ascii="Times New Roman" w:hAnsi="Times New Roman" w:cs="Times New Roman"/>
                <w:color w:val="auto"/>
                <w:sz w:val="24"/>
                <w:lang w:val="en-US" w:eastAsia="zh-CN"/>
              </w:rPr>
              <w:t>本</w:t>
            </w:r>
            <w:r>
              <w:rPr>
                <w:rFonts w:ascii="Times New Roman" w:hAnsi="Times New Roman" w:cs="Times New Roman"/>
                <w:color w:val="auto"/>
                <w:sz w:val="24"/>
              </w:rPr>
              <w:t>项目与相关生态环境保护法律法规政策、生态环境保护规划相符性分析见表1-</w:t>
            </w:r>
            <w:r>
              <w:rPr>
                <w:rFonts w:hint="eastAsia" w:ascii="Times New Roman" w:hAnsi="Times New Roman" w:cs="Times New Roman"/>
                <w:color w:val="auto"/>
                <w:sz w:val="24"/>
                <w:lang w:val="en-US" w:eastAsia="zh-CN"/>
              </w:rPr>
              <w:t>8</w:t>
            </w:r>
            <w:r>
              <w:rPr>
                <w:rFonts w:ascii="Times New Roman" w:hAnsi="Times New Roman" w:cs="Times New Roman"/>
                <w:color w:val="auto"/>
                <w:sz w:val="24"/>
              </w:rPr>
              <w:t>。</w:t>
            </w:r>
          </w:p>
          <w:p w14:paraId="17381F8E">
            <w:pPr>
              <w:widowControl/>
              <w:snapToGrid w:val="0"/>
              <w:jc w:val="center"/>
              <w:rPr>
                <w:rFonts w:hint="eastAsia" w:ascii="Times New Roman" w:hAnsi="Times New Roman" w:cs="Times New Roman"/>
                <w:b/>
                <w:color w:val="auto"/>
                <w:sz w:val="24"/>
                <w:lang w:val="zh-CN"/>
              </w:rPr>
            </w:pPr>
            <w:r>
              <w:rPr>
                <w:rFonts w:hint="eastAsia" w:ascii="Times New Roman" w:hAnsi="Times New Roman" w:cs="Times New Roman"/>
                <w:b/>
                <w:color w:val="auto"/>
                <w:sz w:val="24"/>
                <w:lang w:val="zh-CN"/>
              </w:rPr>
              <w:t xml:space="preserve">表1-8 </w:t>
            </w:r>
            <w:r>
              <w:rPr>
                <w:rFonts w:hint="eastAsia" w:ascii="Times New Roman" w:hAnsi="Times New Roman" w:cs="Times New Roman"/>
                <w:b/>
                <w:color w:val="auto"/>
                <w:sz w:val="24"/>
                <w:lang w:val="en-US" w:eastAsia="zh-CN"/>
              </w:rPr>
              <w:t>本</w:t>
            </w:r>
            <w:r>
              <w:rPr>
                <w:rFonts w:hint="eastAsia" w:ascii="Times New Roman" w:hAnsi="Times New Roman" w:cs="Times New Roman"/>
                <w:b/>
                <w:color w:val="auto"/>
                <w:sz w:val="24"/>
                <w:lang w:val="zh-CN"/>
              </w:rPr>
              <w:t>项目与相关生态环境保护法律法规政策、规划相符性分析</w:t>
            </w:r>
          </w:p>
          <w:tbl>
            <w:tblPr>
              <w:tblStyle w:val="88"/>
              <w:tblW w:w="5000" w:type="pct"/>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28" w:type="dxa"/>
                <w:bottom w:w="0" w:type="dxa"/>
                <w:right w:w="28" w:type="dxa"/>
              </w:tblCellMar>
            </w:tblPr>
            <w:tblGrid>
              <w:gridCol w:w="826"/>
              <w:gridCol w:w="565"/>
              <w:gridCol w:w="2989"/>
              <w:gridCol w:w="2068"/>
              <w:gridCol w:w="727"/>
            </w:tblGrid>
            <w:tr w14:paraId="17381F9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Align w:val="center"/>
                </w:tcPr>
                <w:p w14:paraId="4420713C">
                  <w:pPr>
                    <w:jc w:val="center"/>
                    <w:rPr>
                      <w:b/>
                      <w:color w:val="auto"/>
                      <w:szCs w:val="21"/>
                    </w:rPr>
                  </w:pPr>
                  <w:r>
                    <w:rPr>
                      <w:b/>
                      <w:color w:val="auto"/>
                      <w:szCs w:val="21"/>
                    </w:rPr>
                    <w:t>文件</w:t>
                  </w:r>
                </w:p>
                <w:p w14:paraId="17381F8F">
                  <w:pPr>
                    <w:jc w:val="center"/>
                    <w:rPr>
                      <w:b/>
                      <w:color w:val="auto"/>
                      <w:szCs w:val="21"/>
                    </w:rPr>
                  </w:pPr>
                  <w:r>
                    <w:rPr>
                      <w:b/>
                      <w:color w:val="auto"/>
                      <w:szCs w:val="21"/>
                    </w:rPr>
                    <w:t>名称</w:t>
                  </w:r>
                </w:p>
              </w:tc>
              <w:tc>
                <w:tcPr>
                  <w:tcW w:w="3554" w:type="dxa"/>
                  <w:gridSpan w:val="2"/>
                  <w:vAlign w:val="center"/>
                </w:tcPr>
                <w:p w14:paraId="17381F90">
                  <w:pPr>
                    <w:jc w:val="center"/>
                    <w:rPr>
                      <w:b/>
                      <w:color w:val="auto"/>
                      <w:szCs w:val="21"/>
                    </w:rPr>
                  </w:pPr>
                  <w:r>
                    <w:rPr>
                      <w:b/>
                      <w:color w:val="auto"/>
                      <w:szCs w:val="21"/>
                    </w:rPr>
                    <w:t>要求</w:t>
                  </w:r>
                </w:p>
              </w:tc>
              <w:tc>
                <w:tcPr>
                  <w:tcW w:w="2068" w:type="dxa"/>
                  <w:vAlign w:val="center"/>
                </w:tcPr>
                <w:p w14:paraId="17381F91">
                  <w:pPr>
                    <w:jc w:val="center"/>
                    <w:rPr>
                      <w:b/>
                      <w:color w:val="auto"/>
                      <w:szCs w:val="21"/>
                    </w:rPr>
                  </w:pPr>
                  <w:r>
                    <w:rPr>
                      <w:b/>
                      <w:color w:val="auto"/>
                      <w:szCs w:val="21"/>
                    </w:rPr>
                    <w:t>项目情况</w:t>
                  </w:r>
                </w:p>
              </w:tc>
              <w:tc>
                <w:tcPr>
                  <w:tcW w:w="727" w:type="dxa"/>
                  <w:vAlign w:val="center"/>
                </w:tcPr>
                <w:p w14:paraId="17381F92">
                  <w:pPr>
                    <w:jc w:val="center"/>
                    <w:rPr>
                      <w:b/>
                      <w:color w:val="auto"/>
                      <w:szCs w:val="21"/>
                    </w:rPr>
                  </w:pPr>
                  <w:r>
                    <w:rPr>
                      <w:b/>
                      <w:color w:val="auto"/>
                      <w:szCs w:val="21"/>
                    </w:rPr>
                    <w:t>相符性判定</w:t>
                  </w:r>
                </w:p>
              </w:tc>
            </w:tr>
            <w:tr w14:paraId="17381F9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vAlign w:val="center"/>
                </w:tcPr>
                <w:p w14:paraId="17381F94">
                  <w:pPr>
                    <w:jc w:val="center"/>
                    <w:rPr>
                      <w:color w:val="auto"/>
                      <w:szCs w:val="21"/>
                    </w:rPr>
                  </w:pPr>
                  <w:r>
                    <w:rPr>
                      <w:color w:val="auto"/>
                      <w:szCs w:val="21"/>
                    </w:rPr>
                    <w:t>推动长江经济带发展领导小组办公室关于印发《长江经济带发展负面清单指南(试行，2022年版)》的通知（长江办[2022]7号）</w:t>
                  </w:r>
                </w:p>
              </w:tc>
              <w:tc>
                <w:tcPr>
                  <w:tcW w:w="3554" w:type="dxa"/>
                  <w:gridSpan w:val="2"/>
                  <w:vAlign w:val="center"/>
                </w:tcPr>
                <w:p w14:paraId="17381F95">
                  <w:pPr>
                    <w:adjustRightInd w:val="0"/>
                    <w:snapToGrid w:val="0"/>
                    <w:jc w:val="both"/>
                    <w:rPr>
                      <w:color w:val="auto"/>
                      <w:szCs w:val="21"/>
                    </w:rPr>
                  </w:pPr>
                  <w:r>
                    <w:rPr>
                      <w:color w:val="auto"/>
                      <w:szCs w:val="21"/>
                    </w:rPr>
                    <w:t>1.禁止建设不符合全国和省级港口布局规划以及港口总体规划的</w:t>
                  </w:r>
                  <w:r>
                    <w:rPr>
                      <w:rFonts w:hint="eastAsia"/>
                      <w:color w:val="auto"/>
                      <w:szCs w:val="21"/>
                      <w:lang w:val="en-US" w:eastAsia="zh-CN"/>
                    </w:rPr>
                    <w:t>码头</w:t>
                  </w:r>
                  <w:r>
                    <w:rPr>
                      <w:color w:val="auto"/>
                      <w:szCs w:val="21"/>
                    </w:rPr>
                    <w:t>项目，禁止建设不符合《长江干线过江通道布局规划》的过长江通道项目。</w:t>
                  </w:r>
                </w:p>
              </w:tc>
              <w:tc>
                <w:tcPr>
                  <w:tcW w:w="2068" w:type="dxa"/>
                  <w:vAlign w:val="center"/>
                </w:tcPr>
                <w:p w14:paraId="17381F96">
                  <w:pPr>
                    <w:adjustRightInd w:val="0"/>
                    <w:snapToGrid w:val="0"/>
                    <w:jc w:val="both"/>
                    <w:rPr>
                      <w:color w:val="auto"/>
                      <w:szCs w:val="21"/>
                    </w:rPr>
                  </w:pPr>
                  <w:r>
                    <w:rPr>
                      <w:rFonts w:hint="eastAsia"/>
                      <w:color w:val="auto"/>
                      <w:szCs w:val="21"/>
                    </w:rPr>
                    <w:t>本</w:t>
                  </w:r>
                  <w:r>
                    <w:rPr>
                      <w:color w:val="auto"/>
                      <w:szCs w:val="21"/>
                    </w:rPr>
                    <w:t>项目为</w:t>
                  </w:r>
                  <w:r>
                    <w:rPr>
                      <w:rFonts w:hint="eastAsia"/>
                      <w:color w:val="auto"/>
                      <w:szCs w:val="21"/>
                    </w:rPr>
                    <w:t>五金工具加工项目</w:t>
                  </w:r>
                  <w:r>
                    <w:rPr>
                      <w:color w:val="auto"/>
                      <w:szCs w:val="21"/>
                    </w:rPr>
                    <w:t>，不涉及</w:t>
                  </w:r>
                  <w:r>
                    <w:rPr>
                      <w:rFonts w:hint="eastAsia"/>
                      <w:color w:val="auto"/>
                      <w:szCs w:val="21"/>
                      <w:lang w:val="en-US" w:eastAsia="zh-CN"/>
                    </w:rPr>
                    <w:t>码头</w:t>
                  </w:r>
                  <w:r>
                    <w:rPr>
                      <w:color w:val="auto"/>
                      <w:szCs w:val="21"/>
                    </w:rPr>
                    <w:t>建设。</w:t>
                  </w:r>
                </w:p>
              </w:tc>
              <w:tc>
                <w:tcPr>
                  <w:tcW w:w="727" w:type="dxa"/>
                  <w:vMerge w:val="restart"/>
                  <w:vAlign w:val="center"/>
                </w:tcPr>
                <w:p w14:paraId="17381F97">
                  <w:pPr>
                    <w:jc w:val="center"/>
                    <w:rPr>
                      <w:color w:val="auto"/>
                      <w:szCs w:val="21"/>
                    </w:rPr>
                  </w:pPr>
                  <w:r>
                    <w:rPr>
                      <w:color w:val="auto"/>
                      <w:szCs w:val="21"/>
                    </w:rPr>
                    <w:t>符合</w:t>
                  </w:r>
                </w:p>
              </w:tc>
            </w:tr>
            <w:tr w14:paraId="17381F9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99">
                  <w:pPr>
                    <w:jc w:val="center"/>
                    <w:rPr>
                      <w:color w:val="auto"/>
                      <w:szCs w:val="21"/>
                    </w:rPr>
                  </w:pPr>
                </w:p>
              </w:tc>
              <w:tc>
                <w:tcPr>
                  <w:tcW w:w="3554" w:type="dxa"/>
                  <w:gridSpan w:val="2"/>
                  <w:vAlign w:val="center"/>
                </w:tcPr>
                <w:p w14:paraId="17381F9A">
                  <w:pPr>
                    <w:adjustRightInd w:val="0"/>
                    <w:snapToGrid w:val="0"/>
                    <w:jc w:val="both"/>
                    <w:rPr>
                      <w:color w:val="auto"/>
                      <w:szCs w:val="21"/>
                    </w:rPr>
                  </w:pPr>
                  <w:r>
                    <w:rPr>
                      <w:color w:val="auto"/>
                      <w:szCs w:val="21"/>
                    </w:rPr>
                    <w:t>2.禁止在自然保护区核心区、缓冲区的岸线和河段范围内投资建设旅游和生产经营项目。禁止在风景名胜区核心景区的岸线和河段范围内投资建设与风景名胜资源保护无关的项目。</w:t>
                  </w:r>
                </w:p>
              </w:tc>
              <w:tc>
                <w:tcPr>
                  <w:tcW w:w="2068" w:type="dxa"/>
                  <w:vMerge w:val="restart"/>
                  <w:vAlign w:val="center"/>
                </w:tcPr>
                <w:p w14:paraId="17381F9B">
                  <w:pPr>
                    <w:adjustRightInd w:val="0"/>
                    <w:snapToGrid w:val="0"/>
                    <w:jc w:val="both"/>
                    <w:rPr>
                      <w:color w:val="auto"/>
                      <w:szCs w:val="21"/>
                    </w:rPr>
                  </w:pPr>
                  <w:r>
                    <w:rPr>
                      <w:rFonts w:hint="eastAsia"/>
                      <w:color w:val="auto"/>
                      <w:szCs w:val="21"/>
                      <w:lang w:val="en-US" w:eastAsia="zh-CN"/>
                    </w:rPr>
                    <w:t>本项目</w:t>
                  </w:r>
                  <w:r>
                    <w:rPr>
                      <w:color w:val="auto"/>
                      <w:szCs w:val="21"/>
                    </w:rPr>
                    <w:t>不在自然保护区核心区、缓冲区、风景名胜区、饮用水源保护区、水产种质资源保护区、国家湿地公园、水产种质资源保护区内。</w:t>
                  </w:r>
                </w:p>
              </w:tc>
              <w:tc>
                <w:tcPr>
                  <w:tcW w:w="727" w:type="dxa"/>
                  <w:vMerge w:val="continue"/>
                  <w:vAlign w:val="center"/>
                </w:tcPr>
                <w:p w14:paraId="17381F9C">
                  <w:pPr>
                    <w:jc w:val="center"/>
                    <w:rPr>
                      <w:color w:val="auto"/>
                      <w:szCs w:val="21"/>
                    </w:rPr>
                  </w:pPr>
                </w:p>
              </w:tc>
            </w:tr>
            <w:tr w14:paraId="17381FA2">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9E">
                  <w:pPr>
                    <w:jc w:val="center"/>
                    <w:rPr>
                      <w:color w:val="auto"/>
                      <w:szCs w:val="21"/>
                    </w:rPr>
                  </w:pPr>
                </w:p>
              </w:tc>
              <w:tc>
                <w:tcPr>
                  <w:tcW w:w="3554" w:type="dxa"/>
                  <w:gridSpan w:val="2"/>
                  <w:vAlign w:val="center"/>
                </w:tcPr>
                <w:p w14:paraId="17381F9F">
                  <w:pPr>
                    <w:adjustRightInd w:val="0"/>
                    <w:snapToGrid w:val="0"/>
                    <w:jc w:val="both"/>
                    <w:rPr>
                      <w:b/>
                      <w:bCs/>
                      <w:color w:val="auto"/>
                      <w:szCs w:val="21"/>
                    </w:rPr>
                  </w:pPr>
                  <w:r>
                    <w:rPr>
                      <w:color w:val="auto"/>
                      <w:szCs w:val="21"/>
                    </w:rPr>
                    <w:t>3.禁止在饮用水水源一级保护区的岸线和河段范围内新建、改建、扩建与供水设施和保护水源无关的项目，以及网箱养殖、畜禽养殖、旅游等可能污染饮用水水体的投资建设项目。禁止在饮用水水源二级保护区的岸线和河段范围内新建、改建、扩建排放污染物的投资建设项目。</w:t>
                  </w:r>
                </w:p>
              </w:tc>
              <w:tc>
                <w:tcPr>
                  <w:tcW w:w="2068" w:type="dxa"/>
                  <w:vMerge w:val="continue"/>
                  <w:vAlign w:val="center"/>
                </w:tcPr>
                <w:p w14:paraId="17381FA0">
                  <w:pPr>
                    <w:jc w:val="both"/>
                    <w:rPr>
                      <w:color w:val="auto"/>
                      <w:szCs w:val="21"/>
                    </w:rPr>
                  </w:pPr>
                </w:p>
              </w:tc>
              <w:tc>
                <w:tcPr>
                  <w:tcW w:w="727" w:type="dxa"/>
                  <w:vMerge w:val="continue"/>
                  <w:vAlign w:val="center"/>
                </w:tcPr>
                <w:p w14:paraId="17381FA1">
                  <w:pPr>
                    <w:jc w:val="center"/>
                    <w:rPr>
                      <w:color w:val="auto"/>
                      <w:szCs w:val="21"/>
                    </w:rPr>
                  </w:pPr>
                </w:p>
              </w:tc>
            </w:tr>
            <w:tr w14:paraId="17381FA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A3">
                  <w:pPr>
                    <w:jc w:val="center"/>
                    <w:rPr>
                      <w:color w:val="auto"/>
                      <w:szCs w:val="21"/>
                    </w:rPr>
                  </w:pPr>
                </w:p>
              </w:tc>
              <w:tc>
                <w:tcPr>
                  <w:tcW w:w="3554" w:type="dxa"/>
                  <w:gridSpan w:val="2"/>
                  <w:vAlign w:val="center"/>
                </w:tcPr>
                <w:p w14:paraId="17381FA4">
                  <w:pPr>
                    <w:adjustRightInd w:val="0"/>
                    <w:snapToGrid w:val="0"/>
                    <w:jc w:val="both"/>
                    <w:rPr>
                      <w:color w:val="auto"/>
                      <w:szCs w:val="21"/>
                    </w:rPr>
                  </w:pPr>
                  <w:r>
                    <w:rPr>
                      <w:color w:val="auto"/>
                      <w:szCs w:val="21"/>
                    </w:rPr>
                    <w:t>4.禁止在水产种质资源保护区的岸线和河段范围内新建围湖造田、围海造地或围填海等投资建设项目。禁止在国家湿地公园的岸线和河段范围内挖沙、采矿，以及任何不符合主体功能定位的投资建设项目。</w:t>
                  </w:r>
                </w:p>
              </w:tc>
              <w:tc>
                <w:tcPr>
                  <w:tcW w:w="2068" w:type="dxa"/>
                  <w:vMerge w:val="continue"/>
                  <w:vAlign w:val="center"/>
                </w:tcPr>
                <w:p w14:paraId="17381FA5">
                  <w:pPr>
                    <w:jc w:val="both"/>
                    <w:rPr>
                      <w:color w:val="auto"/>
                      <w:szCs w:val="21"/>
                    </w:rPr>
                  </w:pPr>
                </w:p>
              </w:tc>
              <w:tc>
                <w:tcPr>
                  <w:tcW w:w="727" w:type="dxa"/>
                  <w:vMerge w:val="continue"/>
                  <w:vAlign w:val="center"/>
                </w:tcPr>
                <w:p w14:paraId="17381FA6">
                  <w:pPr>
                    <w:jc w:val="center"/>
                    <w:rPr>
                      <w:color w:val="auto"/>
                      <w:szCs w:val="21"/>
                    </w:rPr>
                  </w:pPr>
                </w:p>
              </w:tc>
            </w:tr>
            <w:tr w14:paraId="17381FA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A8">
                  <w:pPr>
                    <w:jc w:val="center"/>
                    <w:rPr>
                      <w:color w:val="auto"/>
                      <w:szCs w:val="21"/>
                    </w:rPr>
                  </w:pPr>
                </w:p>
              </w:tc>
              <w:tc>
                <w:tcPr>
                  <w:tcW w:w="3554" w:type="dxa"/>
                  <w:gridSpan w:val="2"/>
                  <w:vAlign w:val="center"/>
                </w:tcPr>
                <w:p w14:paraId="17381FA9">
                  <w:pPr>
                    <w:adjustRightInd w:val="0"/>
                    <w:snapToGrid w:val="0"/>
                    <w:jc w:val="both"/>
                    <w:rPr>
                      <w:color w:val="auto"/>
                      <w:szCs w:val="21"/>
                    </w:rPr>
                  </w:pPr>
                  <w:r>
                    <w:rPr>
                      <w:color w:val="auto"/>
                      <w:szCs w:val="21"/>
                    </w:rPr>
                    <w:t>5.禁止违法利用、占用长江流</w:t>
                  </w:r>
                  <w:r>
                    <w:rPr>
                      <w:rFonts w:hint="eastAsia"/>
                      <w:color w:val="auto"/>
                      <w:szCs w:val="21"/>
                    </w:rPr>
                    <w:t>域</w:t>
                  </w:r>
                  <w:r>
                    <w:rPr>
                      <w:color w:val="auto"/>
                      <w:szCs w:val="21"/>
                    </w:rPr>
                    <w:t>河湖岸线。禁止在《长江岸线保护和开发利用总体规划》划定的岸线保护区和保留区内投资建设除事关公共安全及公众利益的防洪护岸、河道治理、供水、生态环境保护、航道整治、国家重要基础设施以外的项目。禁止在《全国重要江河湖泊水功能区划》划定的河段及湖泊保护区、保留区内投资建设不利于水资源及自然生态保护的项目。</w:t>
                  </w:r>
                </w:p>
              </w:tc>
              <w:tc>
                <w:tcPr>
                  <w:tcW w:w="2068" w:type="dxa"/>
                  <w:vAlign w:val="center"/>
                </w:tcPr>
                <w:p w14:paraId="17381FAA">
                  <w:pPr>
                    <w:adjustRightInd w:val="0"/>
                    <w:snapToGrid w:val="0"/>
                    <w:jc w:val="both"/>
                    <w:rPr>
                      <w:color w:val="auto"/>
                      <w:szCs w:val="21"/>
                    </w:rPr>
                  </w:pPr>
                  <w:r>
                    <w:rPr>
                      <w:rFonts w:hint="eastAsia"/>
                      <w:color w:val="auto"/>
                      <w:szCs w:val="21"/>
                      <w:lang w:val="en-US" w:eastAsia="zh-CN"/>
                    </w:rPr>
                    <w:t>本项目</w:t>
                  </w:r>
                  <w:r>
                    <w:rPr>
                      <w:rFonts w:hint="eastAsia"/>
                      <w:color w:val="auto"/>
                      <w:szCs w:val="21"/>
                    </w:rPr>
                    <w:t>不在长江流域河湖岸线范围内</w:t>
                  </w:r>
                  <w:r>
                    <w:rPr>
                      <w:color w:val="auto"/>
                      <w:szCs w:val="21"/>
                    </w:rPr>
                    <w:t>。</w:t>
                  </w:r>
                </w:p>
              </w:tc>
              <w:tc>
                <w:tcPr>
                  <w:tcW w:w="727" w:type="dxa"/>
                  <w:vMerge w:val="continue"/>
                  <w:vAlign w:val="center"/>
                </w:tcPr>
                <w:p w14:paraId="17381FAB">
                  <w:pPr>
                    <w:jc w:val="center"/>
                    <w:rPr>
                      <w:color w:val="auto"/>
                      <w:szCs w:val="21"/>
                    </w:rPr>
                  </w:pPr>
                </w:p>
              </w:tc>
            </w:tr>
            <w:tr w14:paraId="17381FB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AD">
                  <w:pPr>
                    <w:jc w:val="center"/>
                    <w:rPr>
                      <w:color w:val="auto"/>
                      <w:szCs w:val="21"/>
                    </w:rPr>
                  </w:pPr>
                </w:p>
              </w:tc>
              <w:tc>
                <w:tcPr>
                  <w:tcW w:w="3554" w:type="dxa"/>
                  <w:gridSpan w:val="2"/>
                  <w:vAlign w:val="center"/>
                </w:tcPr>
                <w:p w14:paraId="17381FAE">
                  <w:pPr>
                    <w:adjustRightInd w:val="0"/>
                    <w:snapToGrid w:val="0"/>
                    <w:jc w:val="both"/>
                    <w:rPr>
                      <w:color w:val="auto"/>
                      <w:szCs w:val="21"/>
                    </w:rPr>
                  </w:pPr>
                  <w:r>
                    <w:rPr>
                      <w:color w:val="auto"/>
                      <w:szCs w:val="21"/>
                    </w:rPr>
                    <w:t>6.禁止未经许可在长江干支流及湖泊新设、改设或扩大排污口。</w:t>
                  </w:r>
                </w:p>
              </w:tc>
              <w:tc>
                <w:tcPr>
                  <w:tcW w:w="2068" w:type="dxa"/>
                  <w:vMerge w:val="restart"/>
                  <w:vAlign w:val="center"/>
                </w:tcPr>
                <w:p w14:paraId="17381FAF">
                  <w:pPr>
                    <w:adjustRightInd w:val="0"/>
                    <w:snapToGrid w:val="0"/>
                    <w:jc w:val="both"/>
                    <w:rPr>
                      <w:color w:val="auto"/>
                      <w:szCs w:val="21"/>
                    </w:rPr>
                  </w:pPr>
                  <w:r>
                    <w:rPr>
                      <w:rFonts w:hint="eastAsia"/>
                      <w:color w:val="auto"/>
                      <w:szCs w:val="21"/>
                      <w:lang w:val="en-US" w:eastAsia="zh-CN"/>
                    </w:rPr>
                    <w:t>本</w:t>
                  </w:r>
                  <w:r>
                    <w:rPr>
                      <w:color w:val="auto"/>
                      <w:szCs w:val="21"/>
                    </w:rPr>
                    <w:t>项目不在长江干支流、重要湖泊岸线一公里范围内，且不涉及化工园区和化工项目，不涉及尾矿库、冶炼渣库和磷石膏库。</w:t>
                  </w:r>
                </w:p>
              </w:tc>
              <w:tc>
                <w:tcPr>
                  <w:tcW w:w="727" w:type="dxa"/>
                  <w:vMerge w:val="continue"/>
                  <w:vAlign w:val="center"/>
                </w:tcPr>
                <w:p w14:paraId="17381FB0">
                  <w:pPr>
                    <w:jc w:val="center"/>
                    <w:rPr>
                      <w:color w:val="auto"/>
                      <w:szCs w:val="21"/>
                    </w:rPr>
                  </w:pPr>
                </w:p>
              </w:tc>
            </w:tr>
            <w:tr w14:paraId="17381FB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B2">
                  <w:pPr>
                    <w:jc w:val="center"/>
                    <w:rPr>
                      <w:color w:val="auto"/>
                      <w:szCs w:val="21"/>
                    </w:rPr>
                  </w:pPr>
                </w:p>
              </w:tc>
              <w:tc>
                <w:tcPr>
                  <w:tcW w:w="3554" w:type="dxa"/>
                  <w:gridSpan w:val="2"/>
                  <w:vAlign w:val="center"/>
                </w:tcPr>
                <w:p w14:paraId="17381FB3">
                  <w:pPr>
                    <w:adjustRightInd w:val="0"/>
                    <w:snapToGrid w:val="0"/>
                    <w:jc w:val="both"/>
                    <w:rPr>
                      <w:color w:val="auto"/>
                      <w:szCs w:val="21"/>
                    </w:rPr>
                  </w:pPr>
                  <w:r>
                    <w:rPr>
                      <w:color w:val="auto"/>
                      <w:szCs w:val="21"/>
                    </w:rPr>
                    <w:t>7.禁止在</w:t>
                  </w:r>
                  <w:r>
                    <w:rPr>
                      <w:rFonts w:hint="eastAsia"/>
                      <w:color w:val="auto"/>
                      <w:szCs w:val="21"/>
                    </w:rPr>
                    <w:t>“</w:t>
                  </w:r>
                  <w:r>
                    <w:rPr>
                      <w:color w:val="auto"/>
                      <w:szCs w:val="21"/>
                    </w:rPr>
                    <w:t>一江一口两湖七河</w:t>
                  </w:r>
                  <w:r>
                    <w:rPr>
                      <w:rFonts w:hint="eastAsia"/>
                      <w:color w:val="auto"/>
                      <w:szCs w:val="21"/>
                    </w:rPr>
                    <w:t>”</w:t>
                  </w:r>
                  <w:r>
                    <w:rPr>
                      <w:color w:val="auto"/>
                      <w:szCs w:val="21"/>
                    </w:rPr>
                    <w:t>和332个水生生物保护区开展生产性捕捞。</w:t>
                  </w:r>
                </w:p>
              </w:tc>
              <w:tc>
                <w:tcPr>
                  <w:tcW w:w="2068" w:type="dxa"/>
                  <w:vMerge w:val="continue"/>
                  <w:vAlign w:val="center"/>
                </w:tcPr>
                <w:p w14:paraId="17381FB4">
                  <w:pPr>
                    <w:jc w:val="both"/>
                    <w:rPr>
                      <w:color w:val="auto"/>
                      <w:szCs w:val="21"/>
                    </w:rPr>
                  </w:pPr>
                </w:p>
              </w:tc>
              <w:tc>
                <w:tcPr>
                  <w:tcW w:w="727" w:type="dxa"/>
                  <w:vMerge w:val="continue"/>
                  <w:vAlign w:val="center"/>
                </w:tcPr>
                <w:p w14:paraId="17381FB5">
                  <w:pPr>
                    <w:jc w:val="center"/>
                    <w:rPr>
                      <w:color w:val="auto"/>
                      <w:szCs w:val="21"/>
                    </w:rPr>
                  </w:pPr>
                </w:p>
              </w:tc>
            </w:tr>
            <w:tr w14:paraId="17381FB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PrEx>
              <w:trPr>
                <w:trHeight w:val="340" w:hRule="atLeast"/>
                <w:jc w:val="center"/>
              </w:trPr>
              <w:tc>
                <w:tcPr>
                  <w:tcW w:w="826" w:type="dxa"/>
                  <w:vMerge w:val="continue"/>
                  <w:vAlign w:val="center"/>
                </w:tcPr>
                <w:p w14:paraId="17381FB7">
                  <w:pPr>
                    <w:jc w:val="center"/>
                    <w:rPr>
                      <w:color w:val="auto"/>
                      <w:szCs w:val="21"/>
                    </w:rPr>
                  </w:pPr>
                </w:p>
              </w:tc>
              <w:tc>
                <w:tcPr>
                  <w:tcW w:w="3554" w:type="dxa"/>
                  <w:gridSpan w:val="2"/>
                  <w:vAlign w:val="center"/>
                </w:tcPr>
                <w:p w14:paraId="17381FB8">
                  <w:pPr>
                    <w:adjustRightInd w:val="0"/>
                    <w:snapToGrid w:val="0"/>
                    <w:jc w:val="both"/>
                    <w:rPr>
                      <w:color w:val="auto"/>
                      <w:szCs w:val="21"/>
                    </w:rPr>
                  </w:pPr>
                  <w:r>
                    <w:rPr>
                      <w:color w:val="auto"/>
                      <w:szCs w:val="21"/>
                    </w:rPr>
                    <w:t>8.禁止在长江干支流、重要湖泊岸线一公里范围内新建、扩建化工园区和化工项目。禁止在长江干流岸线三公里范围内和重要支流岸线一公里范围内新建、改建、扩建尾矿库、冶炼渣库和磷石膏库，以提升安全、生态环境保护水平为目的的改建除外。</w:t>
                  </w:r>
                </w:p>
              </w:tc>
              <w:tc>
                <w:tcPr>
                  <w:tcW w:w="2068" w:type="dxa"/>
                  <w:vMerge w:val="continue"/>
                  <w:vAlign w:val="center"/>
                </w:tcPr>
                <w:p w14:paraId="17381FB9">
                  <w:pPr>
                    <w:jc w:val="both"/>
                    <w:rPr>
                      <w:color w:val="auto"/>
                      <w:szCs w:val="21"/>
                    </w:rPr>
                  </w:pPr>
                </w:p>
              </w:tc>
              <w:tc>
                <w:tcPr>
                  <w:tcW w:w="727" w:type="dxa"/>
                  <w:vMerge w:val="continue"/>
                  <w:vAlign w:val="center"/>
                </w:tcPr>
                <w:p w14:paraId="17381FBA">
                  <w:pPr>
                    <w:jc w:val="center"/>
                    <w:rPr>
                      <w:color w:val="auto"/>
                      <w:szCs w:val="21"/>
                    </w:rPr>
                  </w:pPr>
                </w:p>
              </w:tc>
            </w:tr>
            <w:tr w14:paraId="17381FC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BC">
                  <w:pPr>
                    <w:jc w:val="center"/>
                    <w:rPr>
                      <w:color w:val="auto"/>
                      <w:szCs w:val="21"/>
                    </w:rPr>
                  </w:pPr>
                </w:p>
              </w:tc>
              <w:tc>
                <w:tcPr>
                  <w:tcW w:w="3554" w:type="dxa"/>
                  <w:gridSpan w:val="2"/>
                  <w:vAlign w:val="center"/>
                </w:tcPr>
                <w:p w14:paraId="17381FBD">
                  <w:pPr>
                    <w:adjustRightInd w:val="0"/>
                    <w:snapToGrid w:val="0"/>
                    <w:jc w:val="both"/>
                    <w:rPr>
                      <w:color w:val="auto"/>
                      <w:szCs w:val="21"/>
                    </w:rPr>
                  </w:pPr>
                  <w:r>
                    <w:rPr>
                      <w:color w:val="auto"/>
                      <w:szCs w:val="21"/>
                    </w:rPr>
                    <w:t>9.禁止在合规园区外新建、扩建钢铁、石化、化工、焦化、建材、有色、制浆造纸等高污染项目。</w:t>
                  </w:r>
                </w:p>
              </w:tc>
              <w:tc>
                <w:tcPr>
                  <w:tcW w:w="2068" w:type="dxa"/>
                  <w:vAlign w:val="center"/>
                </w:tcPr>
                <w:p w14:paraId="17381FBE">
                  <w:pPr>
                    <w:adjustRightInd w:val="0"/>
                    <w:snapToGrid w:val="0"/>
                    <w:jc w:val="both"/>
                    <w:rPr>
                      <w:color w:val="auto"/>
                      <w:szCs w:val="21"/>
                    </w:rPr>
                  </w:pPr>
                  <w:r>
                    <w:rPr>
                      <w:rFonts w:hint="eastAsia"/>
                      <w:color w:val="auto"/>
                      <w:szCs w:val="21"/>
                      <w:lang w:val="en-US" w:eastAsia="zh-CN"/>
                    </w:rPr>
                    <w:t>本</w:t>
                  </w:r>
                  <w:r>
                    <w:rPr>
                      <w:color w:val="auto"/>
                      <w:szCs w:val="21"/>
                    </w:rPr>
                    <w:t>项目位于</w:t>
                  </w:r>
                  <w:r>
                    <w:rPr>
                      <w:rFonts w:hint="eastAsia"/>
                      <w:color w:val="auto"/>
                      <w:szCs w:val="21"/>
                    </w:rPr>
                    <w:t>淮安市淮阴区马头镇东港路一号</w:t>
                  </w:r>
                  <w:r>
                    <w:rPr>
                      <w:rFonts w:hint="eastAsia"/>
                      <w:color w:val="auto"/>
                      <w:szCs w:val="21"/>
                      <w:lang w:eastAsia="zh-CN"/>
                    </w:rPr>
                    <w:t>，</w:t>
                  </w:r>
                  <w:r>
                    <w:rPr>
                      <w:rFonts w:hint="eastAsia"/>
                      <w:color w:val="auto"/>
                      <w:szCs w:val="21"/>
                      <w:lang w:val="en-US" w:eastAsia="zh-CN"/>
                    </w:rPr>
                    <w:t>根据附件6淮安市淮阴区马头镇人民政府出具的证明（关于淮安市鸣锋工具有限公司五金工具加工项目的情况说明），项目所在地属于马头镇原工业集中区，后续将纳入马头镇张庄镇村工业集中区，</w:t>
                  </w:r>
                  <w:r>
                    <w:rPr>
                      <w:color w:val="auto"/>
                      <w:szCs w:val="21"/>
                    </w:rPr>
                    <w:t>且不属于</w:t>
                  </w:r>
                  <w:r>
                    <w:rPr>
                      <w:rFonts w:hint="eastAsia"/>
                      <w:color w:val="auto"/>
                      <w:szCs w:val="21"/>
                    </w:rPr>
                    <w:t>上述</w:t>
                  </w:r>
                  <w:r>
                    <w:rPr>
                      <w:color w:val="auto"/>
                      <w:szCs w:val="21"/>
                    </w:rPr>
                    <w:t>高污染项目。</w:t>
                  </w:r>
                </w:p>
              </w:tc>
              <w:tc>
                <w:tcPr>
                  <w:tcW w:w="727" w:type="dxa"/>
                  <w:vMerge w:val="continue"/>
                  <w:vAlign w:val="center"/>
                </w:tcPr>
                <w:p w14:paraId="17381FBF">
                  <w:pPr>
                    <w:jc w:val="center"/>
                    <w:rPr>
                      <w:color w:val="auto"/>
                      <w:szCs w:val="21"/>
                    </w:rPr>
                  </w:pPr>
                </w:p>
              </w:tc>
            </w:tr>
            <w:tr w14:paraId="17381FC5">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C1">
                  <w:pPr>
                    <w:jc w:val="center"/>
                    <w:rPr>
                      <w:color w:val="auto"/>
                      <w:szCs w:val="21"/>
                    </w:rPr>
                  </w:pPr>
                </w:p>
              </w:tc>
              <w:tc>
                <w:tcPr>
                  <w:tcW w:w="3554" w:type="dxa"/>
                  <w:gridSpan w:val="2"/>
                  <w:vAlign w:val="center"/>
                </w:tcPr>
                <w:p w14:paraId="17381FC2">
                  <w:pPr>
                    <w:adjustRightInd w:val="0"/>
                    <w:snapToGrid w:val="0"/>
                    <w:jc w:val="both"/>
                    <w:rPr>
                      <w:color w:val="auto"/>
                      <w:szCs w:val="21"/>
                    </w:rPr>
                  </w:pPr>
                  <w:r>
                    <w:rPr>
                      <w:color w:val="auto"/>
                      <w:szCs w:val="21"/>
                    </w:rPr>
                    <w:t>10.禁止新建、扩建不符合国家石化、现代煤化工等产业布局规划的项目。</w:t>
                  </w:r>
                </w:p>
              </w:tc>
              <w:tc>
                <w:tcPr>
                  <w:tcW w:w="2068" w:type="dxa"/>
                  <w:vAlign w:val="center"/>
                </w:tcPr>
                <w:p w14:paraId="17381FC3">
                  <w:pPr>
                    <w:adjustRightInd w:val="0"/>
                    <w:snapToGrid w:val="0"/>
                    <w:jc w:val="both"/>
                    <w:rPr>
                      <w:color w:val="auto"/>
                      <w:szCs w:val="21"/>
                    </w:rPr>
                  </w:pPr>
                  <w:r>
                    <w:rPr>
                      <w:color w:val="auto"/>
                      <w:szCs w:val="21"/>
                    </w:rPr>
                    <w:t>本项目不属于国家石化、现代煤化工等产业。</w:t>
                  </w:r>
                </w:p>
              </w:tc>
              <w:tc>
                <w:tcPr>
                  <w:tcW w:w="727" w:type="dxa"/>
                  <w:vMerge w:val="continue"/>
                  <w:vAlign w:val="center"/>
                </w:tcPr>
                <w:p w14:paraId="17381FC4">
                  <w:pPr>
                    <w:jc w:val="center"/>
                    <w:rPr>
                      <w:color w:val="auto"/>
                      <w:szCs w:val="21"/>
                    </w:rPr>
                  </w:pPr>
                </w:p>
              </w:tc>
            </w:tr>
            <w:tr w14:paraId="17381FCA">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C6">
                  <w:pPr>
                    <w:jc w:val="center"/>
                    <w:rPr>
                      <w:color w:val="auto"/>
                      <w:szCs w:val="21"/>
                    </w:rPr>
                  </w:pPr>
                </w:p>
              </w:tc>
              <w:tc>
                <w:tcPr>
                  <w:tcW w:w="3554" w:type="dxa"/>
                  <w:gridSpan w:val="2"/>
                  <w:vAlign w:val="center"/>
                </w:tcPr>
                <w:p w14:paraId="17381FC7">
                  <w:pPr>
                    <w:adjustRightInd w:val="0"/>
                    <w:snapToGrid w:val="0"/>
                    <w:jc w:val="both"/>
                    <w:rPr>
                      <w:color w:val="auto"/>
                      <w:szCs w:val="21"/>
                    </w:rPr>
                  </w:pPr>
                  <w:r>
                    <w:rPr>
                      <w:color w:val="auto"/>
                      <w:szCs w:val="21"/>
                    </w:rPr>
                    <w:t>I1.禁止新建、扩建法律法规和相关政策明令禁止的落后产能项目。禁止新建、扩建不符合国家产能置换要求的严重过剩产能行业的项目。禁止新建、扩建不符合要求的高耗能高排放项目。</w:t>
                  </w:r>
                </w:p>
              </w:tc>
              <w:tc>
                <w:tcPr>
                  <w:tcW w:w="2068" w:type="dxa"/>
                  <w:vAlign w:val="center"/>
                </w:tcPr>
                <w:p w14:paraId="17381FC8">
                  <w:pPr>
                    <w:adjustRightInd w:val="0"/>
                    <w:snapToGrid w:val="0"/>
                    <w:jc w:val="both"/>
                    <w:rPr>
                      <w:color w:val="auto"/>
                      <w:szCs w:val="21"/>
                    </w:rPr>
                  </w:pPr>
                  <w:r>
                    <w:rPr>
                      <w:color w:val="auto"/>
                      <w:szCs w:val="21"/>
                    </w:rPr>
                    <w:t>本项目不属于落后产能项目，不涉及产能置换行业，不属于高耗能高排放项目</w:t>
                  </w:r>
                  <w:r>
                    <w:rPr>
                      <w:rFonts w:hint="eastAsia"/>
                      <w:color w:val="auto"/>
                      <w:szCs w:val="21"/>
                    </w:rPr>
                    <w:t>。</w:t>
                  </w:r>
                </w:p>
              </w:tc>
              <w:tc>
                <w:tcPr>
                  <w:tcW w:w="727" w:type="dxa"/>
                  <w:vMerge w:val="continue"/>
                  <w:vAlign w:val="center"/>
                </w:tcPr>
                <w:p w14:paraId="17381FC9">
                  <w:pPr>
                    <w:jc w:val="center"/>
                    <w:rPr>
                      <w:color w:val="auto"/>
                      <w:szCs w:val="21"/>
                    </w:rPr>
                  </w:pPr>
                </w:p>
              </w:tc>
            </w:tr>
            <w:tr w14:paraId="17381FC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PrEx>
              <w:trPr>
                <w:trHeight w:val="340" w:hRule="atLeast"/>
                <w:jc w:val="center"/>
              </w:trPr>
              <w:tc>
                <w:tcPr>
                  <w:tcW w:w="826" w:type="dxa"/>
                  <w:vMerge w:val="continue"/>
                  <w:vAlign w:val="center"/>
                </w:tcPr>
                <w:p w14:paraId="17381FCB">
                  <w:pPr>
                    <w:jc w:val="center"/>
                    <w:rPr>
                      <w:color w:val="auto"/>
                      <w:szCs w:val="21"/>
                    </w:rPr>
                  </w:pPr>
                </w:p>
              </w:tc>
              <w:tc>
                <w:tcPr>
                  <w:tcW w:w="3554" w:type="dxa"/>
                  <w:gridSpan w:val="2"/>
                  <w:vAlign w:val="center"/>
                </w:tcPr>
                <w:p w14:paraId="17381FCC">
                  <w:pPr>
                    <w:adjustRightInd w:val="0"/>
                    <w:snapToGrid w:val="0"/>
                    <w:jc w:val="both"/>
                    <w:rPr>
                      <w:color w:val="auto"/>
                      <w:szCs w:val="21"/>
                    </w:rPr>
                  </w:pPr>
                  <w:r>
                    <w:rPr>
                      <w:color w:val="auto"/>
                      <w:szCs w:val="21"/>
                    </w:rPr>
                    <w:t>12法律法规及相关政策文件有更加严格规定的从其规定。</w:t>
                  </w:r>
                </w:p>
              </w:tc>
              <w:tc>
                <w:tcPr>
                  <w:tcW w:w="2068" w:type="dxa"/>
                  <w:vAlign w:val="center"/>
                </w:tcPr>
                <w:p w14:paraId="17381FCD">
                  <w:pPr>
                    <w:adjustRightInd w:val="0"/>
                    <w:snapToGrid w:val="0"/>
                    <w:jc w:val="both"/>
                    <w:rPr>
                      <w:color w:val="auto"/>
                      <w:szCs w:val="21"/>
                    </w:rPr>
                  </w:pPr>
                  <w:r>
                    <w:rPr>
                      <w:color w:val="auto"/>
                      <w:szCs w:val="21"/>
                    </w:rPr>
                    <w:t>本项目严格执行各类法律法规及相关政策文件。</w:t>
                  </w:r>
                </w:p>
              </w:tc>
              <w:tc>
                <w:tcPr>
                  <w:tcW w:w="727" w:type="dxa"/>
                  <w:vMerge w:val="continue"/>
                  <w:vAlign w:val="center"/>
                </w:tcPr>
                <w:p w14:paraId="17381FCE">
                  <w:pPr>
                    <w:jc w:val="center"/>
                    <w:rPr>
                      <w:color w:val="auto"/>
                      <w:szCs w:val="21"/>
                    </w:rPr>
                  </w:pPr>
                </w:p>
              </w:tc>
            </w:tr>
            <w:tr w14:paraId="17381FD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vAlign w:val="center"/>
                </w:tcPr>
                <w:p w14:paraId="17381FD0">
                  <w:pPr>
                    <w:jc w:val="center"/>
                    <w:rPr>
                      <w:color w:val="auto"/>
                      <w:szCs w:val="21"/>
                    </w:rPr>
                  </w:pPr>
                  <w:r>
                    <w:rPr>
                      <w:color w:val="auto"/>
                      <w:szCs w:val="21"/>
                    </w:rPr>
                    <w:t>《&lt;长江经济带发展负面清单指南&gt;江苏省实施细则（试行</w:t>
                  </w:r>
                  <w:r>
                    <w:rPr>
                      <w:rFonts w:hint="eastAsia"/>
                      <w:color w:val="auto"/>
                      <w:szCs w:val="21"/>
                    </w:rPr>
                    <w:t>，2022年版</w:t>
                  </w:r>
                  <w:r>
                    <w:rPr>
                      <w:color w:val="auto"/>
                      <w:szCs w:val="21"/>
                    </w:rPr>
                    <w:t>）》（苏长江办发[20</w:t>
                  </w:r>
                  <w:r>
                    <w:rPr>
                      <w:rFonts w:hint="eastAsia"/>
                      <w:color w:val="auto"/>
                      <w:szCs w:val="21"/>
                    </w:rPr>
                    <w:t>22</w:t>
                  </w:r>
                  <w:r>
                    <w:rPr>
                      <w:color w:val="auto"/>
                      <w:szCs w:val="21"/>
                    </w:rPr>
                    <w:t>]</w:t>
                  </w:r>
                  <w:r>
                    <w:rPr>
                      <w:rFonts w:hint="eastAsia"/>
                      <w:color w:val="auto"/>
                      <w:szCs w:val="21"/>
                    </w:rPr>
                    <w:t>55</w:t>
                  </w:r>
                  <w:r>
                    <w:rPr>
                      <w:color w:val="auto"/>
                      <w:szCs w:val="21"/>
                    </w:rPr>
                    <w:t>号）</w:t>
                  </w:r>
                </w:p>
              </w:tc>
              <w:tc>
                <w:tcPr>
                  <w:tcW w:w="3554" w:type="dxa"/>
                  <w:gridSpan w:val="2"/>
                  <w:vAlign w:val="center"/>
                </w:tcPr>
                <w:p w14:paraId="17381FD1">
                  <w:pPr>
                    <w:jc w:val="both"/>
                    <w:rPr>
                      <w:rFonts w:hint="eastAsia" w:eastAsia="宋体"/>
                      <w:color w:val="auto"/>
                      <w:szCs w:val="21"/>
                      <w:lang w:eastAsia="zh-CN"/>
                    </w:rPr>
                  </w:pPr>
                  <w:r>
                    <w:rPr>
                      <w:rFonts w:hAnsi="宋体"/>
                      <w:color w:val="auto"/>
                      <w:szCs w:val="21"/>
                    </w:rPr>
                    <w:t>禁止建设不符合国家港口布局规划和《江苏省沿江沿海</w:t>
                  </w:r>
                  <w:r>
                    <w:rPr>
                      <w:rFonts w:asciiTheme="minorEastAsia" w:hAnsiTheme="minorEastAsia"/>
                      <w:color w:val="auto"/>
                      <w:szCs w:val="21"/>
                    </w:rPr>
                    <w:t xml:space="preserve">港口布局规划( </w:t>
                  </w:r>
                  <w:r>
                    <w:rPr>
                      <w:color w:val="auto"/>
                      <w:szCs w:val="21"/>
                    </w:rPr>
                    <w:t>2015-2030</w:t>
                  </w:r>
                  <w:r>
                    <w:rPr>
                      <w:rFonts w:hAnsi="宋体"/>
                      <w:color w:val="auto"/>
                      <w:szCs w:val="21"/>
                    </w:rPr>
                    <w:t>年</w:t>
                  </w:r>
                  <w:r>
                    <w:rPr>
                      <w:color w:val="auto"/>
                      <w:szCs w:val="21"/>
                    </w:rPr>
                    <w:t>)</w:t>
                  </w:r>
                  <w:r>
                    <w:rPr>
                      <w:rFonts w:hAnsi="宋体"/>
                      <w:color w:val="auto"/>
                      <w:szCs w:val="21"/>
                    </w:rPr>
                    <w:t>》《江苏省内河港口布局规划</w:t>
                  </w:r>
                  <w:r>
                    <w:rPr>
                      <w:color w:val="auto"/>
                      <w:szCs w:val="21"/>
                    </w:rPr>
                    <w:t>( 2017-2035</w:t>
                  </w:r>
                  <w:r>
                    <w:rPr>
                      <w:rFonts w:hAnsi="宋体"/>
                      <w:color w:val="auto"/>
                      <w:szCs w:val="21"/>
                    </w:rPr>
                    <w:t>年</w:t>
                  </w:r>
                  <w:r>
                    <w:rPr>
                      <w:color w:val="auto"/>
                      <w:szCs w:val="21"/>
                    </w:rPr>
                    <w:t>)</w:t>
                  </w:r>
                  <w:r>
                    <w:rPr>
                      <w:rFonts w:hAnsi="宋体"/>
                      <w:color w:val="auto"/>
                      <w:szCs w:val="21"/>
                    </w:rPr>
                    <w:t>》以及我省有关港口总体规划的</w:t>
                  </w:r>
                  <w:r>
                    <w:rPr>
                      <w:rFonts w:hint="eastAsia" w:hAnsi="宋体"/>
                      <w:color w:val="auto"/>
                      <w:szCs w:val="21"/>
                      <w:lang w:val="en-US" w:eastAsia="zh-CN"/>
                    </w:rPr>
                    <w:t>码头</w:t>
                  </w:r>
                  <w:r>
                    <w:rPr>
                      <w:rFonts w:hAnsi="宋体"/>
                      <w:color w:val="auto"/>
                      <w:szCs w:val="21"/>
                    </w:rPr>
                    <w:t>项目，禁止建设未纳入《长江干线过江通道布局规划》的过长江通道项目</w:t>
                  </w:r>
                  <w:r>
                    <w:rPr>
                      <w:rFonts w:hint="eastAsia" w:hAnsi="宋体"/>
                      <w:color w:val="auto"/>
                      <w:szCs w:val="21"/>
                      <w:lang w:eastAsia="zh-CN"/>
                    </w:rPr>
                    <w:t>。</w:t>
                  </w:r>
                </w:p>
              </w:tc>
              <w:tc>
                <w:tcPr>
                  <w:tcW w:w="2068" w:type="dxa"/>
                  <w:vAlign w:val="center"/>
                </w:tcPr>
                <w:p w14:paraId="17381FD2">
                  <w:pPr>
                    <w:jc w:val="both"/>
                    <w:rPr>
                      <w:color w:val="auto"/>
                      <w:szCs w:val="21"/>
                    </w:rPr>
                  </w:pPr>
                  <w:r>
                    <w:rPr>
                      <w:rFonts w:hint="eastAsia"/>
                      <w:color w:val="auto"/>
                      <w:szCs w:val="21"/>
                    </w:rPr>
                    <w:t>本项目不属于</w:t>
                  </w:r>
                  <w:r>
                    <w:rPr>
                      <w:rFonts w:hint="eastAsia"/>
                      <w:color w:val="auto"/>
                      <w:szCs w:val="21"/>
                      <w:lang w:val="en-US" w:eastAsia="zh-CN"/>
                    </w:rPr>
                    <w:t>码头</w:t>
                  </w:r>
                  <w:r>
                    <w:rPr>
                      <w:rFonts w:hint="eastAsia"/>
                      <w:color w:val="auto"/>
                      <w:szCs w:val="21"/>
                    </w:rPr>
                    <w:t>项目和过长江通道项目。</w:t>
                  </w:r>
                </w:p>
              </w:tc>
              <w:tc>
                <w:tcPr>
                  <w:tcW w:w="727" w:type="dxa"/>
                  <w:vMerge w:val="restart"/>
                  <w:vAlign w:val="center"/>
                </w:tcPr>
                <w:p w14:paraId="17381FD3">
                  <w:pPr>
                    <w:jc w:val="center"/>
                    <w:rPr>
                      <w:color w:val="auto"/>
                      <w:szCs w:val="21"/>
                    </w:rPr>
                  </w:pPr>
                  <w:r>
                    <w:rPr>
                      <w:color w:val="auto"/>
                      <w:szCs w:val="21"/>
                    </w:rPr>
                    <w:t>符合</w:t>
                  </w:r>
                </w:p>
              </w:tc>
            </w:tr>
            <w:tr w14:paraId="17381FD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D5">
                  <w:pPr>
                    <w:jc w:val="center"/>
                    <w:rPr>
                      <w:color w:val="auto"/>
                      <w:szCs w:val="21"/>
                    </w:rPr>
                  </w:pPr>
                </w:p>
              </w:tc>
              <w:tc>
                <w:tcPr>
                  <w:tcW w:w="3554" w:type="dxa"/>
                  <w:gridSpan w:val="2"/>
                  <w:vAlign w:val="center"/>
                </w:tcPr>
                <w:p w14:paraId="17381FD6">
                  <w:pPr>
                    <w:jc w:val="both"/>
                    <w:rPr>
                      <w:color w:val="auto"/>
                    </w:rPr>
                  </w:pPr>
                  <w:r>
                    <w:rPr>
                      <w:rFonts w:hint="eastAsia"/>
                      <w:color w:val="auto"/>
                    </w:rPr>
                    <w:t>严格执行《中华人民共和国自然保护区条例》，禁止在自然保护区核心区、缓冲区的岸线和河段范围内投资建设旅游和生产经营项目。严格执行《风景名胜区条例》《江苏省风景名胜区管理条例》，禁止在国家级和省级风景名胜区核心景区的岸线和河段范围内投资建设与风景名胜资源保护无关的项目。自然保护区、风景名胜区由省林业局会同有关方面界定并落实管控责任。</w:t>
                  </w:r>
                </w:p>
              </w:tc>
              <w:tc>
                <w:tcPr>
                  <w:tcW w:w="2068" w:type="dxa"/>
                  <w:vAlign w:val="center"/>
                </w:tcPr>
                <w:p w14:paraId="17381FD7">
                  <w:pPr>
                    <w:jc w:val="both"/>
                    <w:rPr>
                      <w:color w:val="auto"/>
                      <w:szCs w:val="21"/>
                    </w:rPr>
                  </w:pPr>
                  <w:r>
                    <w:rPr>
                      <w:rFonts w:hint="eastAsia"/>
                      <w:color w:val="auto"/>
                      <w:szCs w:val="21"/>
                    </w:rPr>
                    <w:t>本项目不在自然保护区核心区、缓冲区的岸线和河段范围内，亦不在风景名胜区核心景区的岸线和河段范围内。</w:t>
                  </w:r>
                </w:p>
              </w:tc>
              <w:tc>
                <w:tcPr>
                  <w:tcW w:w="727" w:type="dxa"/>
                  <w:vMerge w:val="continue"/>
                  <w:vAlign w:val="center"/>
                </w:tcPr>
                <w:p w14:paraId="17381FD8">
                  <w:pPr>
                    <w:jc w:val="center"/>
                    <w:rPr>
                      <w:color w:val="auto"/>
                      <w:szCs w:val="21"/>
                    </w:rPr>
                  </w:pPr>
                </w:p>
              </w:tc>
            </w:tr>
            <w:tr w14:paraId="17381FD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PrEx>
              <w:trPr>
                <w:trHeight w:val="340" w:hRule="atLeast"/>
                <w:jc w:val="center"/>
              </w:trPr>
              <w:tc>
                <w:tcPr>
                  <w:tcW w:w="826" w:type="dxa"/>
                  <w:vMerge w:val="continue"/>
                  <w:vAlign w:val="center"/>
                </w:tcPr>
                <w:p w14:paraId="17381FDA">
                  <w:pPr>
                    <w:jc w:val="center"/>
                    <w:rPr>
                      <w:color w:val="auto"/>
                      <w:szCs w:val="21"/>
                    </w:rPr>
                  </w:pPr>
                </w:p>
              </w:tc>
              <w:tc>
                <w:tcPr>
                  <w:tcW w:w="3554" w:type="dxa"/>
                  <w:gridSpan w:val="2"/>
                  <w:vAlign w:val="center"/>
                </w:tcPr>
                <w:p w14:paraId="17381FDB">
                  <w:pPr>
                    <w:jc w:val="both"/>
                    <w:rPr>
                      <w:color w:val="auto"/>
                      <w:szCs w:val="21"/>
                    </w:rPr>
                  </w:pPr>
                  <w:r>
                    <w:rPr>
                      <w:rFonts w:hAnsi="宋体"/>
                      <w:color w:val="auto"/>
                      <w:szCs w:val="21"/>
                    </w:rPr>
                    <w:t>严格执行《中华人民共和国水污染防治法》《江苏省人民代表大会常务委员会关于加强饮用水源地保护的决定》《江苏省水污染防治条例》，禁止在饮用水水源一级保护区的岸线和河段范围内新建、改建、扩建与供水设施和保护水源无关的项目，以及网箱养殖、畜禽养殖、旅游等可能污染饮用水水体的投资建，设项目；禁止在饮用水水源二级保护区的岸线和河段范围内新建、改建、扩建排放污染物的投资建设项目；禁止在饮用水水源准保护区的岸线和河段范围内新建、扩建对水体污染严重的投资建设项目，改建项目应当消减排污量。饮用水水源一级保护区、二级保护区、准保护区由省生态环境厅会同水利等有关方面界定并落实管控责任。</w:t>
                  </w:r>
                </w:p>
              </w:tc>
              <w:tc>
                <w:tcPr>
                  <w:tcW w:w="2068" w:type="dxa"/>
                  <w:vAlign w:val="center"/>
                </w:tcPr>
                <w:p w14:paraId="17381FDC">
                  <w:pPr>
                    <w:jc w:val="both"/>
                    <w:rPr>
                      <w:color w:val="auto"/>
                      <w:szCs w:val="21"/>
                    </w:rPr>
                  </w:pPr>
                  <w:r>
                    <w:rPr>
                      <w:rFonts w:hint="eastAsia"/>
                      <w:color w:val="auto"/>
                      <w:szCs w:val="21"/>
                    </w:rPr>
                    <w:t>本项目不在饮用水水源一级、二级保护区的岸线和河段范围内。</w:t>
                  </w:r>
                </w:p>
              </w:tc>
              <w:tc>
                <w:tcPr>
                  <w:tcW w:w="727" w:type="dxa"/>
                  <w:vMerge w:val="continue"/>
                  <w:vAlign w:val="center"/>
                </w:tcPr>
                <w:p w14:paraId="17381FDD">
                  <w:pPr>
                    <w:jc w:val="center"/>
                    <w:rPr>
                      <w:color w:val="auto"/>
                      <w:szCs w:val="21"/>
                    </w:rPr>
                  </w:pPr>
                </w:p>
              </w:tc>
            </w:tr>
            <w:tr w14:paraId="17381FE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DF">
                  <w:pPr>
                    <w:jc w:val="center"/>
                    <w:rPr>
                      <w:color w:val="auto"/>
                      <w:szCs w:val="21"/>
                    </w:rPr>
                  </w:pPr>
                </w:p>
              </w:tc>
              <w:tc>
                <w:tcPr>
                  <w:tcW w:w="3554" w:type="dxa"/>
                  <w:gridSpan w:val="2"/>
                  <w:vAlign w:val="center"/>
                </w:tcPr>
                <w:p w14:paraId="17381FE0">
                  <w:pPr>
                    <w:jc w:val="both"/>
                    <w:rPr>
                      <w:color w:val="auto"/>
                      <w:szCs w:val="21"/>
                    </w:rPr>
                  </w:pPr>
                  <w:r>
                    <w:rPr>
                      <w:rFonts w:hAnsi="宋体"/>
                      <w:color w:val="auto"/>
                      <w:szCs w:val="21"/>
                    </w:rPr>
                    <w:t>严格执行《水产种质资源保护区管理暂行办法》，禁止在国家级和省级水产种质资源保护区的岸线和河段范围内新建围湖造田、围海造地或围填海等投资建设项目。严格执行《中华人民共和国湿地保护法》《江苏省湿地保护条例》，禁止在国家湿地公园的岸线和河段范围内挖沙、采矿，以及任何不符合主体功能定位的投资建设项目。水产种质资源保护区、国家湿地公园分别由省农业农村厅、省林业局会同有关方面界定并落实管控责任。</w:t>
                  </w:r>
                </w:p>
              </w:tc>
              <w:tc>
                <w:tcPr>
                  <w:tcW w:w="2068" w:type="dxa"/>
                  <w:vAlign w:val="center"/>
                </w:tcPr>
                <w:p w14:paraId="17381FE1">
                  <w:pPr>
                    <w:jc w:val="both"/>
                    <w:rPr>
                      <w:color w:val="auto"/>
                      <w:szCs w:val="21"/>
                    </w:rPr>
                  </w:pPr>
                  <w:r>
                    <w:rPr>
                      <w:rFonts w:hint="eastAsia"/>
                      <w:color w:val="auto"/>
                      <w:szCs w:val="21"/>
                    </w:rPr>
                    <w:t>本项目不在水产种质资源保护区、国家湿地公园的岸线和河段范围内。</w:t>
                  </w:r>
                </w:p>
              </w:tc>
              <w:tc>
                <w:tcPr>
                  <w:tcW w:w="727" w:type="dxa"/>
                  <w:vMerge w:val="continue"/>
                  <w:vAlign w:val="center"/>
                </w:tcPr>
                <w:p w14:paraId="17381FE2">
                  <w:pPr>
                    <w:jc w:val="center"/>
                    <w:rPr>
                      <w:color w:val="auto"/>
                      <w:szCs w:val="21"/>
                    </w:rPr>
                  </w:pPr>
                </w:p>
              </w:tc>
            </w:tr>
            <w:tr w14:paraId="17381FE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E4">
                  <w:pPr>
                    <w:jc w:val="center"/>
                    <w:rPr>
                      <w:color w:val="auto"/>
                      <w:szCs w:val="21"/>
                    </w:rPr>
                  </w:pPr>
                </w:p>
              </w:tc>
              <w:tc>
                <w:tcPr>
                  <w:tcW w:w="3554" w:type="dxa"/>
                  <w:gridSpan w:val="2"/>
                  <w:vAlign w:val="center"/>
                </w:tcPr>
                <w:p w14:paraId="17381FE5">
                  <w:pPr>
                    <w:jc w:val="both"/>
                    <w:rPr>
                      <w:color w:val="auto"/>
                      <w:szCs w:val="21"/>
                    </w:rPr>
                  </w:pPr>
                  <w:r>
                    <w:rPr>
                      <w:rFonts w:hAnsi="宋体"/>
                      <w:color w:val="auto"/>
                      <w:szCs w:val="21"/>
                    </w:rPr>
                    <w:t>禁止违法利用、占用长江流域河湖岸线。禁止在《长江岸线保护和开发利用总体规划》划定的岸线保护区和保留区内投资建设除事关公共安全及公众利益的防洪护岸、河道治理、供水、生态环境保护、航道整治、国家重要基础设施以外的项目。长江干支流基础设施项目应按照《长江岸线保护和开发利用总体规划》和生态环境保护、岸线保护等要求，按规定开展项目前期论证并办理相关手续。禁止在《全国重要江河湖泊水功能区划》划定的河段及湖泊保护区、保留区内投资建设不利于水资源及自然生态保护的项目</w:t>
                  </w:r>
                </w:p>
              </w:tc>
              <w:tc>
                <w:tcPr>
                  <w:tcW w:w="2068" w:type="dxa"/>
                  <w:vAlign w:val="center"/>
                </w:tcPr>
                <w:p w14:paraId="17381FE6">
                  <w:pPr>
                    <w:jc w:val="both"/>
                    <w:rPr>
                      <w:color w:val="auto"/>
                      <w:szCs w:val="21"/>
                    </w:rPr>
                  </w:pPr>
                  <w:r>
                    <w:rPr>
                      <w:rFonts w:hint="eastAsia"/>
                      <w:color w:val="auto"/>
                      <w:szCs w:val="21"/>
                    </w:rPr>
                    <w:t>本项目不在《长江岸线保护和开发利用总体规划》、《全国重要江河湖泊水功能区划》划定的岸线</w:t>
                  </w:r>
                  <w:r>
                    <w:rPr>
                      <w:rFonts w:hint="eastAsia"/>
                      <w:color w:val="auto"/>
                      <w:szCs w:val="21"/>
                      <w:lang w:eastAsia="zh-CN"/>
                    </w:rPr>
                    <w:t>、</w:t>
                  </w:r>
                  <w:r>
                    <w:rPr>
                      <w:rFonts w:hint="eastAsia"/>
                      <w:color w:val="auto"/>
                      <w:szCs w:val="21"/>
                    </w:rPr>
                    <w:t>河段保护区范围内。</w:t>
                  </w:r>
                </w:p>
              </w:tc>
              <w:tc>
                <w:tcPr>
                  <w:tcW w:w="727" w:type="dxa"/>
                  <w:vMerge w:val="continue"/>
                  <w:vAlign w:val="center"/>
                </w:tcPr>
                <w:p w14:paraId="17381FE7">
                  <w:pPr>
                    <w:jc w:val="center"/>
                    <w:rPr>
                      <w:color w:val="auto"/>
                      <w:szCs w:val="21"/>
                    </w:rPr>
                  </w:pPr>
                </w:p>
              </w:tc>
            </w:tr>
            <w:tr w14:paraId="17381FE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E9">
                  <w:pPr>
                    <w:jc w:val="center"/>
                    <w:rPr>
                      <w:color w:val="auto"/>
                      <w:szCs w:val="21"/>
                    </w:rPr>
                  </w:pPr>
                </w:p>
              </w:tc>
              <w:tc>
                <w:tcPr>
                  <w:tcW w:w="3554" w:type="dxa"/>
                  <w:gridSpan w:val="2"/>
                  <w:vAlign w:val="center"/>
                </w:tcPr>
                <w:p w14:paraId="17381FEA">
                  <w:pPr>
                    <w:jc w:val="both"/>
                    <w:rPr>
                      <w:rFonts w:hint="eastAsia" w:asciiTheme="minorEastAsia" w:hAnsiTheme="minorEastAsia"/>
                      <w:color w:val="auto"/>
                      <w:szCs w:val="21"/>
                    </w:rPr>
                  </w:pPr>
                  <w:r>
                    <w:rPr>
                      <w:rFonts w:hint="eastAsia" w:asciiTheme="minorEastAsia" w:hAnsiTheme="minorEastAsia"/>
                      <w:color w:val="auto"/>
                      <w:szCs w:val="21"/>
                    </w:rPr>
                    <w:t>禁止未经许可在长江干支流及湖泊新设、改设或扩大排污口</w:t>
                  </w:r>
                </w:p>
              </w:tc>
              <w:tc>
                <w:tcPr>
                  <w:tcW w:w="2068" w:type="dxa"/>
                  <w:vAlign w:val="center"/>
                </w:tcPr>
                <w:p w14:paraId="17381FEB">
                  <w:pPr>
                    <w:jc w:val="both"/>
                    <w:rPr>
                      <w:color w:val="auto"/>
                      <w:szCs w:val="21"/>
                    </w:rPr>
                  </w:pPr>
                  <w:r>
                    <w:rPr>
                      <w:rFonts w:hint="eastAsia"/>
                      <w:color w:val="auto"/>
                      <w:szCs w:val="21"/>
                    </w:rPr>
                    <w:t>本项目生活污水经化粪池预处理后</w:t>
                  </w:r>
                  <w:r>
                    <w:rPr>
                      <w:rFonts w:hint="eastAsia"/>
                      <w:color w:val="auto"/>
                      <w:szCs w:val="21"/>
                      <w:lang w:val="en-US" w:eastAsia="zh-CN"/>
                    </w:rPr>
                    <w:t>作为农田灌溉用水使用</w:t>
                  </w:r>
                  <w:r>
                    <w:rPr>
                      <w:rFonts w:hint="eastAsia"/>
                      <w:color w:val="auto"/>
                      <w:szCs w:val="21"/>
                    </w:rPr>
                    <w:t>，不外排，不在长江干支流及湖泊新设、改设或扩大排污口。</w:t>
                  </w:r>
                </w:p>
              </w:tc>
              <w:tc>
                <w:tcPr>
                  <w:tcW w:w="727" w:type="dxa"/>
                  <w:vMerge w:val="continue"/>
                  <w:vAlign w:val="center"/>
                </w:tcPr>
                <w:p w14:paraId="17381FEC">
                  <w:pPr>
                    <w:jc w:val="center"/>
                    <w:rPr>
                      <w:color w:val="auto"/>
                      <w:szCs w:val="21"/>
                    </w:rPr>
                  </w:pPr>
                </w:p>
              </w:tc>
            </w:tr>
            <w:tr w14:paraId="17381FF2">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PrEx>
              <w:trPr>
                <w:trHeight w:val="340" w:hRule="atLeast"/>
                <w:jc w:val="center"/>
              </w:trPr>
              <w:tc>
                <w:tcPr>
                  <w:tcW w:w="826" w:type="dxa"/>
                  <w:vMerge w:val="continue"/>
                  <w:vAlign w:val="center"/>
                </w:tcPr>
                <w:p w14:paraId="17381FEE">
                  <w:pPr>
                    <w:jc w:val="center"/>
                    <w:rPr>
                      <w:color w:val="auto"/>
                      <w:szCs w:val="21"/>
                    </w:rPr>
                  </w:pPr>
                </w:p>
              </w:tc>
              <w:tc>
                <w:tcPr>
                  <w:tcW w:w="3554" w:type="dxa"/>
                  <w:gridSpan w:val="2"/>
                  <w:vAlign w:val="center"/>
                </w:tcPr>
                <w:p w14:paraId="17381FEF">
                  <w:pPr>
                    <w:widowControl/>
                    <w:adjustRightInd w:val="0"/>
                    <w:snapToGrid w:val="0"/>
                    <w:jc w:val="both"/>
                    <w:rPr>
                      <w:rFonts w:hint="eastAsia" w:hAnsi="宋体"/>
                      <w:color w:val="auto"/>
                      <w:szCs w:val="21"/>
                    </w:rPr>
                  </w:pPr>
                  <w:r>
                    <w:rPr>
                      <w:rFonts w:hAnsi="宋体"/>
                      <w:color w:val="auto"/>
                      <w:szCs w:val="21"/>
                    </w:rPr>
                    <w:t>禁止长江干流、长江口、34个列入《率先全面禁捕的长江流域水生生物保护区名录》的水生生物保护区以及省规定的其他禁渔水域开展生产性捕捞</w:t>
                  </w:r>
                </w:p>
              </w:tc>
              <w:tc>
                <w:tcPr>
                  <w:tcW w:w="2068" w:type="dxa"/>
                  <w:vAlign w:val="center"/>
                </w:tcPr>
                <w:p w14:paraId="17381FF0">
                  <w:pPr>
                    <w:jc w:val="both"/>
                    <w:rPr>
                      <w:color w:val="auto"/>
                      <w:szCs w:val="21"/>
                    </w:rPr>
                  </w:pPr>
                  <w:r>
                    <w:rPr>
                      <w:rFonts w:hint="eastAsia"/>
                      <w:color w:val="auto"/>
                      <w:szCs w:val="21"/>
                    </w:rPr>
                    <w:t>本项目不涉及捕捞活动。</w:t>
                  </w:r>
                </w:p>
              </w:tc>
              <w:tc>
                <w:tcPr>
                  <w:tcW w:w="727" w:type="dxa"/>
                  <w:vMerge w:val="continue"/>
                  <w:vAlign w:val="center"/>
                </w:tcPr>
                <w:p w14:paraId="17381FF1">
                  <w:pPr>
                    <w:jc w:val="center"/>
                    <w:rPr>
                      <w:color w:val="auto"/>
                      <w:szCs w:val="21"/>
                    </w:rPr>
                  </w:pPr>
                </w:p>
              </w:tc>
            </w:tr>
            <w:tr w14:paraId="17381FF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F3">
                  <w:pPr>
                    <w:jc w:val="center"/>
                    <w:rPr>
                      <w:color w:val="auto"/>
                      <w:szCs w:val="21"/>
                    </w:rPr>
                  </w:pPr>
                </w:p>
              </w:tc>
              <w:tc>
                <w:tcPr>
                  <w:tcW w:w="3554" w:type="dxa"/>
                  <w:gridSpan w:val="2"/>
                  <w:vAlign w:val="center"/>
                </w:tcPr>
                <w:p w14:paraId="17381FF4">
                  <w:pPr>
                    <w:widowControl/>
                    <w:adjustRightInd w:val="0"/>
                    <w:snapToGrid w:val="0"/>
                    <w:jc w:val="both"/>
                    <w:rPr>
                      <w:rFonts w:hint="eastAsia" w:hAnsi="宋体"/>
                      <w:color w:val="auto"/>
                      <w:szCs w:val="21"/>
                    </w:rPr>
                  </w:pPr>
                  <w:r>
                    <w:rPr>
                      <w:rFonts w:hAnsi="宋体"/>
                      <w:color w:val="auto"/>
                      <w:szCs w:val="21"/>
                    </w:rPr>
                    <w:t>禁止在距离长江干支流岸线一公里范围内新建、扩建化工园区和化工项目。长江干支流一公里按照长江干支流岸线边界(即水利部门河道管理范围边界）向陆域纵深一公里执行</w:t>
                  </w:r>
                </w:p>
              </w:tc>
              <w:tc>
                <w:tcPr>
                  <w:tcW w:w="2068" w:type="dxa"/>
                  <w:vAlign w:val="center"/>
                </w:tcPr>
                <w:p w14:paraId="17381FF5">
                  <w:pPr>
                    <w:jc w:val="both"/>
                    <w:rPr>
                      <w:color w:val="auto"/>
                      <w:szCs w:val="21"/>
                    </w:rPr>
                  </w:pPr>
                  <w:r>
                    <w:rPr>
                      <w:rFonts w:hint="eastAsia"/>
                      <w:color w:val="auto"/>
                      <w:szCs w:val="21"/>
                    </w:rPr>
                    <w:t>本项目不在长江干支流一公里范围内。</w:t>
                  </w:r>
                </w:p>
              </w:tc>
              <w:tc>
                <w:tcPr>
                  <w:tcW w:w="727" w:type="dxa"/>
                  <w:vMerge w:val="continue"/>
                  <w:vAlign w:val="center"/>
                </w:tcPr>
                <w:p w14:paraId="17381FF6">
                  <w:pPr>
                    <w:jc w:val="center"/>
                    <w:rPr>
                      <w:color w:val="auto"/>
                      <w:szCs w:val="21"/>
                    </w:rPr>
                  </w:pPr>
                </w:p>
              </w:tc>
            </w:tr>
            <w:tr w14:paraId="17381FF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F8">
                  <w:pPr>
                    <w:jc w:val="center"/>
                    <w:rPr>
                      <w:color w:val="auto"/>
                      <w:szCs w:val="21"/>
                    </w:rPr>
                  </w:pPr>
                </w:p>
              </w:tc>
              <w:tc>
                <w:tcPr>
                  <w:tcW w:w="3554" w:type="dxa"/>
                  <w:gridSpan w:val="2"/>
                  <w:vAlign w:val="center"/>
                </w:tcPr>
                <w:p w14:paraId="17381FF9">
                  <w:pPr>
                    <w:widowControl/>
                    <w:adjustRightInd w:val="0"/>
                    <w:snapToGrid w:val="0"/>
                    <w:jc w:val="both"/>
                    <w:rPr>
                      <w:rFonts w:hint="eastAsia" w:hAnsi="宋体"/>
                      <w:color w:val="auto"/>
                      <w:szCs w:val="21"/>
                    </w:rPr>
                  </w:pPr>
                  <w:r>
                    <w:rPr>
                      <w:rFonts w:hAnsi="宋体"/>
                      <w:color w:val="auto"/>
                      <w:szCs w:val="21"/>
                    </w:rPr>
                    <w:t>禁止在长江</w:t>
                  </w:r>
                  <w:r>
                    <w:rPr>
                      <w:rFonts w:hint="eastAsia" w:hAnsi="宋体"/>
                      <w:color w:val="auto"/>
                      <w:szCs w:val="21"/>
                    </w:rPr>
                    <w:t>干</w:t>
                  </w:r>
                  <w:r>
                    <w:rPr>
                      <w:rFonts w:hAnsi="宋体"/>
                      <w:color w:val="auto"/>
                      <w:szCs w:val="21"/>
                    </w:rPr>
                    <w:t>流岸线三公里范围内新建、改建、扩建尾矿库、冶炼渣库和磷石膏库，以提升安全、生态环境保护水平为目的的改建除外。</w:t>
                  </w:r>
                </w:p>
              </w:tc>
              <w:tc>
                <w:tcPr>
                  <w:tcW w:w="2068" w:type="dxa"/>
                  <w:vAlign w:val="center"/>
                </w:tcPr>
                <w:p w14:paraId="17381FFA">
                  <w:pPr>
                    <w:jc w:val="both"/>
                    <w:rPr>
                      <w:color w:val="auto"/>
                      <w:szCs w:val="21"/>
                    </w:rPr>
                  </w:pPr>
                  <w:r>
                    <w:rPr>
                      <w:rFonts w:hint="eastAsia"/>
                      <w:color w:val="auto"/>
                      <w:szCs w:val="21"/>
                    </w:rPr>
                    <w:t>本项目不在长江干支流三公里范围内。</w:t>
                  </w:r>
                </w:p>
              </w:tc>
              <w:tc>
                <w:tcPr>
                  <w:tcW w:w="727" w:type="dxa"/>
                  <w:vMerge w:val="continue"/>
                  <w:vAlign w:val="center"/>
                </w:tcPr>
                <w:p w14:paraId="17381FFB">
                  <w:pPr>
                    <w:jc w:val="center"/>
                    <w:rPr>
                      <w:color w:val="auto"/>
                      <w:szCs w:val="21"/>
                    </w:rPr>
                  </w:pPr>
                </w:p>
              </w:tc>
            </w:tr>
            <w:tr w14:paraId="1738200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1FFD">
                  <w:pPr>
                    <w:jc w:val="center"/>
                    <w:rPr>
                      <w:color w:val="auto"/>
                      <w:szCs w:val="21"/>
                    </w:rPr>
                  </w:pPr>
                </w:p>
              </w:tc>
              <w:tc>
                <w:tcPr>
                  <w:tcW w:w="3554" w:type="dxa"/>
                  <w:gridSpan w:val="2"/>
                  <w:vAlign w:val="center"/>
                </w:tcPr>
                <w:p w14:paraId="17381FFE">
                  <w:pPr>
                    <w:widowControl/>
                    <w:adjustRightInd w:val="0"/>
                    <w:snapToGrid w:val="0"/>
                    <w:jc w:val="both"/>
                    <w:rPr>
                      <w:rFonts w:hint="eastAsia" w:hAnsi="宋体"/>
                      <w:color w:val="auto"/>
                      <w:szCs w:val="21"/>
                    </w:rPr>
                  </w:pPr>
                  <w:r>
                    <w:rPr>
                      <w:rFonts w:hAnsi="宋体"/>
                      <w:color w:val="auto"/>
                      <w:szCs w:val="21"/>
                    </w:rPr>
                    <w:t>禁止在太湖流域一、二、三级保护区内开展《江苏省太湖水污染防治条例》禁止的投资建设活动。</w:t>
                  </w:r>
                </w:p>
              </w:tc>
              <w:tc>
                <w:tcPr>
                  <w:tcW w:w="2068" w:type="dxa"/>
                  <w:vAlign w:val="center"/>
                </w:tcPr>
                <w:p w14:paraId="17381FFF">
                  <w:pPr>
                    <w:jc w:val="both"/>
                    <w:rPr>
                      <w:color w:val="auto"/>
                      <w:szCs w:val="21"/>
                    </w:rPr>
                  </w:pPr>
                  <w:r>
                    <w:rPr>
                      <w:rFonts w:hint="eastAsia"/>
                      <w:color w:val="auto"/>
                      <w:szCs w:val="21"/>
                    </w:rPr>
                    <w:t>本项目不在太湖流域。</w:t>
                  </w:r>
                </w:p>
              </w:tc>
              <w:tc>
                <w:tcPr>
                  <w:tcW w:w="727" w:type="dxa"/>
                  <w:vMerge w:val="continue"/>
                  <w:vAlign w:val="center"/>
                </w:tcPr>
                <w:p w14:paraId="17382000">
                  <w:pPr>
                    <w:jc w:val="center"/>
                    <w:rPr>
                      <w:color w:val="auto"/>
                      <w:szCs w:val="21"/>
                    </w:rPr>
                  </w:pPr>
                </w:p>
              </w:tc>
            </w:tr>
            <w:tr w14:paraId="1738200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2002">
                  <w:pPr>
                    <w:jc w:val="center"/>
                    <w:rPr>
                      <w:color w:val="auto"/>
                      <w:szCs w:val="21"/>
                    </w:rPr>
                  </w:pPr>
                </w:p>
              </w:tc>
              <w:tc>
                <w:tcPr>
                  <w:tcW w:w="3554" w:type="dxa"/>
                  <w:gridSpan w:val="2"/>
                  <w:vAlign w:val="center"/>
                </w:tcPr>
                <w:p w14:paraId="17382003">
                  <w:pPr>
                    <w:widowControl/>
                    <w:adjustRightInd w:val="0"/>
                    <w:snapToGrid w:val="0"/>
                    <w:jc w:val="both"/>
                    <w:rPr>
                      <w:rFonts w:hint="eastAsia" w:hAnsi="宋体"/>
                      <w:color w:val="auto"/>
                      <w:szCs w:val="21"/>
                    </w:rPr>
                  </w:pPr>
                  <w:r>
                    <w:rPr>
                      <w:rFonts w:hAnsi="宋体"/>
                      <w:color w:val="auto"/>
                      <w:szCs w:val="21"/>
                    </w:rPr>
                    <w:t>禁止在沿江地区新建、扩建未纳入国家和省布局规划的燃煤发电项目。</w:t>
                  </w:r>
                </w:p>
              </w:tc>
              <w:tc>
                <w:tcPr>
                  <w:tcW w:w="2068" w:type="dxa"/>
                  <w:vAlign w:val="center"/>
                </w:tcPr>
                <w:p w14:paraId="17382004">
                  <w:pPr>
                    <w:jc w:val="both"/>
                    <w:rPr>
                      <w:color w:val="auto"/>
                      <w:szCs w:val="21"/>
                    </w:rPr>
                  </w:pPr>
                  <w:r>
                    <w:rPr>
                      <w:rFonts w:hint="eastAsia"/>
                      <w:color w:val="auto"/>
                      <w:szCs w:val="21"/>
                    </w:rPr>
                    <w:t>本项目为五金工具加工项目，不属于燃煤发电项目。</w:t>
                  </w:r>
                </w:p>
              </w:tc>
              <w:tc>
                <w:tcPr>
                  <w:tcW w:w="727" w:type="dxa"/>
                  <w:vMerge w:val="continue"/>
                  <w:vAlign w:val="center"/>
                </w:tcPr>
                <w:p w14:paraId="17382005">
                  <w:pPr>
                    <w:jc w:val="center"/>
                    <w:rPr>
                      <w:color w:val="auto"/>
                      <w:szCs w:val="21"/>
                    </w:rPr>
                  </w:pPr>
                </w:p>
              </w:tc>
            </w:tr>
            <w:tr w14:paraId="1738200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2007">
                  <w:pPr>
                    <w:jc w:val="center"/>
                    <w:rPr>
                      <w:color w:val="auto"/>
                      <w:szCs w:val="21"/>
                    </w:rPr>
                  </w:pPr>
                </w:p>
              </w:tc>
              <w:tc>
                <w:tcPr>
                  <w:tcW w:w="3554" w:type="dxa"/>
                  <w:gridSpan w:val="2"/>
                  <w:vAlign w:val="center"/>
                </w:tcPr>
                <w:p w14:paraId="17382008">
                  <w:pPr>
                    <w:widowControl/>
                    <w:adjustRightInd w:val="0"/>
                    <w:snapToGrid w:val="0"/>
                    <w:jc w:val="both"/>
                    <w:rPr>
                      <w:rFonts w:hint="eastAsia" w:hAnsi="宋体"/>
                      <w:color w:val="auto"/>
                      <w:szCs w:val="21"/>
                    </w:rPr>
                  </w:pPr>
                  <w:r>
                    <w:rPr>
                      <w:rFonts w:hAnsi="宋体"/>
                      <w:color w:val="auto"/>
                      <w:szCs w:val="21"/>
                    </w:rPr>
                    <w:t>禁止在合规园区外新建、扩建钢铁、石化、化工、焦化、建材、有色、制浆造纸等高污染项目。合规园区名录按照《〈长江经济带发展负面清单指南(试行， 2022年版)&gt;江苏省实施细则合规园区名录》执行。</w:t>
                  </w:r>
                </w:p>
              </w:tc>
              <w:tc>
                <w:tcPr>
                  <w:tcW w:w="2068" w:type="dxa"/>
                  <w:vAlign w:val="center"/>
                </w:tcPr>
                <w:p w14:paraId="17382009">
                  <w:pPr>
                    <w:jc w:val="both"/>
                    <w:rPr>
                      <w:color w:val="auto"/>
                      <w:szCs w:val="21"/>
                    </w:rPr>
                  </w:pPr>
                  <w:r>
                    <w:rPr>
                      <w:rFonts w:hint="eastAsia"/>
                      <w:color w:val="auto"/>
                      <w:szCs w:val="21"/>
                      <w:lang w:val="en-US" w:eastAsia="zh-CN"/>
                    </w:rPr>
                    <w:t>本项目不涉及</w:t>
                  </w:r>
                  <w:r>
                    <w:rPr>
                      <w:rFonts w:hint="eastAsia"/>
                      <w:color w:val="auto"/>
                      <w:szCs w:val="21"/>
                    </w:rPr>
                    <w:t>。</w:t>
                  </w:r>
                </w:p>
              </w:tc>
              <w:tc>
                <w:tcPr>
                  <w:tcW w:w="727" w:type="dxa"/>
                  <w:vMerge w:val="continue"/>
                  <w:vAlign w:val="center"/>
                </w:tcPr>
                <w:p w14:paraId="1738200A">
                  <w:pPr>
                    <w:jc w:val="center"/>
                    <w:rPr>
                      <w:color w:val="auto"/>
                      <w:szCs w:val="21"/>
                    </w:rPr>
                  </w:pPr>
                </w:p>
              </w:tc>
            </w:tr>
            <w:tr w14:paraId="1738201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200C">
                  <w:pPr>
                    <w:jc w:val="center"/>
                    <w:rPr>
                      <w:color w:val="auto"/>
                      <w:szCs w:val="21"/>
                    </w:rPr>
                  </w:pPr>
                </w:p>
              </w:tc>
              <w:tc>
                <w:tcPr>
                  <w:tcW w:w="3554" w:type="dxa"/>
                  <w:gridSpan w:val="2"/>
                  <w:vAlign w:val="center"/>
                </w:tcPr>
                <w:p w14:paraId="1738200D">
                  <w:pPr>
                    <w:widowControl/>
                    <w:adjustRightInd w:val="0"/>
                    <w:snapToGrid w:val="0"/>
                    <w:jc w:val="both"/>
                    <w:rPr>
                      <w:rFonts w:hint="eastAsia" w:hAnsi="宋体"/>
                      <w:color w:val="auto"/>
                      <w:szCs w:val="21"/>
                    </w:rPr>
                  </w:pPr>
                  <w:r>
                    <w:rPr>
                      <w:rFonts w:hAnsi="宋体"/>
                      <w:color w:val="auto"/>
                      <w:szCs w:val="21"/>
                    </w:rPr>
                    <w:t>禁止在取消化工定位的园区(集中区)内新建化工项目。</w:t>
                  </w:r>
                </w:p>
              </w:tc>
              <w:tc>
                <w:tcPr>
                  <w:tcW w:w="2068" w:type="dxa"/>
                  <w:vAlign w:val="center"/>
                </w:tcPr>
                <w:p w14:paraId="1738200E">
                  <w:pPr>
                    <w:jc w:val="both"/>
                    <w:rPr>
                      <w:color w:val="auto"/>
                      <w:szCs w:val="21"/>
                    </w:rPr>
                  </w:pPr>
                  <w:r>
                    <w:rPr>
                      <w:rFonts w:hint="eastAsia"/>
                      <w:color w:val="auto"/>
                      <w:szCs w:val="21"/>
                    </w:rPr>
                    <w:t>本项目不属于化工项目。</w:t>
                  </w:r>
                </w:p>
              </w:tc>
              <w:tc>
                <w:tcPr>
                  <w:tcW w:w="727" w:type="dxa"/>
                  <w:vMerge w:val="continue"/>
                  <w:vAlign w:val="center"/>
                </w:tcPr>
                <w:p w14:paraId="1738200F">
                  <w:pPr>
                    <w:jc w:val="center"/>
                    <w:rPr>
                      <w:color w:val="auto"/>
                      <w:szCs w:val="21"/>
                    </w:rPr>
                  </w:pPr>
                </w:p>
              </w:tc>
            </w:tr>
            <w:tr w14:paraId="17382015">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2011">
                  <w:pPr>
                    <w:jc w:val="center"/>
                    <w:rPr>
                      <w:color w:val="auto"/>
                      <w:szCs w:val="21"/>
                    </w:rPr>
                  </w:pPr>
                </w:p>
              </w:tc>
              <w:tc>
                <w:tcPr>
                  <w:tcW w:w="3554" w:type="dxa"/>
                  <w:gridSpan w:val="2"/>
                  <w:vAlign w:val="center"/>
                </w:tcPr>
                <w:p w14:paraId="17382012">
                  <w:pPr>
                    <w:widowControl/>
                    <w:adjustRightInd w:val="0"/>
                    <w:snapToGrid w:val="0"/>
                    <w:jc w:val="both"/>
                    <w:rPr>
                      <w:rFonts w:hint="eastAsia" w:hAnsi="宋体"/>
                      <w:color w:val="auto"/>
                      <w:szCs w:val="21"/>
                    </w:rPr>
                  </w:pPr>
                  <w:r>
                    <w:rPr>
                      <w:rFonts w:hAnsi="宋体"/>
                      <w:color w:val="auto"/>
                      <w:szCs w:val="21"/>
                    </w:rPr>
                    <w:t>禁止在化工企业周边建设不符合安全距离规定的劳动</w:t>
                  </w:r>
                </w:p>
              </w:tc>
              <w:tc>
                <w:tcPr>
                  <w:tcW w:w="2068" w:type="dxa"/>
                  <w:vAlign w:val="center"/>
                </w:tcPr>
                <w:p w14:paraId="17382013">
                  <w:pPr>
                    <w:jc w:val="both"/>
                    <w:rPr>
                      <w:color w:val="auto"/>
                      <w:szCs w:val="21"/>
                    </w:rPr>
                  </w:pPr>
                  <w:r>
                    <w:rPr>
                      <w:rFonts w:hint="eastAsia"/>
                      <w:color w:val="auto"/>
                      <w:szCs w:val="21"/>
                    </w:rPr>
                    <w:t>本项目周边无化工企业。</w:t>
                  </w:r>
                </w:p>
              </w:tc>
              <w:tc>
                <w:tcPr>
                  <w:tcW w:w="727" w:type="dxa"/>
                  <w:vMerge w:val="continue"/>
                  <w:vAlign w:val="center"/>
                </w:tcPr>
                <w:p w14:paraId="17382014">
                  <w:pPr>
                    <w:jc w:val="center"/>
                    <w:rPr>
                      <w:color w:val="auto"/>
                      <w:szCs w:val="21"/>
                    </w:rPr>
                  </w:pPr>
                </w:p>
              </w:tc>
            </w:tr>
            <w:tr w14:paraId="1738201A">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2016">
                  <w:pPr>
                    <w:jc w:val="center"/>
                    <w:rPr>
                      <w:color w:val="auto"/>
                      <w:szCs w:val="21"/>
                    </w:rPr>
                  </w:pPr>
                </w:p>
              </w:tc>
              <w:tc>
                <w:tcPr>
                  <w:tcW w:w="3554" w:type="dxa"/>
                  <w:gridSpan w:val="2"/>
                  <w:vAlign w:val="center"/>
                </w:tcPr>
                <w:p w14:paraId="17382017">
                  <w:pPr>
                    <w:widowControl/>
                    <w:adjustRightInd w:val="0"/>
                    <w:snapToGrid w:val="0"/>
                    <w:jc w:val="both"/>
                    <w:rPr>
                      <w:rFonts w:hint="eastAsia" w:hAnsi="宋体"/>
                      <w:color w:val="auto"/>
                      <w:szCs w:val="21"/>
                    </w:rPr>
                  </w:pPr>
                  <w:r>
                    <w:rPr>
                      <w:rFonts w:hAnsi="宋体"/>
                      <w:color w:val="auto"/>
                      <w:szCs w:val="21"/>
                    </w:rPr>
                    <w:t>禁止新建、扩建不符合国家和省产业政策的尿素、磷铵、电石、烧碱、聚氯乙烯、纯碱等行业新增产能项目。</w:t>
                  </w:r>
                </w:p>
              </w:tc>
              <w:tc>
                <w:tcPr>
                  <w:tcW w:w="2068" w:type="dxa"/>
                  <w:vMerge w:val="restart"/>
                  <w:vAlign w:val="center"/>
                </w:tcPr>
                <w:p w14:paraId="17382018">
                  <w:pPr>
                    <w:jc w:val="both"/>
                    <w:rPr>
                      <w:color w:val="auto"/>
                      <w:szCs w:val="21"/>
                    </w:rPr>
                  </w:pPr>
                  <w:r>
                    <w:rPr>
                      <w:rFonts w:hint="eastAsia"/>
                      <w:color w:val="auto"/>
                      <w:szCs w:val="21"/>
                    </w:rPr>
                    <w:t>本项目不属于</w:t>
                  </w:r>
                  <w:r>
                    <w:rPr>
                      <w:rFonts w:hAnsi="宋体"/>
                      <w:color w:val="auto"/>
                      <w:szCs w:val="21"/>
                    </w:rPr>
                    <w:t>尿素、磷铵、电石、烧碱、聚氯乙烯、纯碱</w:t>
                  </w:r>
                  <w:r>
                    <w:rPr>
                      <w:rFonts w:hint="eastAsia" w:hAnsi="宋体"/>
                      <w:color w:val="auto"/>
                      <w:szCs w:val="21"/>
                    </w:rPr>
                    <w:t>等行业新增产能项目，不属于农药、医药和染料中间体化工项目，不属于焦化项目，不属于限制类、淘汰类、禁止类项目，不属于过剩产能行业、明令淘汰的安全生产落后工艺及装备项目，不属于高能耗、高排放项目。</w:t>
                  </w:r>
                </w:p>
              </w:tc>
              <w:tc>
                <w:tcPr>
                  <w:tcW w:w="727" w:type="dxa"/>
                  <w:vMerge w:val="continue"/>
                  <w:vAlign w:val="center"/>
                </w:tcPr>
                <w:p w14:paraId="17382019">
                  <w:pPr>
                    <w:jc w:val="center"/>
                    <w:rPr>
                      <w:color w:val="auto"/>
                      <w:szCs w:val="21"/>
                    </w:rPr>
                  </w:pPr>
                </w:p>
              </w:tc>
            </w:tr>
            <w:tr w14:paraId="1738201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201B">
                  <w:pPr>
                    <w:jc w:val="center"/>
                    <w:rPr>
                      <w:color w:val="auto"/>
                      <w:szCs w:val="21"/>
                    </w:rPr>
                  </w:pPr>
                </w:p>
              </w:tc>
              <w:tc>
                <w:tcPr>
                  <w:tcW w:w="3554" w:type="dxa"/>
                  <w:gridSpan w:val="2"/>
                  <w:vAlign w:val="center"/>
                </w:tcPr>
                <w:p w14:paraId="1738201C">
                  <w:pPr>
                    <w:widowControl/>
                    <w:adjustRightInd w:val="0"/>
                    <w:snapToGrid w:val="0"/>
                    <w:jc w:val="both"/>
                    <w:rPr>
                      <w:rFonts w:hint="eastAsia" w:hAnsi="宋体"/>
                      <w:color w:val="auto"/>
                      <w:szCs w:val="21"/>
                    </w:rPr>
                  </w:pPr>
                  <w:r>
                    <w:rPr>
                      <w:rFonts w:hAnsi="宋体"/>
                      <w:color w:val="auto"/>
                      <w:szCs w:val="21"/>
                    </w:rPr>
                    <w:t>禁止新建、改建、扩建高毒、高残留以及对环境影响大的农药原药(化学合成类)项目，禁止新建、扩建不符合国家和省产业政策的农药、医药和染料中间体化工项目。</w:t>
                  </w:r>
                </w:p>
              </w:tc>
              <w:tc>
                <w:tcPr>
                  <w:tcW w:w="2068" w:type="dxa"/>
                  <w:vMerge w:val="continue"/>
                  <w:vAlign w:val="center"/>
                </w:tcPr>
                <w:p w14:paraId="1738201D">
                  <w:pPr>
                    <w:jc w:val="both"/>
                    <w:rPr>
                      <w:color w:val="auto"/>
                      <w:szCs w:val="21"/>
                    </w:rPr>
                  </w:pPr>
                </w:p>
              </w:tc>
              <w:tc>
                <w:tcPr>
                  <w:tcW w:w="727" w:type="dxa"/>
                  <w:vMerge w:val="continue"/>
                  <w:vAlign w:val="center"/>
                </w:tcPr>
                <w:p w14:paraId="1738201E">
                  <w:pPr>
                    <w:jc w:val="center"/>
                    <w:rPr>
                      <w:color w:val="auto"/>
                      <w:szCs w:val="21"/>
                    </w:rPr>
                  </w:pPr>
                </w:p>
              </w:tc>
            </w:tr>
            <w:tr w14:paraId="1738202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2020">
                  <w:pPr>
                    <w:jc w:val="center"/>
                    <w:rPr>
                      <w:color w:val="auto"/>
                      <w:szCs w:val="21"/>
                    </w:rPr>
                  </w:pPr>
                </w:p>
              </w:tc>
              <w:tc>
                <w:tcPr>
                  <w:tcW w:w="3554" w:type="dxa"/>
                  <w:gridSpan w:val="2"/>
                  <w:vAlign w:val="center"/>
                </w:tcPr>
                <w:p w14:paraId="17382021">
                  <w:pPr>
                    <w:widowControl/>
                    <w:adjustRightInd w:val="0"/>
                    <w:snapToGrid w:val="0"/>
                    <w:jc w:val="both"/>
                    <w:rPr>
                      <w:rFonts w:hint="eastAsia" w:hAnsi="宋体"/>
                      <w:color w:val="auto"/>
                      <w:szCs w:val="21"/>
                    </w:rPr>
                  </w:pPr>
                  <w:r>
                    <w:rPr>
                      <w:rFonts w:hAnsi="宋体"/>
                      <w:color w:val="auto"/>
                      <w:szCs w:val="21"/>
                    </w:rPr>
                    <w:t>禁止新建、扩建不符合国家石化、现代煤化工等产业布局规划的项目，禁止新建独立焦化项目。</w:t>
                  </w:r>
                </w:p>
              </w:tc>
              <w:tc>
                <w:tcPr>
                  <w:tcW w:w="2068" w:type="dxa"/>
                  <w:vMerge w:val="continue"/>
                  <w:vAlign w:val="center"/>
                </w:tcPr>
                <w:p w14:paraId="17382022">
                  <w:pPr>
                    <w:jc w:val="both"/>
                    <w:rPr>
                      <w:color w:val="auto"/>
                      <w:szCs w:val="21"/>
                    </w:rPr>
                  </w:pPr>
                </w:p>
              </w:tc>
              <w:tc>
                <w:tcPr>
                  <w:tcW w:w="727" w:type="dxa"/>
                  <w:vMerge w:val="continue"/>
                  <w:vAlign w:val="center"/>
                </w:tcPr>
                <w:p w14:paraId="17382023">
                  <w:pPr>
                    <w:jc w:val="center"/>
                    <w:rPr>
                      <w:color w:val="auto"/>
                      <w:szCs w:val="21"/>
                    </w:rPr>
                  </w:pPr>
                </w:p>
              </w:tc>
            </w:tr>
            <w:tr w14:paraId="1738202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2025">
                  <w:pPr>
                    <w:jc w:val="center"/>
                    <w:rPr>
                      <w:color w:val="auto"/>
                      <w:szCs w:val="21"/>
                    </w:rPr>
                  </w:pPr>
                </w:p>
              </w:tc>
              <w:tc>
                <w:tcPr>
                  <w:tcW w:w="3554" w:type="dxa"/>
                  <w:gridSpan w:val="2"/>
                  <w:vAlign w:val="center"/>
                </w:tcPr>
                <w:p w14:paraId="17382026">
                  <w:pPr>
                    <w:widowControl/>
                    <w:adjustRightInd w:val="0"/>
                    <w:snapToGrid w:val="0"/>
                    <w:jc w:val="both"/>
                    <w:rPr>
                      <w:rFonts w:hint="eastAsia" w:hAnsi="宋体"/>
                      <w:color w:val="auto"/>
                      <w:szCs w:val="21"/>
                    </w:rPr>
                  </w:pPr>
                  <w:r>
                    <w:rPr>
                      <w:rFonts w:hAnsi="宋体"/>
                      <w:color w:val="auto"/>
                      <w:szCs w:val="21"/>
                    </w:rPr>
                    <w:t>禁止新建、扩建国家《产业结构调整指导目录》《江苏省产业结构调整限制、淘汰和禁止目录》明确的限制类、淘汰类、禁止类项目，法律法规和相关政策明令禁止的落后产能项目，以及明令淘汰的安全生产落后工艺及装备项目。</w:t>
                  </w:r>
                </w:p>
              </w:tc>
              <w:tc>
                <w:tcPr>
                  <w:tcW w:w="2068" w:type="dxa"/>
                  <w:vMerge w:val="continue"/>
                  <w:vAlign w:val="center"/>
                </w:tcPr>
                <w:p w14:paraId="17382027">
                  <w:pPr>
                    <w:jc w:val="both"/>
                    <w:rPr>
                      <w:color w:val="auto"/>
                      <w:szCs w:val="21"/>
                    </w:rPr>
                  </w:pPr>
                </w:p>
              </w:tc>
              <w:tc>
                <w:tcPr>
                  <w:tcW w:w="727" w:type="dxa"/>
                  <w:vMerge w:val="continue"/>
                  <w:vAlign w:val="center"/>
                </w:tcPr>
                <w:p w14:paraId="17382028">
                  <w:pPr>
                    <w:jc w:val="center"/>
                    <w:rPr>
                      <w:color w:val="auto"/>
                      <w:szCs w:val="21"/>
                    </w:rPr>
                  </w:pPr>
                </w:p>
              </w:tc>
            </w:tr>
            <w:tr w14:paraId="1738202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202A">
                  <w:pPr>
                    <w:jc w:val="center"/>
                    <w:rPr>
                      <w:color w:val="auto"/>
                      <w:szCs w:val="21"/>
                    </w:rPr>
                  </w:pPr>
                </w:p>
              </w:tc>
              <w:tc>
                <w:tcPr>
                  <w:tcW w:w="3554" w:type="dxa"/>
                  <w:gridSpan w:val="2"/>
                  <w:vAlign w:val="center"/>
                </w:tcPr>
                <w:p w14:paraId="1738202B">
                  <w:pPr>
                    <w:widowControl/>
                    <w:adjustRightInd w:val="0"/>
                    <w:snapToGrid w:val="0"/>
                    <w:jc w:val="both"/>
                    <w:rPr>
                      <w:rFonts w:hint="eastAsia" w:hAnsi="宋体"/>
                      <w:color w:val="auto"/>
                      <w:szCs w:val="21"/>
                    </w:rPr>
                  </w:pPr>
                  <w:r>
                    <w:rPr>
                      <w:rFonts w:hAnsi="宋体"/>
                      <w:color w:val="auto"/>
                      <w:szCs w:val="21"/>
                    </w:rPr>
                    <w:t>禁止新建、扩建不符合国家产能置换要求的严重过剩产能行业的项目。禁止新建、扩建不符合要求的高耗能高排放项目。</w:t>
                  </w:r>
                </w:p>
              </w:tc>
              <w:tc>
                <w:tcPr>
                  <w:tcW w:w="2068" w:type="dxa"/>
                  <w:vMerge w:val="continue"/>
                  <w:vAlign w:val="center"/>
                </w:tcPr>
                <w:p w14:paraId="1738202C">
                  <w:pPr>
                    <w:jc w:val="both"/>
                    <w:rPr>
                      <w:color w:val="auto"/>
                      <w:szCs w:val="21"/>
                    </w:rPr>
                  </w:pPr>
                </w:p>
              </w:tc>
              <w:tc>
                <w:tcPr>
                  <w:tcW w:w="727" w:type="dxa"/>
                  <w:vMerge w:val="continue"/>
                  <w:vAlign w:val="center"/>
                </w:tcPr>
                <w:p w14:paraId="1738202D">
                  <w:pPr>
                    <w:jc w:val="center"/>
                    <w:rPr>
                      <w:color w:val="auto"/>
                      <w:szCs w:val="21"/>
                    </w:rPr>
                  </w:pPr>
                </w:p>
              </w:tc>
            </w:tr>
            <w:tr w14:paraId="1738203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202F">
                  <w:pPr>
                    <w:jc w:val="center"/>
                    <w:rPr>
                      <w:color w:val="auto"/>
                      <w:szCs w:val="21"/>
                    </w:rPr>
                  </w:pPr>
                </w:p>
              </w:tc>
              <w:tc>
                <w:tcPr>
                  <w:tcW w:w="3554" w:type="dxa"/>
                  <w:gridSpan w:val="2"/>
                  <w:vAlign w:val="center"/>
                </w:tcPr>
                <w:p w14:paraId="17382030">
                  <w:pPr>
                    <w:widowControl/>
                    <w:adjustRightInd w:val="0"/>
                    <w:snapToGrid w:val="0"/>
                    <w:jc w:val="both"/>
                    <w:rPr>
                      <w:rFonts w:hint="eastAsia" w:hAnsi="宋体"/>
                      <w:color w:val="auto"/>
                      <w:szCs w:val="21"/>
                    </w:rPr>
                  </w:pPr>
                  <w:r>
                    <w:rPr>
                      <w:rFonts w:hAnsi="宋体"/>
                      <w:color w:val="auto"/>
                      <w:szCs w:val="21"/>
                    </w:rPr>
                    <w:t>法律法规及相关政策文件有更加严格规定的从其规定。</w:t>
                  </w:r>
                </w:p>
              </w:tc>
              <w:tc>
                <w:tcPr>
                  <w:tcW w:w="2068" w:type="dxa"/>
                  <w:vMerge w:val="continue"/>
                  <w:vAlign w:val="center"/>
                </w:tcPr>
                <w:p w14:paraId="17382031">
                  <w:pPr>
                    <w:jc w:val="both"/>
                    <w:rPr>
                      <w:color w:val="auto"/>
                      <w:szCs w:val="21"/>
                    </w:rPr>
                  </w:pPr>
                </w:p>
              </w:tc>
              <w:tc>
                <w:tcPr>
                  <w:tcW w:w="727" w:type="dxa"/>
                  <w:vMerge w:val="continue"/>
                  <w:vAlign w:val="center"/>
                </w:tcPr>
                <w:p w14:paraId="17382032">
                  <w:pPr>
                    <w:jc w:val="center"/>
                    <w:rPr>
                      <w:color w:val="auto"/>
                      <w:szCs w:val="21"/>
                    </w:rPr>
                  </w:pPr>
                </w:p>
              </w:tc>
            </w:tr>
            <w:tr w14:paraId="17382038">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vAlign w:val="center"/>
                </w:tcPr>
                <w:p w14:paraId="17382034">
                  <w:pPr>
                    <w:adjustRightInd w:val="0"/>
                    <w:snapToGrid w:val="0"/>
                    <w:jc w:val="center"/>
                    <w:rPr>
                      <w:color w:val="auto"/>
                      <w:szCs w:val="21"/>
                    </w:rPr>
                  </w:pPr>
                  <w:r>
                    <w:rPr>
                      <w:color w:val="auto"/>
                      <w:szCs w:val="21"/>
                    </w:rPr>
                    <w:t>《省政府办公厅关于印发江苏省</w:t>
                  </w:r>
                  <w:r>
                    <w:rPr>
                      <w:rFonts w:hint="eastAsia"/>
                      <w:color w:val="auto"/>
                      <w:szCs w:val="21"/>
                    </w:rPr>
                    <w:t>“</w:t>
                  </w:r>
                  <w:r>
                    <w:rPr>
                      <w:color w:val="auto"/>
                      <w:szCs w:val="21"/>
                    </w:rPr>
                    <w:t>十四五</w:t>
                  </w:r>
                  <w:r>
                    <w:rPr>
                      <w:rFonts w:hint="eastAsia"/>
                      <w:color w:val="auto"/>
                      <w:szCs w:val="21"/>
                    </w:rPr>
                    <w:t>”</w:t>
                  </w:r>
                  <w:r>
                    <w:rPr>
                      <w:color w:val="auto"/>
                      <w:szCs w:val="21"/>
                    </w:rPr>
                    <w:t>生态环境保护规划的通知》（苏政办发[2021]84号）</w:t>
                  </w:r>
                </w:p>
              </w:tc>
              <w:tc>
                <w:tcPr>
                  <w:tcW w:w="3554" w:type="dxa"/>
                  <w:gridSpan w:val="2"/>
                  <w:vAlign w:val="center"/>
                </w:tcPr>
                <w:p w14:paraId="17382035">
                  <w:pPr>
                    <w:widowControl/>
                    <w:jc w:val="both"/>
                    <w:rPr>
                      <w:color w:val="auto"/>
                      <w:szCs w:val="21"/>
                    </w:rPr>
                  </w:pPr>
                  <w:r>
                    <w:rPr>
                      <w:color w:val="auto"/>
                      <w:szCs w:val="21"/>
                    </w:rPr>
                    <w:t>大力推进源头替代，按照</w:t>
                  </w:r>
                  <w:r>
                    <w:rPr>
                      <w:rFonts w:hint="eastAsia"/>
                      <w:color w:val="auto"/>
                      <w:szCs w:val="21"/>
                    </w:rPr>
                    <w:t>“</w:t>
                  </w:r>
                  <w:r>
                    <w:rPr>
                      <w:color w:val="auto"/>
                      <w:szCs w:val="21"/>
                    </w:rPr>
                    <w:t>可替尽替、应代尽代</w:t>
                  </w:r>
                  <w:r>
                    <w:rPr>
                      <w:rFonts w:hint="eastAsia"/>
                      <w:color w:val="auto"/>
                      <w:szCs w:val="21"/>
                    </w:rPr>
                    <w:t>”</w:t>
                  </w:r>
                  <w:r>
                    <w:rPr>
                      <w:color w:val="auto"/>
                      <w:szCs w:val="21"/>
                    </w:rPr>
                    <w:t>的原则，推进实施源头替代，培育一批源头替代示范型企业。加大工业涂装、包装印刷等行业源头替代力度，在化工行业推广使用低（无）VOCs含量、低反应活性的原辅材料，加快芳香烃、含卤素有机化合物的绿色替代。严格准入要求，禁止建设生产和使用高VOCs含量的溶剂型涂料、油墨、胶黏剂等项目。</w:t>
                  </w:r>
                </w:p>
              </w:tc>
              <w:tc>
                <w:tcPr>
                  <w:tcW w:w="2068" w:type="dxa"/>
                  <w:vAlign w:val="center"/>
                </w:tcPr>
                <w:p w14:paraId="17382036">
                  <w:pPr>
                    <w:widowControl/>
                    <w:jc w:val="both"/>
                    <w:rPr>
                      <w:rFonts w:hint="default" w:eastAsia="宋体"/>
                      <w:color w:val="auto"/>
                      <w:szCs w:val="21"/>
                      <w:lang w:val="en-US" w:eastAsia="zh-CN"/>
                    </w:rPr>
                  </w:pPr>
                  <w:r>
                    <w:rPr>
                      <w:rFonts w:hint="eastAsia"/>
                      <w:color w:val="auto"/>
                      <w:szCs w:val="21"/>
                    </w:rPr>
                    <w:t>本</w:t>
                  </w:r>
                  <w:r>
                    <w:rPr>
                      <w:color w:val="auto"/>
                      <w:szCs w:val="21"/>
                    </w:rPr>
                    <w:t>项目不涉及使用、油墨、胶黏剂等</w:t>
                  </w:r>
                  <w:r>
                    <w:rPr>
                      <w:rFonts w:hint="eastAsia"/>
                      <w:color w:val="auto"/>
                      <w:kern w:val="0"/>
                      <w:szCs w:val="21"/>
                      <w:lang w:eastAsia="zh-CN"/>
                    </w:rPr>
                    <w:t>，</w:t>
                  </w:r>
                  <w:r>
                    <w:rPr>
                      <w:rFonts w:hint="eastAsia"/>
                      <w:color w:val="auto"/>
                      <w:kern w:val="0"/>
                      <w:szCs w:val="21"/>
                      <w:lang w:val="en-US" w:eastAsia="zh-CN"/>
                    </w:rPr>
                    <w:t>所使用塑粉为低挥发性涂料。</w:t>
                  </w:r>
                </w:p>
              </w:tc>
              <w:tc>
                <w:tcPr>
                  <w:tcW w:w="727" w:type="dxa"/>
                  <w:vMerge w:val="restart"/>
                  <w:vAlign w:val="center"/>
                </w:tcPr>
                <w:p w14:paraId="17382037">
                  <w:pPr>
                    <w:adjustRightInd w:val="0"/>
                    <w:snapToGrid w:val="0"/>
                    <w:jc w:val="center"/>
                    <w:rPr>
                      <w:color w:val="auto"/>
                      <w:szCs w:val="21"/>
                    </w:rPr>
                  </w:pPr>
                  <w:r>
                    <w:rPr>
                      <w:color w:val="auto"/>
                      <w:szCs w:val="21"/>
                    </w:rPr>
                    <w:t>符合</w:t>
                  </w:r>
                </w:p>
              </w:tc>
            </w:tr>
            <w:tr w14:paraId="1738203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17382039">
                  <w:pPr>
                    <w:jc w:val="center"/>
                    <w:rPr>
                      <w:color w:val="auto"/>
                      <w:szCs w:val="21"/>
                    </w:rPr>
                  </w:pPr>
                </w:p>
              </w:tc>
              <w:tc>
                <w:tcPr>
                  <w:tcW w:w="3554" w:type="dxa"/>
                  <w:gridSpan w:val="2"/>
                  <w:vAlign w:val="center"/>
                </w:tcPr>
                <w:p w14:paraId="1738203A">
                  <w:pPr>
                    <w:adjustRightInd w:val="0"/>
                    <w:snapToGrid w:val="0"/>
                    <w:jc w:val="both"/>
                    <w:rPr>
                      <w:color w:val="auto"/>
                      <w:szCs w:val="21"/>
                    </w:rPr>
                  </w:pPr>
                  <w:r>
                    <w:rPr>
                      <w:color w:val="auto"/>
                      <w:szCs w:val="21"/>
                    </w:rPr>
                    <w:t>强化危险废物全过程环境监管。制定危险废物利用处置技术规范，探索分级分类管理，完善危险废物全生命周期监控系统，进一步提升监管能力。加强危险废物流向监控，实现全省运输电子运单和转移电子联单对接，严厉打击危险废物非法转移处置倾倒等违法犯罪行为。建立危险废物跨省转移“白名单”制度。</w:t>
                  </w:r>
                </w:p>
              </w:tc>
              <w:tc>
                <w:tcPr>
                  <w:tcW w:w="2068" w:type="dxa"/>
                  <w:vAlign w:val="center"/>
                </w:tcPr>
                <w:p w14:paraId="1738203B">
                  <w:pPr>
                    <w:adjustRightInd w:val="0"/>
                    <w:snapToGrid w:val="0"/>
                    <w:jc w:val="both"/>
                    <w:rPr>
                      <w:color w:val="auto"/>
                      <w:szCs w:val="21"/>
                    </w:rPr>
                  </w:pPr>
                  <w:r>
                    <w:rPr>
                      <w:rFonts w:hint="default" w:ascii="Times New Roman" w:hAnsi="Times New Roman" w:eastAsia="宋体" w:cs="Times New Roman"/>
                      <w:color w:val="auto"/>
                      <w:szCs w:val="21"/>
                      <w:lang w:val="en-US" w:eastAsia="zh-CN"/>
                    </w:rPr>
                    <w:t>本项目建成后，产生危险废物废机油、废机油桶、废防锈油、废防锈油包装桶、废活性炭等，经收集后暂存于20m</w:t>
                  </w:r>
                  <w:r>
                    <w:rPr>
                      <w:rFonts w:hint="default" w:ascii="Times New Roman" w:hAnsi="Times New Roman" w:eastAsia="宋体" w:cs="Times New Roman"/>
                      <w:color w:val="auto"/>
                      <w:szCs w:val="21"/>
                      <w:vertAlign w:val="superscript"/>
                      <w:lang w:val="en-US" w:eastAsia="zh-CN"/>
                    </w:rPr>
                    <w:t>2</w:t>
                  </w:r>
                  <w:r>
                    <w:rPr>
                      <w:rFonts w:hint="default" w:ascii="Times New Roman" w:hAnsi="Times New Roman" w:eastAsia="宋体" w:cs="Times New Roman"/>
                      <w:color w:val="auto"/>
                      <w:szCs w:val="21"/>
                      <w:lang w:val="en-US" w:eastAsia="zh-CN"/>
                    </w:rPr>
                    <w:t>危废暂存间</w:t>
                  </w:r>
                  <w:r>
                    <w:rPr>
                      <w:rFonts w:hint="eastAsia" w:ascii="Times New Roman" w:hAnsi="Times New Roman" w:eastAsia="宋体" w:cs="Times New Roman"/>
                      <w:color w:val="auto"/>
                      <w:szCs w:val="21"/>
                      <w:lang w:val="en-US" w:eastAsia="zh-CN"/>
                    </w:rPr>
                    <w:t>。要求企业</w:t>
                  </w:r>
                  <w:r>
                    <w:rPr>
                      <w:rFonts w:hint="default" w:ascii="Times New Roman" w:hAnsi="Times New Roman" w:eastAsia="宋体" w:cs="Times New Roman"/>
                      <w:color w:val="auto"/>
                      <w:szCs w:val="21"/>
                    </w:rPr>
                    <w:t>在“江苏省污染源“一企一档”管理系统”（环保脸谱系统）完善危险废物全生命周期监控系统并加强危险废物流向监控</w:t>
                  </w:r>
                  <w:r>
                    <w:rPr>
                      <w:color w:val="auto"/>
                      <w:szCs w:val="21"/>
                    </w:rPr>
                    <w:t>。</w:t>
                  </w:r>
                </w:p>
              </w:tc>
              <w:tc>
                <w:tcPr>
                  <w:tcW w:w="727" w:type="dxa"/>
                  <w:vMerge w:val="continue"/>
                  <w:vAlign w:val="center"/>
                </w:tcPr>
                <w:p w14:paraId="1738203C">
                  <w:pPr>
                    <w:jc w:val="center"/>
                    <w:rPr>
                      <w:color w:val="auto"/>
                      <w:szCs w:val="21"/>
                    </w:rPr>
                  </w:pPr>
                </w:p>
              </w:tc>
            </w:tr>
            <w:tr w14:paraId="390E4CCE">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vAlign w:val="center"/>
                </w:tcPr>
                <w:p w14:paraId="64264E1E">
                  <w:pPr>
                    <w:jc w:val="center"/>
                    <w:rPr>
                      <w:color w:val="auto"/>
                      <w:szCs w:val="21"/>
                    </w:rPr>
                  </w:pPr>
                  <w:r>
                    <w:rPr>
                      <w:rFonts w:ascii="Times New Roman" w:hAnsi="Times New Roman" w:cs="Times New Roman"/>
                      <w:color w:val="auto"/>
                      <w:sz w:val="21"/>
                      <w:szCs w:val="21"/>
                    </w:rPr>
                    <w:t>《江苏省生态环境厅关于进一步做好建设项目环评审批工作的通知》</w:t>
                  </w:r>
                  <w:r>
                    <w:rPr>
                      <w:rFonts w:hint="eastAsia" w:ascii="Times New Roman" w:hAnsi="Times New Roman" w:cs="Times New Roman"/>
                      <w:color w:val="auto"/>
                      <w:sz w:val="21"/>
                      <w:szCs w:val="21"/>
                    </w:rPr>
                    <w:t>（</w:t>
                  </w:r>
                  <w:r>
                    <w:rPr>
                      <w:rFonts w:hint="eastAsia" w:ascii="Times New Roman" w:hAnsi="Times New Roman" w:cs="Times New Roman"/>
                      <w:color w:val="auto"/>
                      <w:sz w:val="21"/>
                      <w:szCs w:val="21"/>
                      <w:lang w:val="en-US"/>
                    </w:rPr>
                    <w:t>苏环办[2019]36号</w:t>
                  </w:r>
                  <w:r>
                    <w:rPr>
                      <w:rFonts w:hint="eastAsia" w:ascii="Times New Roman" w:hAnsi="Times New Roman" w:cs="Times New Roman"/>
                      <w:color w:val="auto"/>
                      <w:sz w:val="21"/>
                      <w:szCs w:val="21"/>
                    </w:rPr>
                    <w:t>）</w:t>
                  </w:r>
                </w:p>
              </w:tc>
              <w:tc>
                <w:tcPr>
                  <w:tcW w:w="565" w:type="dxa"/>
                  <w:vMerge w:val="restart"/>
                  <w:vAlign w:val="center"/>
                </w:tcPr>
                <w:p w14:paraId="2743DDCE">
                  <w:pPr>
                    <w:tabs>
                      <w:tab w:val="left" w:pos="1418"/>
                    </w:tabs>
                    <w:adjustRightInd w:val="0"/>
                    <w:snapToGrid w:val="0"/>
                    <w:jc w:val="both"/>
                    <w:rPr>
                      <w:color w:val="auto"/>
                      <w:szCs w:val="21"/>
                    </w:rPr>
                  </w:pPr>
                  <w:r>
                    <w:rPr>
                      <w:color w:val="auto"/>
                      <w:szCs w:val="21"/>
                    </w:rPr>
                    <w:t>以下情形不予审批</w:t>
                  </w:r>
                </w:p>
              </w:tc>
              <w:tc>
                <w:tcPr>
                  <w:tcW w:w="2989" w:type="dxa"/>
                  <w:vAlign w:val="center"/>
                </w:tcPr>
                <w:p w14:paraId="3FA269A9">
                  <w:pPr>
                    <w:tabs>
                      <w:tab w:val="left" w:pos="1418"/>
                    </w:tabs>
                    <w:adjustRightInd w:val="0"/>
                    <w:snapToGrid w:val="0"/>
                    <w:jc w:val="both"/>
                    <w:rPr>
                      <w:color w:val="auto"/>
                      <w:szCs w:val="21"/>
                    </w:rPr>
                  </w:pPr>
                  <w:r>
                    <w:rPr>
                      <w:color w:val="auto"/>
                      <w:szCs w:val="21"/>
                    </w:rPr>
                    <w:t>建设项目类型及其选址、布局、规模等不符合环境保护法律法规和相关法定规划</w:t>
                  </w:r>
                </w:p>
              </w:tc>
              <w:tc>
                <w:tcPr>
                  <w:tcW w:w="2068" w:type="dxa"/>
                  <w:vAlign w:val="center"/>
                </w:tcPr>
                <w:p w14:paraId="3B7522F6">
                  <w:pPr>
                    <w:adjustRightInd w:val="0"/>
                    <w:snapToGrid w:val="0"/>
                    <w:jc w:val="both"/>
                    <w:rPr>
                      <w:rFonts w:hint="default" w:ascii="Times New Roman" w:hAnsi="Times New Roman" w:eastAsia="宋体" w:cs="Times New Roman"/>
                      <w:color w:val="auto"/>
                      <w:szCs w:val="21"/>
                      <w:lang w:val="en-US" w:eastAsia="zh-CN"/>
                    </w:rPr>
                  </w:pPr>
                  <w:r>
                    <w:rPr>
                      <w:rFonts w:hint="eastAsia"/>
                      <w:color w:val="auto"/>
                      <w:szCs w:val="21"/>
                      <w:lang w:val="en-US" w:eastAsia="zh-CN"/>
                    </w:rPr>
                    <w:t>根据“三线一单”分析</w:t>
                  </w:r>
                  <w:r>
                    <w:rPr>
                      <w:color w:val="auto"/>
                      <w:szCs w:val="21"/>
                    </w:rPr>
                    <w:t>可知，</w:t>
                  </w:r>
                  <w:r>
                    <w:rPr>
                      <w:rFonts w:hint="eastAsia"/>
                      <w:color w:val="auto"/>
                      <w:szCs w:val="21"/>
                      <w:lang w:val="en-US" w:eastAsia="zh-CN"/>
                    </w:rPr>
                    <w:t>本</w:t>
                  </w:r>
                  <w:r>
                    <w:rPr>
                      <w:color w:val="auto"/>
                      <w:szCs w:val="21"/>
                    </w:rPr>
                    <w:t>项目类型及其选址、布局、规模等均符合环境保护法律法规和相关法定规划。</w:t>
                  </w:r>
                </w:p>
              </w:tc>
              <w:tc>
                <w:tcPr>
                  <w:tcW w:w="727" w:type="dxa"/>
                  <w:vMerge w:val="restart"/>
                  <w:vAlign w:val="center"/>
                </w:tcPr>
                <w:p w14:paraId="2E897C9C">
                  <w:pPr>
                    <w:jc w:val="center"/>
                    <w:rPr>
                      <w:rFonts w:hint="eastAsia" w:eastAsia="宋体"/>
                      <w:color w:val="auto"/>
                      <w:szCs w:val="21"/>
                      <w:lang w:val="en-US" w:eastAsia="zh-CN"/>
                    </w:rPr>
                  </w:pPr>
                  <w:r>
                    <w:rPr>
                      <w:rFonts w:hint="eastAsia"/>
                      <w:color w:val="auto"/>
                      <w:szCs w:val="21"/>
                      <w:lang w:val="en-US" w:eastAsia="zh-CN"/>
                    </w:rPr>
                    <w:t>符合</w:t>
                  </w:r>
                </w:p>
              </w:tc>
            </w:tr>
            <w:tr w14:paraId="4C4961F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7CEB5D7A">
                  <w:pPr>
                    <w:jc w:val="center"/>
                    <w:rPr>
                      <w:color w:val="auto"/>
                      <w:szCs w:val="21"/>
                    </w:rPr>
                  </w:pPr>
                </w:p>
              </w:tc>
              <w:tc>
                <w:tcPr>
                  <w:tcW w:w="565" w:type="dxa"/>
                  <w:vMerge w:val="continue"/>
                  <w:vAlign w:val="center"/>
                </w:tcPr>
                <w:p w14:paraId="115BB9B5">
                  <w:pPr>
                    <w:keepNext/>
                    <w:overflowPunct w:val="0"/>
                    <w:adjustRightInd w:val="0"/>
                    <w:snapToGrid w:val="0"/>
                    <w:spacing w:before="120" w:after="160" w:line="259" w:lineRule="auto"/>
                    <w:ind w:left="432" w:leftChars="0"/>
                    <w:jc w:val="both"/>
                    <w:outlineLvl w:val="0"/>
                    <w:rPr>
                      <w:color w:val="auto"/>
                      <w:szCs w:val="21"/>
                    </w:rPr>
                  </w:pPr>
                </w:p>
              </w:tc>
              <w:tc>
                <w:tcPr>
                  <w:tcW w:w="2989" w:type="dxa"/>
                  <w:vAlign w:val="center"/>
                </w:tcPr>
                <w:p w14:paraId="05C87D51">
                  <w:pPr>
                    <w:adjustRightInd w:val="0"/>
                    <w:snapToGrid w:val="0"/>
                    <w:jc w:val="both"/>
                    <w:rPr>
                      <w:color w:val="auto"/>
                      <w:szCs w:val="21"/>
                    </w:rPr>
                  </w:pPr>
                  <w:r>
                    <w:rPr>
                      <w:color w:val="auto"/>
                      <w:szCs w:val="21"/>
                    </w:rPr>
                    <w:t>所在区域环境质量未达到国家或者地方环境质量标准，且建设项目拟采取的措施不能满足区域环境质量改善目标管理要求</w:t>
                  </w:r>
                </w:p>
              </w:tc>
              <w:tc>
                <w:tcPr>
                  <w:tcW w:w="2068" w:type="dxa"/>
                  <w:vAlign w:val="center"/>
                </w:tcPr>
                <w:p w14:paraId="6598C7BE">
                  <w:pPr>
                    <w:adjustRightInd w:val="0"/>
                    <w:snapToGrid w:val="0"/>
                    <w:jc w:val="both"/>
                    <w:rPr>
                      <w:rFonts w:hint="default"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根据《2024年淮安市生态环境状况公报》，除细颗粒物（PM</w:t>
                  </w:r>
                  <w:r>
                    <w:rPr>
                      <w:rFonts w:hint="eastAsia" w:ascii="Times New Roman" w:hAnsi="Times New Roman" w:cs="Times New Roman"/>
                      <w:color w:val="auto"/>
                      <w:szCs w:val="21"/>
                      <w:vertAlign w:val="subscript"/>
                      <w:lang w:val="en-US" w:eastAsia="zh-CN"/>
                    </w:rPr>
                    <w:t>2.5</w:t>
                  </w:r>
                  <w:r>
                    <w:rPr>
                      <w:rFonts w:hint="eastAsia" w:ascii="Times New Roman" w:hAnsi="Times New Roman" w:cs="Times New Roman"/>
                      <w:color w:val="auto"/>
                      <w:szCs w:val="21"/>
                      <w:lang w:val="en-US" w:eastAsia="zh-CN"/>
                    </w:rPr>
                    <w:t>）外其余因子均达到国家二级标准限值，建设项目所在地为不达标区。在落实《淮安市2025年大气污染防治工作计划》后，预期淮安市环境空气质量状况会进一步改善</w:t>
                  </w:r>
                  <w:r>
                    <w:rPr>
                      <w:rFonts w:hint="eastAsia" w:cs="Times New Roman"/>
                      <w:color w:val="auto"/>
                      <w:szCs w:val="21"/>
                      <w:lang w:val="en-US" w:eastAsia="zh-CN"/>
                    </w:rPr>
                    <w:t>。</w:t>
                  </w:r>
                  <w:r>
                    <w:rPr>
                      <w:rFonts w:hint="eastAsia" w:ascii="Times New Roman" w:hAnsi="Times New Roman" w:cs="Times New Roman"/>
                      <w:color w:val="auto"/>
                      <w:szCs w:val="21"/>
                      <w:lang w:val="en-US" w:eastAsia="zh-CN"/>
                    </w:rPr>
                    <w:t>2024年，27条主要河流水质保持稳定，本项目周边水环境质量良好。根据江苏安诺检测技术有限公司于2024年11月28日-29日对厂界四周及</w:t>
                  </w:r>
                  <w:r>
                    <w:rPr>
                      <w:rFonts w:hint="eastAsia" w:cs="Times New Roman"/>
                      <w:color w:val="auto"/>
                      <w:szCs w:val="21"/>
                      <w:lang w:val="en-US" w:eastAsia="zh-CN"/>
                    </w:rPr>
                    <w:t>保护目标</w:t>
                  </w:r>
                  <w:r>
                    <w:rPr>
                      <w:rFonts w:hint="eastAsia" w:ascii="Times New Roman" w:hAnsi="Times New Roman" w:cs="Times New Roman"/>
                      <w:color w:val="auto"/>
                      <w:szCs w:val="21"/>
                      <w:lang w:val="en-US" w:eastAsia="zh-CN"/>
                    </w:rPr>
                    <w:t>（张庄镇）进行的噪声监测结果，表明建设项目四周及周围</w:t>
                  </w:r>
                  <w:r>
                    <w:rPr>
                      <w:rFonts w:hint="eastAsia" w:cs="Times New Roman"/>
                      <w:color w:val="auto"/>
                      <w:szCs w:val="21"/>
                      <w:lang w:val="en-US" w:eastAsia="zh-CN"/>
                    </w:rPr>
                    <w:t>声环境保护目标处</w:t>
                  </w:r>
                  <w:r>
                    <w:rPr>
                      <w:rFonts w:hint="eastAsia" w:ascii="Times New Roman" w:hAnsi="Times New Roman" w:cs="Times New Roman"/>
                      <w:color w:val="auto"/>
                      <w:szCs w:val="21"/>
                      <w:lang w:val="en-US" w:eastAsia="zh-CN"/>
                    </w:rPr>
                    <w:t>声环境质量达标。</w:t>
                  </w:r>
                </w:p>
              </w:tc>
              <w:tc>
                <w:tcPr>
                  <w:tcW w:w="727" w:type="dxa"/>
                  <w:vMerge w:val="continue"/>
                  <w:vAlign w:val="center"/>
                </w:tcPr>
                <w:p w14:paraId="293C8616">
                  <w:pPr>
                    <w:jc w:val="center"/>
                    <w:rPr>
                      <w:color w:val="auto"/>
                      <w:szCs w:val="21"/>
                    </w:rPr>
                  </w:pPr>
                </w:p>
              </w:tc>
            </w:tr>
            <w:tr w14:paraId="17149A2A">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21974685">
                  <w:pPr>
                    <w:jc w:val="center"/>
                    <w:rPr>
                      <w:color w:val="auto"/>
                      <w:szCs w:val="21"/>
                    </w:rPr>
                  </w:pPr>
                </w:p>
              </w:tc>
              <w:tc>
                <w:tcPr>
                  <w:tcW w:w="565" w:type="dxa"/>
                  <w:vMerge w:val="continue"/>
                  <w:vAlign w:val="center"/>
                </w:tcPr>
                <w:p w14:paraId="56360CC3">
                  <w:pPr>
                    <w:keepNext/>
                    <w:keepLines/>
                    <w:adjustRightInd w:val="0"/>
                    <w:snapToGrid w:val="0"/>
                    <w:spacing w:before="120" w:after="260" w:line="416" w:lineRule="auto"/>
                    <w:jc w:val="both"/>
                    <w:outlineLvl w:val="2"/>
                    <w:rPr>
                      <w:color w:val="auto"/>
                      <w:szCs w:val="21"/>
                    </w:rPr>
                  </w:pPr>
                </w:p>
              </w:tc>
              <w:tc>
                <w:tcPr>
                  <w:tcW w:w="2989" w:type="dxa"/>
                  <w:vAlign w:val="center"/>
                </w:tcPr>
                <w:p w14:paraId="5F80EB35">
                  <w:pPr>
                    <w:adjustRightInd w:val="0"/>
                    <w:snapToGrid w:val="0"/>
                    <w:jc w:val="both"/>
                    <w:rPr>
                      <w:color w:val="auto"/>
                      <w:szCs w:val="21"/>
                    </w:rPr>
                  </w:pPr>
                  <w:r>
                    <w:rPr>
                      <w:color w:val="auto"/>
                      <w:szCs w:val="21"/>
                    </w:rPr>
                    <w:t>建设项目采取的污染防治措施无法确保污染物排放达到国家和地方排放标准，或者未采取必要措施预防和控制生态破坏</w:t>
                  </w:r>
                </w:p>
              </w:tc>
              <w:tc>
                <w:tcPr>
                  <w:tcW w:w="2068" w:type="dxa"/>
                  <w:vAlign w:val="center"/>
                </w:tcPr>
                <w:p w14:paraId="43D3D6F7">
                  <w:pPr>
                    <w:adjustRightInd w:val="0"/>
                    <w:snapToGrid w:val="0"/>
                    <w:jc w:val="both"/>
                    <w:rPr>
                      <w:rFonts w:hint="default" w:ascii="Times New Roman" w:hAnsi="Times New Roman" w:eastAsia="宋体" w:cs="Times New Roman"/>
                      <w:color w:val="auto"/>
                      <w:szCs w:val="21"/>
                      <w:lang w:val="en-US" w:eastAsia="zh-CN"/>
                    </w:rPr>
                  </w:pPr>
                  <w:r>
                    <w:rPr>
                      <w:rFonts w:hint="eastAsia"/>
                      <w:color w:val="auto"/>
                      <w:szCs w:val="21"/>
                      <w:lang w:val="en-US" w:eastAsia="zh-CN"/>
                    </w:rPr>
                    <w:t>本</w:t>
                  </w:r>
                  <w:r>
                    <w:rPr>
                      <w:color w:val="auto"/>
                      <w:szCs w:val="21"/>
                    </w:rPr>
                    <w:t>项目废气、噪声、</w:t>
                  </w:r>
                  <w:r>
                    <w:rPr>
                      <w:rFonts w:hint="eastAsia"/>
                      <w:color w:val="auto"/>
                      <w:szCs w:val="21"/>
                    </w:rPr>
                    <w:t>废水、</w:t>
                  </w:r>
                  <w:r>
                    <w:rPr>
                      <w:color w:val="auto"/>
                      <w:szCs w:val="21"/>
                    </w:rPr>
                    <w:t>固废采取</w:t>
                  </w:r>
                  <w:r>
                    <w:rPr>
                      <w:rFonts w:hint="eastAsia"/>
                      <w:color w:val="auto"/>
                      <w:szCs w:val="21"/>
                    </w:rPr>
                    <w:t>第四章提出的</w:t>
                  </w:r>
                  <w:r>
                    <w:rPr>
                      <w:color w:val="auto"/>
                      <w:szCs w:val="21"/>
                    </w:rPr>
                    <w:t>污染防治措施</w:t>
                  </w:r>
                  <w:r>
                    <w:rPr>
                      <w:rFonts w:hint="eastAsia"/>
                      <w:color w:val="auto"/>
                      <w:szCs w:val="21"/>
                    </w:rPr>
                    <w:t>后</w:t>
                  </w:r>
                  <w:r>
                    <w:rPr>
                      <w:color w:val="auto"/>
                      <w:szCs w:val="21"/>
                    </w:rPr>
                    <w:t>，</w:t>
                  </w:r>
                  <w:r>
                    <w:rPr>
                      <w:rFonts w:hint="eastAsia"/>
                      <w:color w:val="auto"/>
                      <w:szCs w:val="21"/>
                    </w:rPr>
                    <w:t>可</w:t>
                  </w:r>
                  <w:r>
                    <w:rPr>
                      <w:color w:val="auto"/>
                      <w:szCs w:val="21"/>
                    </w:rPr>
                    <w:t>确保废气、噪声、</w:t>
                  </w:r>
                  <w:r>
                    <w:rPr>
                      <w:rFonts w:hint="eastAsia"/>
                      <w:color w:val="auto"/>
                      <w:szCs w:val="21"/>
                    </w:rPr>
                    <w:t>废水</w:t>
                  </w:r>
                  <w:r>
                    <w:rPr>
                      <w:color w:val="auto"/>
                      <w:szCs w:val="21"/>
                    </w:rPr>
                    <w:t>排放达标，</w:t>
                  </w:r>
                  <w:r>
                    <w:rPr>
                      <w:rFonts w:hint="eastAsia"/>
                      <w:color w:val="auto"/>
                      <w:szCs w:val="21"/>
                    </w:rPr>
                    <w:t>固废零排放，</w:t>
                  </w:r>
                  <w:r>
                    <w:rPr>
                      <w:color w:val="auto"/>
                      <w:szCs w:val="21"/>
                    </w:rPr>
                    <w:t>生态影响较小。</w:t>
                  </w:r>
                </w:p>
              </w:tc>
              <w:tc>
                <w:tcPr>
                  <w:tcW w:w="727" w:type="dxa"/>
                  <w:vMerge w:val="continue"/>
                  <w:vAlign w:val="center"/>
                </w:tcPr>
                <w:p w14:paraId="2AF61BDF">
                  <w:pPr>
                    <w:jc w:val="center"/>
                    <w:rPr>
                      <w:color w:val="auto"/>
                      <w:szCs w:val="21"/>
                    </w:rPr>
                  </w:pPr>
                </w:p>
              </w:tc>
            </w:tr>
            <w:tr w14:paraId="36710B4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27B4E66E">
                  <w:pPr>
                    <w:jc w:val="center"/>
                    <w:rPr>
                      <w:color w:val="auto"/>
                      <w:szCs w:val="21"/>
                    </w:rPr>
                  </w:pPr>
                </w:p>
              </w:tc>
              <w:tc>
                <w:tcPr>
                  <w:tcW w:w="565" w:type="dxa"/>
                  <w:vMerge w:val="continue"/>
                  <w:vAlign w:val="center"/>
                </w:tcPr>
                <w:p w14:paraId="2C550311">
                  <w:pPr>
                    <w:keepNext/>
                    <w:keepLines/>
                    <w:adjustRightInd w:val="0"/>
                    <w:snapToGrid w:val="0"/>
                    <w:spacing w:before="120" w:after="260" w:line="416" w:lineRule="auto"/>
                    <w:jc w:val="both"/>
                    <w:outlineLvl w:val="2"/>
                    <w:rPr>
                      <w:color w:val="auto"/>
                      <w:szCs w:val="21"/>
                    </w:rPr>
                  </w:pPr>
                </w:p>
              </w:tc>
              <w:tc>
                <w:tcPr>
                  <w:tcW w:w="2989" w:type="dxa"/>
                  <w:vAlign w:val="center"/>
                </w:tcPr>
                <w:p w14:paraId="145A99BA">
                  <w:pPr>
                    <w:adjustRightInd w:val="0"/>
                    <w:snapToGrid w:val="0"/>
                    <w:jc w:val="both"/>
                    <w:rPr>
                      <w:color w:val="auto"/>
                      <w:szCs w:val="21"/>
                    </w:rPr>
                  </w:pPr>
                  <w:r>
                    <w:rPr>
                      <w:color w:val="auto"/>
                      <w:szCs w:val="21"/>
                    </w:rPr>
                    <w:t>改建、扩建和技术改造项目，未针对项目原有环境污染和生态破坏提出有效防止措施</w:t>
                  </w:r>
                </w:p>
              </w:tc>
              <w:tc>
                <w:tcPr>
                  <w:tcW w:w="2068" w:type="dxa"/>
                  <w:vAlign w:val="center"/>
                </w:tcPr>
                <w:p w14:paraId="0C3A47E3">
                  <w:pPr>
                    <w:adjustRightInd w:val="0"/>
                    <w:snapToGrid w:val="0"/>
                    <w:jc w:val="both"/>
                    <w:rPr>
                      <w:rFonts w:hint="default" w:ascii="Times New Roman" w:hAnsi="Times New Roman" w:eastAsia="宋体" w:cs="Times New Roman"/>
                      <w:color w:val="auto"/>
                      <w:szCs w:val="21"/>
                      <w:lang w:val="en-US" w:eastAsia="zh-CN"/>
                    </w:rPr>
                  </w:pPr>
                  <w:r>
                    <w:rPr>
                      <w:rFonts w:hint="eastAsia" w:eastAsia="宋体"/>
                      <w:color w:val="auto"/>
                      <w:szCs w:val="21"/>
                      <w:lang w:eastAsia="zh-CN"/>
                    </w:rPr>
                    <w:t>本项目</w:t>
                  </w:r>
                  <w:r>
                    <w:rPr>
                      <w:rFonts w:hint="eastAsia"/>
                      <w:color w:val="auto"/>
                      <w:szCs w:val="21"/>
                      <w:lang w:val="en-US" w:eastAsia="zh-CN"/>
                    </w:rPr>
                    <w:t>为新建项目</w:t>
                  </w:r>
                  <w:r>
                    <w:rPr>
                      <w:rFonts w:hint="eastAsia" w:eastAsia="宋体"/>
                      <w:color w:val="auto"/>
                      <w:szCs w:val="21"/>
                      <w:lang w:eastAsia="zh-CN"/>
                    </w:rPr>
                    <w:t>。</w:t>
                  </w:r>
                </w:p>
              </w:tc>
              <w:tc>
                <w:tcPr>
                  <w:tcW w:w="727" w:type="dxa"/>
                  <w:vMerge w:val="continue"/>
                  <w:vAlign w:val="center"/>
                </w:tcPr>
                <w:p w14:paraId="7EE3828A">
                  <w:pPr>
                    <w:jc w:val="center"/>
                    <w:rPr>
                      <w:color w:val="auto"/>
                      <w:szCs w:val="21"/>
                    </w:rPr>
                  </w:pPr>
                </w:p>
              </w:tc>
            </w:tr>
            <w:tr w14:paraId="4407B38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PrEx>
              <w:trPr>
                <w:trHeight w:val="340" w:hRule="atLeast"/>
                <w:jc w:val="center"/>
              </w:trPr>
              <w:tc>
                <w:tcPr>
                  <w:tcW w:w="826" w:type="dxa"/>
                  <w:vMerge w:val="continue"/>
                  <w:vAlign w:val="center"/>
                </w:tcPr>
                <w:p w14:paraId="579547E5">
                  <w:pPr>
                    <w:jc w:val="center"/>
                    <w:rPr>
                      <w:color w:val="auto"/>
                      <w:szCs w:val="21"/>
                    </w:rPr>
                  </w:pPr>
                </w:p>
              </w:tc>
              <w:tc>
                <w:tcPr>
                  <w:tcW w:w="565" w:type="dxa"/>
                  <w:vMerge w:val="continue"/>
                  <w:vAlign w:val="center"/>
                </w:tcPr>
                <w:p w14:paraId="62D347BD">
                  <w:pPr>
                    <w:adjustRightInd w:val="0"/>
                    <w:snapToGrid w:val="0"/>
                    <w:jc w:val="both"/>
                    <w:rPr>
                      <w:color w:val="auto"/>
                      <w:szCs w:val="21"/>
                    </w:rPr>
                  </w:pPr>
                </w:p>
              </w:tc>
              <w:tc>
                <w:tcPr>
                  <w:tcW w:w="2989" w:type="dxa"/>
                  <w:vAlign w:val="center"/>
                </w:tcPr>
                <w:p w14:paraId="4CDB1D2D">
                  <w:pPr>
                    <w:adjustRightInd w:val="0"/>
                    <w:snapToGrid w:val="0"/>
                    <w:jc w:val="both"/>
                    <w:rPr>
                      <w:color w:val="auto"/>
                      <w:szCs w:val="21"/>
                    </w:rPr>
                  </w:pPr>
                  <w:r>
                    <w:rPr>
                      <w:color w:val="auto"/>
                      <w:szCs w:val="21"/>
                    </w:rPr>
                    <w:t>建设项目的环境影响报告书、环境影响报告表的基础资料数据明显不实，内容存在重大缺陷、遗漏，或者环境影响评价结论不明确、不合理</w:t>
                  </w:r>
                </w:p>
              </w:tc>
              <w:tc>
                <w:tcPr>
                  <w:tcW w:w="2068" w:type="dxa"/>
                  <w:vAlign w:val="center"/>
                </w:tcPr>
                <w:p w14:paraId="3846BE58">
                  <w:pPr>
                    <w:adjustRightInd w:val="0"/>
                    <w:snapToGrid w:val="0"/>
                    <w:jc w:val="both"/>
                    <w:rPr>
                      <w:rFonts w:hint="default" w:ascii="Times New Roman" w:hAnsi="Times New Roman" w:eastAsia="宋体" w:cs="Times New Roman"/>
                      <w:color w:val="auto"/>
                      <w:szCs w:val="21"/>
                      <w:lang w:val="en-US" w:eastAsia="zh-CN"/>
                    </w:rPr>
                  </w:pPr>
                  <w:r>
                    <w:rPr>
                      <w:color w:val="auto"/>
                      <w:szCs w:val="21"/>
                    </w:rPr>
                    <w:t>本次评价以企业实际提供资料为前提，核实后进行报告编制，环境影响评价结论明确，经初步审查不存在重大缺陷、遗漏。</w:t>
                  </w:r>
                </w:p>
              </w:tc>
              <w:tc>
                <w:tcPr>
                  <w:tcW w:w="727" w:type="dxa"/>
                  <w:vMerge w:val="continue"/>
                  <w:vAlign w:val="center"/>
                </w:tcPr>
                <w:p w14:paraId="69B9B6C4">
                  <w:pPr>
                    <w:jc w:val="center"/>
                    <w:rPr>
                      <w:color w:val="auto"/>
                      <w:szCs w:val="21"/>
                    </w:rPr>
                  </w:pPr>
                </w:p>
              </w:tc>
            </w:tr>
            <w:tr w14:paraId="3F3A16C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65524AF2">
                  <w:pPr>
                    <w:jc w:val="center"/>
                    <w:rPr>
                      <w:color w:val="auto"/>
                      <w:szCs w:val="21"/>
                    </w:rPr>
                  </w:pPr>
                </w:p>
              </w:tc>
              <w:tc>
                <w:tcPr>
                  <w:tcW w:w="3554" w:type="dxa"/>
                  <w:gridSpan w:val="2"/>
                  <w:vAlign w:val="center"/>
                </w:tcPr>
                <w:p w14:paraId="1FE9C565">
                  <w:pPr>
                    <w:adjustRightInd w:val="0"/>
                    <w:snapToGrid w:val="0"/>
                    <w:jc w:val="both"/>
                    <w:rPr>
                      <w:color w:val="auto"/>
                      <w:szCs w:val="21"/>
                    </w:rPr>
                  </w:pPr>
                  <w:r>
                    <w:rPr>
                      <w:color w:val="auto"/>
                      <w:szCs w:val="21"/>
                    </w:rPr>
                    <w:t>严格控制在优先保护类耕地集中区域新建有色金属冶炼、石油加工、化工、焦化、电镀、制革等行业企业，有关环境保护主管部门依法不予审批可能造成耕地土壤污染的建设项目环境影响报告书或者报告表。</w:t>
                  </w:r>
                </w:p>
              </w:tc>
              <w:tc>
                <w:tcPr>
                  <w:tcW w:w="2068" w:type="dxa"/>
                  <w:vAlign w:val="center"/>
                </w:tcPr>
                <w:p w14:paraId="56241304">
                  <w:pPr>
                    <w:adjustRightInd w:val="0"/>
                    <w:snapToGrid w:val="0"/>
                    <w:jc w:val="both"/>
                    <w:rPr>
                      <w:rFonts w:hint="default"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本</w:t>
                  </w:r>
                  <w:r>
                    <w:rPr>
                      <w:rFonts w:ascii="Times New Roman" w:hAnsi="Times New Roman" w:cs="Times New Roman"/>
                      <w:color w:val="auto"/>
                      <w:szCs w:val="21"/>
                    </w:rPr>
                    <w:t>项目位于</w:t>
                  </w:r>
                  <w:r>
                    <w:rPr>
                      <w:rFonts w:hint="eastAsia" w:ascii="Times New Roman" w:hAnsi="Times New Roman" w:cs="Times New Roman"/>
                      <w:color w:val="auto"/>
                      <w:szCs w:val="21"/>
                    </w:rPr>
                    <w:t>淮安市淮阴区马头镇东港路一号</w:t>
                  </w:r>
                  <w:r>
                    <w:rPr>
                      <w:rFonts w:hint="eastAsia" w:cs="Times New Roman"/>
                      <w:color w:val="auto"/>
                      <w:szCs w:val="21"/>
                      <w:lang w:eastAsia="zh-CN"/>
                    </w:rPr>
                    <w:t>，</w:t>
                  </w:r>
                  <w:r>
                    <w:rPr>
                      <w:rFonts w:ascii="Times New Roman" w:hAnsi="Times New Roman" w:cs="Times New Roman"/>
                      <w:color w:val="auto"/>
                      <w:szCs w:val="21"/>
                    </w:rPr>
                    <w:t>用地性质为工业</w:t>
                  </w:r>
                  <w:r>
                    <w:rPr>
                      <w:rFonts w:hint="eastAsia" w:ascii="Times New Roman" w:hAnsi="Times New Roman" w:cs="Times New Roman"/>
                      <w:color w:val="auto"/>
                      <w:szCs w:val="21"/>
                    </w:rPr>
                    <w:t>用</w:t>
                  </w:r>
                  <w:r>
                    <w:rPr>
                      <w:rFonts w:ascii="Times New Roman" w:hAnsi="Times New Roman" w:cs="Times New Roman"/>
                      <w:color w:val="auto"/>
                      <w:szCs w:val="21"/>
                    </w:rPr>
                    <w:t>地。</w:t>
                  </w:r>
                </w:p>
              </w:tc>
              <w:tc>
                <w:tcPr>
                  <w:tcW w:w="727" w:type="dxa"/>
                  <w:vMerge w:val="continue"/>
                  <w:vAlign w:val="center"/>
                </w:tcPr>
                <w:p w14:paraId="277E243A">
                  <w:pPr>
                    <w:jc w:val="center"/>
                    <w:rPr>
                      <w:color w:val="auto"/>
                      <w:szCs w:val="21"/>
                    </w:rPr>
                  </w:pPr>
                </w:p>
              </w:tc>
            </w:tr>
            <w:tr w14:paraId="253E634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3EB90F4F">
                  <w:pPr>
                    <w:jc w:val="center"/>
                    <w:rPr>
                      <w:color w:val="auto"/>
                      <w:szCs w:val="21"/>
                    </w:rPr>
                  </w:pPr>
                </w:p>
              </w:tc>
              <w:tc>
                <w:tcPr>
                  <w:tcW w:w="3554" w:type="dxa"/>
                  <w:gridSpan w:val="2"/>
                  <w:vAlign w:val="center"/>
                </w:tcPr>
                <w:p w14:paraId="39458311">
                  <w:pPr>
                    <w:adjustRightInd w:val="0"/>
                    <w:snapToGrid w:val="0"/>
                    <w:jc w:val="both"/>
                    <w:rPr>
                      <w:color w:val="auto"/>
                      <w:szCs w:val="21"/>
                    </w:rPr>
                  </w:pPr>
                  <w:r>
                    <w:rPr>
                      <w:color w:val="auto"/>
                      <w:szCs w:val="21"/>
                    </w:rPr>
                    <w:t>严格落实污染物排放总量控制制度，把主要污染物排放总量指标作为建设项目环境影响评价审批的前置条件。排放主要污染物的建设项目，在环境影响评价文件审批前，须取得主要污染物排放总量指标</w:t>
                  </w:r>
                </w:p>
              </w:tc>
              <w:tc>
                <w:tcPr>
                  <w:tcW w:w="2068" w:type="dxa"/>
                  <w:vAlign w:val="center"/>
                </w:tcPr>
                <w:p w14:paraId="209D1EBC">
                  <w:pPr>
                    <w:adjustRightInd w:val="0"/>
                    <w:snapToGrid w:val="0"/>
                    <w:jc w:val="both"/>
                    <w:rPr>
                      <w:rFonts w:hint="default" w:ascii="Times New Roman" w:hAnsi="Times New Roman" w:eastAsia="宋体" w:cs="Times New Roman"/>
                      <w:color w:val="auto"/>
                      <w:szCs w:val="21"/>
                      <w:lang w:val="en-US" w:eastAsia="zh-CN"/>
                    </w:rPr>
                  </w:pPr>
                  <w:r>
                    <w:rPr>
                      <w:rFonts w:hint="eastAsia"/>
                      <w:color w:val="auto"/>
                      <w:szCs w:val="21"/>
                      <w:lang w:val="en-US" w:eastAsia="zh-CN"/>
                    </w:rPr>
                    <w:t>本</w:t>
                  </w:r>
                  <w:r>
                    <w:rPr>
                      <w:color w:val="auto"/>
                      <w:szCs w:val="21"/>
                    </w:rPr>
                    <w:t>项目将按要求严格落实污染物排放总量控制制度，把主要污染物排放总量指标作为建设项目环境影响评价审批的前置条件。在环境影响评价文件审批前，须取得主要污染物排放总量指标。</w:t>
                  </w:r>
                </w:p>
              </w:tc>
              <w:tc>
                <w:tcPr>
                  <w:tcW w:w="727" w:type="dxa"/>
                  <w:vMerge w:val="continue"/>
                  <w:vAlign w:val="center"/>
                </w:tcPr>
                <w:p w14:paraId="15FAADD4">
                  <w:pPr>
                    <w:jc w:val="center"/>
                    <w:rPr>
                      <w:color w:val="auto"/>
                      <w:szCs w:val="21"/>
                    </w:rPr>
                  </w:pPr>
                </w:p>
              </w:tc>
            </w:tr>
            <w:tr w14:paraId="6C3CB29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009A81A7">
                  <w:pPr>
                    <w:jc w:val="center"/>
                    <w:rPr>
                      <w:color w:val="auto"/>
                      <w:szCs w:val="21"/>
                    </w:rPr>
                  </w:pPr>
                </w:p>
              </w:tc>
              <w:tc>
                <w:tcPr>
                  <w:tcW w:w="3554" w:type="dxa"/>
                  <w:gridSpan w:val="2"/>
                  <w:vAlign w:val="center"/>
                </w:tcPr>
                <w:p w14:paraId="27A9EDFB">
                  <w:pPr>
                    <w:adjustRightInd w:val="0"/>
                    <w:snapToGrid w:val="0"/>
                    <w:jc w:val="both"/>
                    <w:rPr>
                      <w:color w:val="auto"/>
                      <w:szCs w:val="21"/>
                    </w:rPr>
                  </w:pPr>
                  <w:r>
                    <w:rPr>
                      <w:color w:val="auto"/>
                      <w:szCs w:val="21"/>
                    </w:rPr>
                    <w:t>对环境质量现状超标的地区，项目拟采取的措施不能满足区域环境质量改善目标管理要求的，依法不予审批其环评文件。</w:t>
                  </w:r>
                </w:p>
              </w:tc>
              <w:tc>
                <w:tcPr>
                  <w:tcW w:w="2068" w:type="dxa"/>
                  <w:vAlign w:val="center"/>
                </w:tcPr>
                <w:p w14:paraId="58C8DD0B">
                  <w:pPr>
                    <w:widowControl/>
                    <w:adjustRightInd w:val="0"/>
                    <w:snapToGrid w:val="0"/>
                    <w:jc w:val="both"/>
                    <w:rPr>
                      <w:rFonts w:hint="default"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根据《2024年淮安市生态环境状况公报》，除细颗粒物（PM</w:t>
                  </w:r>
                  <w:r>
                    <w:rPr>
                      <w:rFonts w:hint="eastAsia" w:ascii="Times New Roman" w:hAnsi="Times New Roman" w:cs="Times New Roman"/>
                      <w:color w:val="auto"/>
                      <w:szCs w:val="21"/>
                      <w:vertAlign w:val="subscript"/>
                      <w:lang w:val="en-US" w:eastAsia="zh-CN"/>
                    </w:rPr>
                    <w:t>2.5</w:t>
                  </w:r>
                  <w:r>
                    <w:rPr>
                      <w:rFonts w:hint="eastAsia" w:ascii="Times New Roman" w:hAnsi="Times New Roman" w:cs="Times New Roman"/>
                      <w:color w:val="auto"/>
                      <w:szCs w:val="21"/>
                      <w:lang w:val="en-US" w:eastAsia="zh-CN"/>
                    </w:rPr>
                    <w:t>）外其余因子均达到国家二级标准限值，建设项目所在地为不达标区。在落实《淮安市2025年大气污染防治工作计划》后，预期淮安市环境空气质量状况会进一步改善</w:t>
                  </w:r>
                  <w:r>
                    <w:rPr>
                      <w:rFonts w:hint="eastAsia" w:cs="Times New Roman"/>
                      <w:color w:val="auto"/>
                      <w:szCs w:val="21"/>
                      <w:lang w:val="en-US" w:eastAsia="zh-CN"/>
                    </w:rPr>
                    <w:t>。</w:t>
                  </w:r>
                  <w:r>
                    <w:rPr>
                      <w:rFonts w:hint="eastAsia" w:ascii="Times New Roman" w:hAnsi="Times New Roman" w:cs="Times New Roman"/>
                      <w:color w:val="auto"/>
                      <w:szCs w:val="21"/>
                      <w:lang w:val="en-US" w:eastAsia="zh-CN"/>
                    </w:rPr>
                    <w:t>2024年，27条主要河流水质保持稳定，本项目周边水环境质量良好。根据江苏安诺检测技术有限公司于2024年11月28日-29日对厂界四周及</w:t>
                  </w:r>
                  <w:r>
                    <w:rPr>
                      <w:rFonts w:hint="eastAsia" w:cs="Times New Roman"/>
                      <w:color w:val="auto"/>
                      <w:szCs w:val="21"/>
                      <w:lang w:val="en-US" w:eastAsia="zh-CN"/>
                    </w:rPr>
                    <w:t>周围声环境保护目标</w:t>
                  </w:r>
                  <w:r>
                    <w:rPr>
                      <w:rFonts w:hint="eastAsia" w:ascii="Times New Roman" w:hAnsi="Times New Roman" w:cs="Times New Roman"/>
                      <w:color w:val="auto"/>
                      <w:szCs w:val="21"/>
                      <w:lang w:val="en-US" w:eastAsia="zh-CN"/>
                    </w:rPr>
                    <w:t>（张庄镇）进行的噪声监测结果，表明建设项目四周及周围</w:t>
                  </w:r>
                  <w:r>
                    <w:rPr>
                      <w:rFonts w:hint="eastAsia" w:cs="Times New Roman"/>
                      <w:color w:val="auto"/>
                      <w:szCs w:val="21"/>
                      <w:lang w:val="en-US" w:eastAsia="zh-CN"/>
                    </w:rPr>
                    <w:t>声环境保护目标处</w:t>
                  </w:r>
                  <w:r>
                    <w:rPr>
                      <w:rFonts w:hint="eastAsia" w:ascii="Times New Roman" w:hAnsi="Times New Roman" w:cs="Times New Roman"/>
                      <w:color w:val="auto"/>
                      <w:szCs w:val="21"/>
                      <w:lang w:val="en-US" w:eastAsia="zh-CN"/>
                    </w:rPr>
                    <w:t>声环境质量达标。</w:t>
                  </w:r>
                </w:p>
              </w:tc>
              <w:tc>
                <w:tcPr>
                  <w:tcW w:w="727" w:type="dxa"/>
                  <w:vMerge w:val="continue"/>
                  <w:vAlign w:val="center"/>
                </w:tcPr>
                <w:p w14:paraId="2BF96203">
                  <w:pPr>
                    <w:jc w:val="center"/>
                    <w:rPr>
                      <w:color w:val="auto"/>
                      <w:szCs w:val="21"/>
                    </w:rPr>
                  </w:pPr>
                </w:p>
              </w:tc>
            </w:tr>
            <w:tr w14:paraId="3DC338E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3EDEC5FD">
                  <w:pPr>
                    <w:jc w:val="center"/>
                    <w:rPr>
                      <w:color w:val="auto"/>
                      <w:szCs w:val="21"/>
                    </w:rPr>
                  </w:pPr>
                </w:p>
              </w:tc>
              <w:tc>
                <w:tcPr>
                  <w:tcW w:w="3554" w:type="dxa"/>
                  <w:gridSpan w:val="2"/>
                  <w:vAlign w:val="center"/>
                </w:tcPr>
                <w:p w14:paraId="750C993B">
                  <w:pPr>
                    <w:adjustRightInd w:val="0"/>
                    <w:snapToGrid w:val="0"/>
                    <w:jc w:val="both"/>
                    <w:rPr>
                      <w:color w:val="auto"/>
                      <w:szCs w:val="21"/>
                    </w:rPr>
                  </w:pPr>
                  <w:r>
                    <w:rPr>
                      <w:color w:val="auto"/>
                      <w:szCs w:val="21"/>
                    </w:rPr>
                    <w:t>禁止建设生产和使用高VOCs含量的溶剂型涂料、油墨、胶粘剂等项目</w:t>
                  </w:r>
                </w:p>
              </w:tc>
              <w:tc>
                <w:tcPr>
                  <w:tcW w:w="2068" w:type="dxa"/>
                  <w:vAlign w:val="center"/>
                </w:tcPr>
                <w:p w14:paraId="569107BC">
                  <w:pPr>
                    <w:adjustRightInd w:val="0"/>
                    <w:snapToGrid w:val="0"/>
                    <w:jc w:val="both"/>
                    <w:rPr>
                      <w:rFonts w:hint="default" w:ascii="Times New Roman" w:hAnsi="Times New Roman" w:eastAsia="宋体" w:cs="Times New Roman"/>
                      <w:color w:val="auto"/>
                      <w:szCs w:val="21"/>
                      <w:lang w:val="en-US" w:eastAsia="zh-CN"/>
                    </w:rPr>
                  </w:pPr>
                  <w:r>
                    <w:rPr>
                      <w:rFonts w:hint="eastAsia" w:ascii="Times New Roman" w:hAnsi="Times New Roman" w:cs="Times New Roman"/>
                      <w:color w:val="auto"/>
                      <w:szCs w:val="21"/>
                      <w:lang w:val="en-US" w:eastAsia="zh-CN"/>
                    </w:rPr>
                    <w:t>本</w:t>
                  </w:r>
                  <w:r>
                    <w:rPr>
                      <w:rFonts w:hint="eastAsia" w:ascii="Times New Roman" w:hAnsi="Times New Roman" w:cs="Times New Roman"/>
                      <w:color w:val="auto"/>
                      <w:szCs w:val="21"/>
                    </w:rPr>
                    <w:t>项目使用的</w:t>
                  </w:r>
                  <w:r>
                    <w:rPr>
                      <w:rFonts w:hint="eastAsia" w:ascii="Times New Roman" w:hAnsi="Times New Roman" w:cs="Times New Roman"/>
                      <w:color w:val="auto"/>
                      <w:szCs w:val="21"/>
                      <w:lang w:val="en-US" w:eastAsia="zh-CN"/>
                    </w:rPr>
                    <w:t>塑粉</w:t>
                  </w:r>
                  <w:r>
                    <w:rPr>
                      <w:rFonts w:hint="eastAsia" w:ascii="Times New Roman" w:hAnsi="Times New Roman" w:cs="Times New Roman"/>
                      <w:color w:val="auto"/>
                      <w:szCs w:val="21"/>
                    </w:rPr>
                    <w:t>储存在密闭的桶内。根据《低挥发性有机化合物含量涂料产品技术要求》（GB/T 38579-2020）标准要求，“8 标准的实施”章节中规定粉末涂料、无机建筑涂料（含建筑无机粉体涂装材料）、建筑用有机粉体涂料产品中VOC含量通常很少，属于低挥发性有机化合物含量涂料产品。</w:t>
                  </w:r>
                  <w:r>
                    <w:rPr>
                      <w:color w:val="auto"/>
                      <w:szCs w:val="21"/>
                    </w:rPr>
                    <w:t>项目生产过程产生的有机废气</w:t>
                  </w:r>
                  <w:r>
                    <w:rPr>
                      <w:rFonts w:hint="eastAsia"/>
                      <w:color w:val="auto"/>
                      <w:szCs w:val="21"/>
                    </w:rPr>
                    <w:t>经</w:t>
                  </w:r>
                  <w:r>
                    <w:rPr>
                      <w:rFonts w:hint="eastAsia" w:ascii="Calibri" w:hAnsi="Calibri" w:eastAsiaTheme="minorEastAsia"/>
                      <w:color w:val="auto"/>
                      <w:szCs w:val="21"/>
                    </w:rPr>
                    <w:t>密闭车间</w:t>
                  </w:r>
                  <w:r>
                    <w:rPr>
                      <w:rFonts w:hint="eastAsia" w:ascii="Calibri" w:hAnsi="Calibri" w:eastAsiaTheme="minorEastAsia"/>
                      <w:color w:val="auto"/>
                      <w:szCs w:val="21"/>
                      <w:lang w:val="en-US" w:eastAsia="zh-CN"/>
                    </w:rPr>
                    <w:t>/集气罩</w:t>
                  </w:r>
                  <w:r>
                    <w:rPr>
                      <w:rFonts w:hint="eastAsia" w:ascii="Calibri" w:hAnsi="Calibri" w:eastAsiaTheme="minorEastAsia"/>
                      <w:color w:val="auto"/>
                      <w:szCs w:val="21"/>
                    </w:rPr>
                    <w:t>负压</w:t>
                  </w:r>
                  <w:r>
                    <w:rPr>
                      <w:rFonts w:ascii="Calibri" w:hAnsi="Calibri" w:eastAsiaTheme="minorEastAsia"/>
                      <w:color w:val="auto"/>
                      <w:szCs w:val="21"/>
                    </w:rPr>
                    <w:t>收集</w:t>
                  </w:r>
                  <w:r>
                    <w:rPr>
                      <w:color w:val="auto"/>
                      <w:szCs w:val="21"/>
                    </w:rPr>
                    <w:t>后通过</w:t>
                  </w:r>
                  <w:r>
                    <w:rPr>
                      <w:rFonts w:hint="eastAsia"/>
                      <w:color w:val="auto"/>
                      <w:szCs w:val="21"/>
                    </w:rPr>
                    <w:t>二级活性炭</w:t>
                  </w:r>
                  <w:r>
                    <w:rPr>
                      <w:color w:val="auto"/>
                      <w:szCs w:val="21"/>
                    </w:rPr>
                    <w:t>处理，减少废气污染物排放。</w:t>
                  </w:r>
                </w:p>
              </w:tc>
              <w:tc>
                <w:tcPr>
                  <w:tcW w:w="727" w:type="dxa"/>
                  <w:vMerge w:val="continue"/>
                  <w:vAlign w:val="center"/>
                </w:tcPr>
                <w:p w14:paraId="5DCCE184">
                  <w:pPr>
                    <w:jc w:val="center"/>
                    <w:rPr>
                      <w:color w:val="auto"/>
                      <w:szCs w:val="21"/>
                    </w:rPr>
                  </w:pPr>
                </w:p>
              </w:tc>
            </w:tr>
            <w:tr w14:paraId="5F4283F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346D3741">
                  <w:pPr>
                    <w:jc w:val="center"/>
                    <w:rPr>
                      <w:color w:val="auto"/>
                      <w:szCs w:val="21"/>
                    </w:rPr>
                  </w:pPr>
                </w:p>
              </w:tc>
              <w:tc>
                <w:tcPr>
                  <w:tcW w:w="3554" w:type="dxa"/>
                  <w:gridSpan w:val="2"/>
                  <w:vAlign w:val="center"/>
                </w:tcPr>
                <w:p w14:paraId="35E1F6E9">
                  <w:pPr>
                    <w:adjustRightInd w:val="0"/>
                    <w:snapToGrid w:val="0"/>
                    <w:jc w:val="both"/>
                    <w:rPr>
                      <w:color w:val="auto"/>
                      <w:szCs w:val="21"/>
                    </w:rPr>
                  </w:pPr>
                  <w:r>
                    <w:rPr>
                      <w:color w:val="auto"/>
                      <w:szCs w:val="21"/>
                    </w:rPr>
                    <w:t>生态保护红线原则上按禁止开发区域的要求进行管理，严禁不符合主体功能定位的各类开发活动，严禁任意改变用途。</w:t>
                  </w:r>
                </w:p>
              </w:tc>
              <w:tc>
                <w:tcPr>
                  <w:tcW w:w="2068" w:type="dxa"/>
                  <w:vAlign w:val="center"/>
                </w:tcPr>
                <w:p w14:paraId="445D8916">
                  <w:pPr>
                    <w:adjustRightInd w:val="0"/>
                    <w:snapToGrid w:val="0"/>
                    <w:jc w:val="both"/>
                    <w:rPr>
                      <w:rFonts w:hint="eastAsia" w:ascii="Times New Roman" w:hAnsi="Times New Roman" w:eastAsia="宋体" w:cs="Times New Roman"/>
                      <w:color w:val="auto"/>
                      <w:szCs w:val="21"/>
                      <w:lang w:val="en-US" w:eastAsia="zh-CN"/>
                    </w:rPr>
                  </w:pPr>
                  <w:r>
                    <w:rPr>
                      <w:rFonts w:hint="eastAsia"/>
                      <w:color w:val="auto"/>
                      <w:szCs w:val="21"/>
                    </w:rPr>
                    <w:t>本项目距离最近的</w:t>
                  </w:r>
                  <w:r>
                    <w:rPr>
                      <w:rFonts w:hint="eastAsia"/>
                      <w:color w:val="auto"/>
                      <w:szCs w:val="21"/>
                      <w:lang w:val="en-US" w:eastAsia="zh-CN"/>
                    </w:rPr>
                    <w:t>生态保护红线</w:t>
                  </w:r>
                  <w:r>
                    <w:rPr>
                      <w:rFonts w:hint="eastAsia"/>
                      <w:color w:val="auto"/>
                      <w:szCs w:val="21"/>
                    </w:rPr>
                    <w:t>为</w:t>
                  </w:r>
                  <w:r>
                    <w:rPr>
                      <w:rFonts w:hint="eastAsia"/>
                      <w:color w:val="auto"/>
                      <w:szCs w:val="21"/>
                      <w:lang w:val="en-US" w:eastAsia="zh-CN"/>
                    </w:rPr>
                    <w:t>二河（淮阴区）饮用水水源保护区</w:t>
                  </w:r>
                  <w:r>
                    <w:rPr>
                      <w:rFonts w:hint="eastAsia"/>
                      <w:color w:val="auto"/>
                      <w:szCs w:val="21"/>
                    </w:rPr>
                    <w:t>，距离生态红线边界</w:t>
                  </w:r>
                  <w:r>
                    <w:rPr>
                      <w:rFonts w:hint="eastAsia"/>
                      <w:color w:val="auto"/>
                      <w:szCs w:val="21"/>
                      <w:lang w:val="en-US" w:eastAsia="zh-CN"/>
                    </w:rPr>
                    <w:t>2.54</w:t>
                  </w:r>
                  <w:r>
                    <w:rPr>
                      <w:rFonts w:hint="eastAsia"/>
                      <w:color w:val="auto"/>
                      <w:szCs w:val="21"/>
                    </w:rPr>
                    <w:t>km</w:t>
                  </w:r>
                  <w:r>
                    <w:rPr>
                      <w:rFonts w:hint="eastAsia"/>
                      <w:color w:val="auto"/>
                      <w:szCs w:val="21"/>
                      <w:lang w:val="en-US" w:eastAsia="zh-CN"/>
                    </w:rPr>
                    <w:t>左右。</w:t>
                  </w:r>
                </w:p>
              </w:tc>
              <w:tc>
                <w:tcPr>
                  <w:tcW w:w="727" w:type="dxa"/>
                  <w:vMerge w:val="continue"/>
                  <w:vAlign w:val="center"/>
                </w:tcPr>
                <w:p w14:paraId="3311502F">
                  <w:pPr>
                    <w:jc w:val="center"/>
                    <w:rPr>
                      <w:color w:val="auto"/>
                      <w:szCs w:val="21"/>
                    </w:rPr>
                  </w:pPr>
                </w:p>
              </w:tc>
            </w:tr>
            <w:tr w14:paraId="770B47E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64427BEA">
                  <w:pPr>
                    <w:jc w:val="center"/>
                    <w:rPr>
                      <w:color w:val="auto"/>
                      <w:szCs w:val="21"/>
                    </w:rPr>
                  </w:pPr>
                </w:p>
              </w:tc>
              <w:tc>
                <w:tcPr>
                  <w:tcW w:w="3554" w:type="dxa"/>
                  <w:gridSpan w:val="2"/>
                  <w:vAlign w:val="center"/>
                </w:tcPr>
                <w:p w14:paraId="4F3FE954">
                  <w:pPr>
                    <w:adjustRightInd w:val="0"/>
                    <w:snapToGrid w:val="0"/>
                    <w:jc w:val="both"/>
                    <w:rPr>
                      <w:color w:val="auto"/>
                      <w:szCs w:val="21"/>
                    </w:rPr>
                  </w:pPr>
                  <w:r>
                    <w:rPr>
                      <w:color w:val="auto"/>
                      <w:szCs w:val="21"/>
                    </w:rPr>
                    <w:t>禁止审批无法落实危险废物利用、处置途径的项目，从严审批危险废物产生量大、本地无配套利用处置能力、且需设区市统筹解决的项目</w:t>
                  </w:r>
                </w:p>
              </w:tc>
              <w:tc>
                <w:tcPr>
                  <w:tcW w:w="2068" w:type="dxa"/>
                  <w:vAlign w:val="center"/>
                </w:tcPr>
                <w:p w14:paraId="0BF64EFF">
                  <w:pPr>
                    <w:adjustRightInd w:val="0"/>
                    <w:snapToGrid w:val="0"/>
                    <w:jc w:val="both"/>
                    <w:rPr>
                      <w:rFonts w:hint="default" w:ascii="Times New Roman" w:hAnsi="Times New Roman" w:eastAsia="宋体" w:cs="Times New Roman"/>
                      <w:color w:val="auto"/>
                      <w:szCs w:val="21"/>
                      <w:lang w:val="en-US" w:eastAsia="zh-CN"/>
                    </w:rPr>
                  </w:pPr>
                  <w:r>
                    <w:rPr>
                      <w:rFonts w:hint="eastAsia"/>
                      <w:color w:val="auto"/>
                      <w:szCs w:val="21"/>
                      <w:highlight w:val="none"/>
                      <w:lang w:val="en-US" w:eastAsia="zh-CN"/>
                    </w:rPr>
                    <w:t>本</w:t>
                  </w:r>
                  <w:r>
                    <w:rPr>
                      <w:color w:val="auto"/>
                      <w:szCs w:val="21"/>
                      <w:highlight w:val="none"/>
                    </w:rPr>
                    <w:t>项目危险废物总量为</w:t>
                  </w:r>
                  <w:r>
                    <w:rPr>
                      <w:rFonts w:hint="eastAsia"/>
                      <w:color w:val="auto"/>
                      <w:szCs w:val="21"/>
                      <w:highlight w:val="none"/>
                      <w:lang w:val="en-US" w:eastAsia="zh-CN"/>
                    </w:rPr>
                    <w:t>1.5435</w:t>
                  </w:r>
                  <w:r>
                    <w:rPr>
                      <w:color w:val="auto"/>
                      <w:szCs w:val="21"/>
                      <w:highlight w:val="none"/>
                    </w:rPr>
                    <w:t>t/a，</w:t>
                  </w:r>
                  <w:r>
                    <w:rPr>
                      <w:color w:val="auto"/>
                      <w:szCs w:val="21"/>
                    </w:rPr>
                    <w:t>不属于危险废物产生量大的项目，委托有资质单位安全处置。</w:t>
                  </w:r>
                </w:p>
              </w:tc>
              <w:tc>
                <w:tcPr>
                  <w:tcW w:w="727" w:type="dxa"/>
                  <w:vMerge w:val="continue"/>
                  <w:vAlign w:val="center"/>
                </w:tcPr>
                <w:p w14:paraId="50906960">
                  <w:pPr>
                    <w:jc w:val="center"/>
                    <w:rPr>
                      <w:color w:val="auto"/>
                      <w:szCs w:val="21"/>
                    </w:rPr>
                  </w:pPr>
                </w:p>
              </w:tc>
            </w:tr>
            <w:tr w14:paraId="73B386C1">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76166F8C">
                  <w:pPr>
                    <w:jc w:val="center"/>
                    <w:rPr>
                      <w:color w:val="auto"/>
                      <w:szCs w:val="21"/>
                    </w:rPr>
                  </w:pPr>
                </w:p>
              </w:tc>
              <w:tc>
                <w:tcPr>
                  <w:tcW w:w="3554" w:type="dxa"/>
                  <w:gridSpan w:val="2"/>
                  <w:vAlign w:val="center"/>
                </w:tcPr>
                <w:p w14:paraId="57FE4702">
                  <w:pPr>
                    <w:adjustRightInd w:val="0"/>
                    <w:snapToGrid w:val="0"/>
                    <w:jc w:val="both"/>
                    <w:rPr>
                      <w:color w:val="auto"/>
                      <w:szCs w:val="21"/>
                    </w:rPr>
                  </w:pPr>
                  <w:r>
                    <w:rPr>
                      <w:color w:val="auto"/>
                      <w:szCs w:val="21"/>
                    </w:rPr>
                    <w:t>禁止新建、扩建法律法规和相关政策明令禁止的落后产能项目</w:t>
                  </w:r>
                </w:p>
              </w:tc>
              <w:tc>
                <w:tcPr>
                  <w:tcW w:w="2068" w:type="dxa"/>
                  <w:vMerge w:val="restart"/>
                  <w:vAlign w:val="center"/>
                </w:tcPr>
                <w:p w14:paraId="0B505126">
                  <w:pPr>
                    <w:adjustRightInd w:val="0"/>
                    <w:snapToGrid w:val="0"/>
                    <w:jc w:val="both"/>
                    <w:rPr>
                      <w:rFonts w:hint="default" w:ascii="Times New Roman" w:hAnsi="Times New Roman" w:eastAsia="宋体" w:cs="Times New Roman"/>
                      <w:color w:val="auto"/>
                      <w:szCs w:val="21"/>
                      <w:lang w:val="en-US" w:eastAsia="zh-CN"/>
                    </w:rPr>
                  </w:pPr>
                  <w:r>
                    <w:rPr>
                      <w:color w:val="auto"/>
                      <w:szCs w:val="21"/>
                    </w:rPr>
                    <w:t>建设项目</w:t>
                  </w:r>
                  <w:r>
                    <w:rPr>
                      <w:rFonts w:hint="eastAsia"/>
                      <w:color w:val="auto"/>
                      <w:szCs w:val="21"/>
                    </w:rPr>
                    <w:t>为</w:t>
                  </w:r>
                  <w:r>
                    <w:rPr>
                      <w:rFonts w:hint="eastAsia"/>
                      <w:color w:val="auto"/>
                      <w:szCs w:val="21"/>
                      <w:lang w:val="en-US" w:eastAsia="zh-CN"/>
                    </w:rPr>
                    <w:t>五金工具加工项目</w:t>
                  </w:r>
                  <w:r>
                    <w:rPr>
                      <w:color w:val="auto"/>
                      <w:szCs w:val="21"/>
                    </w:rPr>
                    <w:t>，不属于法律法规和相关政策明令禁止的落后产能项目，不属于国家产能置换要求的过剩产能行业的项目。</w:t>
                  </w:r>
                </w:p>
              </w:tc>
              <w:tc>
                <w:tcPr>
                  <w:tcW w:w="727" w:type="dxa"/>
                  <w:vMerge w:val="continue"/>
                  <w:vAlign w:val="center"/>
                </w:tcPr>
                <w:p w14:paraId="50469861">
                  <w:pPr>
                    <w:jc w:val="center"/>
                    <w:rPr>
                      <w:color w:val="auto"/>
                      <w:szCs w:val="21"/>
                    </w:rPr>
                  </w:pPr>
                </w:p>
              </w:tc>
            </w:tr>
            <w:tr w14:paraId="262AFC7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52647D90">
                  <w:pPr>
                    <w:jc w:val="center"/>
                    <w:rPr>
                      <w:color w:val="auto"/>
                      <w:szCs w:val="21"/>
                    </w:rPr>
                  </w:pPr>
                </w:p>
              </w:tc>
              <w:tc>
                <w:tcPr>
                  <w:tcW w:w="3554" w:type="dxa"/>
                  <w:gridSpan w:val="2"/>
                  <w:vAlign w:val="center"/>
                </w:tcPr>
                <w:p w14:paraId="6176CACC">
                  <w:pPr>
                    <w:adjustRightInd w:val="0"/>
                    <w:snapToGrid w:val="0"/>
                    <w:jc w:val="both"/>
                    <w:rPr>
                      <w:color w:val="auto"/>
                      <w:szCs w:val="21"/>
                    </w:rPr>
                  </w:pPr>
                  <w:r>
                    <w:rPr>
                      <w:color w:val="auto"/>
                      <w:szCs w:val="21"/>
                    </w:rPr>
                    <w:t>禁止新建、扩建不符合国家产能置换要求的严重过剩产能行业的项目</w:t>
                  </w:r>
                </w:p>
              </w:tc>
              <w:tc>
                <w:tcPr>
                  <w:tcW w:w="2068" w:type="dxa"/>
                  <w:vMerge w:val="continue"/>
                  <w:vAlign w:val="center"/>
                </w:tcPr>
                <w:p w14:paraId="21A21368">
                  <w:pPr>
                    <w:adjustRightInd w:val="0"/>
                    <w:snapToGrid w:val="0"/>
                    <w:jc w:val="both"/>
                    <w:rPr>
                      <w:rFonts w:hint="default" w:ascii="Times New Roman" w:hAnsi="Times New Roman" w:eastAsia="宋体" w:cs="Times New Roman"/>
                      <w:color w:val="auto"/>
                      <w:szCs w:val="21"/>
                      <w:lang w:val="en-US" w:eastAsia="zh-CN"/>
                    </w:rPr>
                  </w:pPr>
                </w:p>
              </w:tc>
              <w:tc>
                <w:tcPr>
                  <w:tcW w:w="727" w:type="dxa"/>
                  <w:vMerge w:val="continue"/>
                  <w:vAlign w:val="center"/>
                </w:tcPr>
                <w:p w14:paraId="5CC3AF03">
                  <w:pPr>
                    <w:jc w:val="center"/>
                    <w:rPr>
                      <w:color w:val="auto"/>
                      <w:szCs w:val="21"/>
                    </w:rPr>
                  </w:pPr>
                </w:p>
              </w:tc>
            </w:tr>
            <w:tr w14:paraId="505A224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vAlign w:val="center"/>
                </w:tcPr>
                <w:p w14:paraId="7C84E6B1">
                  <w:pPr>
                    <w:jc w:val="center"/>
                    <w:rPr>
                      <w:color w:val="auto"/>
                      <w:szCs w:val="21"/>
                    </w:rPr>
                  </w:pPr>
                  <w:r>
                    <w:rPr>
                      <w:rFonts w:hint="eastAsia"/>
                      <w:color w:val="auto"/>
                      <w:lang w:eastAsia="zh-CN"/>
                    </w:rPr>
                    <w:t>《省生态环境厅关于进一步加强建设项目环评审批和服务工作的指导意见》(苏环办[2020]225号)</w:t>
                  </w:r>
                </w:p>
              </w:tc>
              <w:tc>
                <w:tcPr>
                  <w:tcW w:w="3554" w:type="dxa"/>
                  <w:gridSpan w:val="2"/>
                  <w:vAlign w:val="center"/>
                </w:tcPr>
                <w:p w14:paraId="637A84E6">
                  <w:pPr>
                    <w:adjustRightInd w:val="0"/>
                    <w:snapToGrid w:val="0"/>
                    <w:jc w:val="both"/>
                    <w:rPr>
                      <w:rFonts w:ascii="Times New Roman" w:hAnsi="Times New Roman" w:cs="Times New Roman"/>
                      <w:color w:val="auto"/>
                      <w:szCs w:val="21"/>
                    </w:rPr>
                  </w:pPr>
                  <w:r>
                    <w:rPr>
                      <w:rFonts w:hint="eastAsia" w:ascii="Times New Roman" w:hAnsi="Times New Roman" w:cs="Times New Roman"/>
                      <w:color w:val="auto"/>
                      <w:szCs w:val="21"/>
                      <w:lang w:val="en-US" w:eastAsia="zh-CN"/>
                    </w:rPr>
                    <w:t>切实加强区域环境容量、环境承载力研究，不得审批突破环境容量和环境承载力的建设项目。</w:t>
                  </w:r>
                </w:p>
              </w:tc>
              <w:tc>
                <w:tcPr>
                  <w:tcW w:w="2068" w:type="dxa"/>
                  <w:vAlign w:val="center"/>
                </w:tcPr>
                <w:p w14:paraId="55E2CED4">
                  <w:pPr>
                    <w:adjustRightInd w:val="0"/>
                    <w:snapToGrid w:val="0"/>
                    <w:jc w:val="both"/>
                    <w:rPr>
                      <w:rFonts w:hint="default"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本项目所在区域属于环境空气不达标区，在落实《淮安市2025年大气污染防治工作计划》后，预期淮安市环境空气质量状况会进一步改善；项目区域声环境、地表水环境达标。</w:t>
                  </w:r>
                </w:p>
              </w:tc>
              <w:tc>
                <w:tcPr>
                  <w:tcW w:w="727" w:type="dxa"/>
                  <w:vMerge w:val="restart"/>
                  <w:vAlign w:val="center"/>
                </w:tcPr>
                <w:p w14:paraId="0CC5C5FD">
                  <w:pPr>
                    <w:jc w:val="center"/>
                    <w:rPr>
                      <w:rFonts w:hint="default" w:eastAsia="宋体"/>
                      <w:color w:val="auto"/>
                      <w:szCs w:val="21"/>
                      <w:lang w:val="en-US" w:eastAsia="zh-CN"/>
                    </w:rPr>
                  </w:pPr>
                  <w:r>
                    <w:rPr>
                      <w:rFonts w:hint="eastAsia"/>
                      <w:color w:val="auto"/>
                      <w:szCs w:val="21"/>
                      <w:lang w:val="en-US" w:eastAsia="zh-CN"/>
                    </w:rPr>
                    <w:t>符合</w:t>
                  </w:r>
                </w:p>
              </w:tc>
            </w:tr>
            <w:tr w14:paraId="6F02D54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vAlign w:val="center"/>
                </w:tcPr>
                <w:p w14:paraId="7FFBC770">
                  <w:pPr>
                    <w:jc w:val="center"/>
                    <w:rPr>
                      <w:color w:val="auto"/>
                      <w:szCs w:val="21"/>
                    </w:rPr>
                  </w:pPr>
                </w:p>
              </w:tc>
              <w:tc>
                <w:tcPr>
                  <w:tcW w:w="3554" w:type="dxa"/>
                  <w:gridSpan w:val="2"/>
                  <w:vAlign w:val="center"/>
                </w:tcPr>
                <w:p w14:paraId="1B51D9D9">
                  <w:pPr>
                    <w:adjustRightInd w:val="0"/>
                    <w:snapToGrid w:val="0"/>
                    <w:jc w:val="both"/>
                    <w:rPr>
                      <w:rFonts w:ascii="Times New Roman" w:hAnsi="Times New Roman" w:cs="Times New Roman"/>
                      <w:color w:val="auto"/>
                      <w:szCs w:val="21"/>
                    </w:rPr>
                  </w:pPr>
                  <w:r>
                    <w:rPr>
                      <w:rFonts w:hint="eastAsia" w:ascii="Times New Roman" w:hAnsi="Times New Roman" w:cs="Times New Roman"/>
                      <w:color w:val="auto"/>
                      <w:szCs w:val="21"/>
                      <w:lang w:val="en-US" w:eastAsia="zh-CN"/>
                    </w:rPr>
                    <w:t>应将“三线一单”作为建设项目环评审批的重要依据，严格落实生态环境分区管控要求，从严把好环境准入关。</w:t>
                  </w:r>
                </w:p>
              </w:tc>
              <w:tc>
                <w:tcPr>
                  <w:tcW w:w="2068" w:type="dxa"/>
                  <w:vAlign w:val="center"/>
                </w:tcPr>
                <w:p w14:paraId="4AE6D899">
                  <w:pPr>
                    <w:adjustRightInd w:val="0"/>
                    <w:snapToGrid w:val="0"/>
                    <w:jc w:val="both"/>
                    <w:rPr>
                      <w:rFonts w:hint="default"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建设项目符合“三线一单”的要求。</w:t>
                  </w:r>
                </w:p>
              </w:tc>
              <w:tc>
                <w:tcPr>
                  <w:tcW w:w="727" w:type="dxa"/>
                  <w:vMerge w:val="continue"/>
                  <w:vAlign w:val="center"/>
                </w:tcPr>
                <w:p w14:paraId="73908A60">
                  <w:pPr>
                    <w:jc w:val="center"/>
                    <w:rPr>
                      <w:color w:val="auto"/>
                      <w:szCs w:val="21"/>
                    </w:rPr>
                  </w:pPr>
                </w:p>
              </w:tc>
            </w:tr>
            <w:tr w14:paraId="46004DD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shd w:val="clear" w:color="auto" w:fill="auto"/>
                  <w:vAlign w:val="center"/>
                </w:tcPr>
                <w:p w14:paraId="387BAC9A">
                  <w:pPr>
                    <w:jc w:val="center"/>
                    <w:rPr>
                      <w:rFonts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auto"/>
                      <w:lang w:eastAsia="zh-CN"/>
                    </w:rPr>
                    <w:t>《江苏省挥发性有机物清洁原料替代工作方案》（苏大气办[2021]2号）</w:t>
                  </w:r>
                </w:p>
              </w:tc>
              <w:tc>
                <w:tcPr>
                  <w:tcW w:w="3554" w:type="dxa"/>
                  <w:gridSpan w:val="2"/>
                  <w:shd w:val="clear" w:color="auto" w:fill="auto"/>
                  <w:vAlign w:val="center"/>
                </w:tcPr>
                <w:p w14:paraId="3663E2B0">
                  <w:pPr>
                    <w:adjustRightInd w:val="0"/>
                    <w:snapToGrid w:val="0"/>
                    <w:jc w:val="both"/>
                    <w:rPr>
                      <w:rFonts w:hint="eastAsia"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一）明确替代要求。以工业涂装、包装印刷、木材加工、纺织等行业为重点，分阶段推进3130家企业清洁原料替代工作。实施替代的企业要使用符合《低挥发性有机化合物含量涂料产品技术要求》GB/T38597-2020）规定的粉末、水性、无溶剂、辐射固化涂料产品；符合《油墨中可挥发性有机化合物（VOCs）含量的限值》（GB38507-2020）规定的水性油墨和能量固化油墨产品；符合《清洗剂挥发性有机化合物含量限值》（GB38508-2020）规定的水基、半水基清洗剂产品；符合《胶粘剂挥发性有机化合物限量》（GB33372-2020）规定的水基型、本体型胶粘剂产品。若确实无法达到上述要求，应提供相应的论证说明，相关涂料、油墨、清洗剂、胶粘剂等产品应符合相关标准中VOCs含量的限值要求。</w:t>
                  </w:r>
                </w:p>
              </w:tc>
              <w:tc>
                <w:tcPr>
                  <w:tcW w:w="2068" w:type="dxa"/>
                  <w:shd w:val="clear" w:color="auto" w:fill="auto"/>
                  <w:vAlign w:val="center"/>
                </w:tcPr>
                <w:p w14:paraId="47D2A310">
                  <w:pPr>
                    <w:jc w:val="both"/>
                    <w:rPr>
                      <w:rFonts w:hint="default" w:ascii="Times New Roman" w:hAnsi="Times New Roman" w:cs="Times New Roman"/>
                      <w:color w:val="auto"/>
                      <w:szCs w:val="21"/>
                      <w:lang w:val="en-US" w:eastAsia="zh-CN"/>
                    </w:rPr>
                  </w:pPr>
                  <w:r>
                    <w:rPr>
                      <w:rFonts w:hint="eastAsia" w:ascii="Times New Roman" w:hAnsi="Times New Roman" w:cs="Times New Roman"/>
                      <w:color w:val="auto"/>
                      <w:szCs w:val="21"/>
                    </w:rPr>
                    <w:t>根据《低挥发性有机化合物含量涂料产品技术要求》（GB/T 38579-2020）标准要求，“8 标准的实施”章节中规定粉末涂料、无机建筑涂料（含建筑无机粉体涂装材料）、建筑用有机粉体涂料产品中VOC含量通常很少，属于低挥发性有机化合物含量涂料产品。</w:t>
                  </w:r>
                  <w:r>
                    <w:rPr>
                      <w:rFonts w:hint="eastAsia" w:ascii="Times New Roman" w:hAnsi="Times New Roman" w:cs="Times New Roman"/>
                      <w:color w:val="auto"/>
                      <w:szCs w:val="21"/>
                      <w:lang w:val="en-US" w:eastAsia="zh-CN"/>
                    </w:rPr>
                    <w:t>同时，参照河北省生态环境厅关于“</w:t>
                  </w:r>
                  <w:r>
                    <w:rPr>
                      <w:rFonts w:hint="eastAsia" w:ascii="Times New Roman" w:hAnsi="Times New Roman" w:cs="Times New Roman"/>
                      <w:color w:val="auto"/>
                      <w:szCs w:val="21"/>
                    </w:rPr>
                    <w:t>喷塑所用的塑粉算非溶剂型低VOCs涂料吗？</w:t>
                  </w:r>
                  <w:r>
                    <w:rPr>
                      <w:rFonts w:hint="eastAsia" w:ascii="Times New Roman" w:hAnsi="Times New Roman" w:cs="Times New Roman"/>
                      <w:color w:val="auto"/>
                      <w:szCs w:val="21"/>
                      <w:lang w:val="en-US" w:eastAsia="zh-CN"/>
                    </w:rPr>
                    <w:t>”的回复，明确表明“</w:t>
                  </w:r>
                  <w:r>
                    <w:rPr>
                      <w:rFonts w:hint="eastAsia" w:ascii="Times New Roman" w:hAnsi="Times New Roman" w:cs="Times New Roman"/>
                      <w:color w:val="auto"/>
                      <w:szCs w:val="21"/>
                    </w:rPr>
                    <w:t>喷塑所用的塑粉属于低挥发性有机化合物含量涂料。</w:t>
                  </w:r>
                  <w:r>
                    <w:rPr>
                      <w:rFonts w:hint="eastAsia" w:ascii="Times New Roman" w:hAnsi="Times New Roman" w:cs="Times New Roman"/>
                      <w:color w:val="auto"/>
                      <w:szCs w:val="21"/>
                      <w:lang w:val="en-US" w:eastAsia="zh-CN"/>
                    </w:rPr>
                    <w:t>”，详见网址：https://hbepb.hebei.gov.cn/hbtcms/interact/web/tagQueryById.do?template=101558593053408&amp;searchCode=130000&amp;searchId=101679650750960。因此本项目使用的原料中塑粉属于低挥发性涂料。</w:t>
                  </w:r>
                </w:p>
              </w:tc>
              <w:tc>
                <w:tcPr>
                  <w:tcW w:w="727" w:type="dxa"/>
                  <w:vMerge w:val="restart"/>
                  <w:vAlign w:val="center"/>
                </w:tcPr>
                <w:p w14:paraId="0E4AF030">
                  <w:pPr>
                    <w:jc w:val="center"/>
                    <w:rPr>
                      <w:rFonts w:hint="eastAsia" w:eastAsia="宋体"/>
                      <w:color w:val="auto"/>
                      <w:szCs w:val="21"/>
                      <w:lang w:val="en-US" w:eastAsia="zh-CN"/>
                    </w:rPr>
                  </w:pPr>
                  <w:r>
                    <w:rPr>
                      <w:rFonts w:hint="eastAsia"/>
                      <w:color w:val="auto"/>
                      <w:szCs w:val="21"/>
                      <w:lang w:val="en-US" w:eastAsia="zh-CN"/>
                    </w:rPr>
                    <w:t>符合</w:t>
                  </w:r>
                </w:p>
              </w:tc>
            </w:tr>
            <w:tr w14:paraId="48BEC6C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4297D813">
                  <w:pPr>
                    <w:jc w:val="center"/>
                    <w:rPr>
                      <w:rFonts w:hint="eastAsia" w:ascii="Times New Roman" w:hAnsi="Times New Roman" w:cs="Times New Roman"/>
                      <w:color w:val="auto"/>
                      <w:lang w:eastAsia="zh-CN"/>
                    </w:rPr>
                  </w:pPr>
                </w:p>
              </w:tc>
              <w:tc>
                <w:tcPr>
                  <w:tcW w:w="3554" w:type="dxa"/>
                  <w:gridSpan w:val="2"/>
                  <w:shd w:val="clear" w:color="auto" w:fill="auto"/>
                  <w:vAlign w:val="center"/>
                </w:tcPr>
                <w:p w14:paraId="577B1DC5">
                  <w:pPr>
                    <w:adjustRightInd w:val="0"/>
                    <w:snapToGrid w:val="0"/>
                    <w:jc w:val="both"/>
                    <w:rPr>
                      <w:rFonts w:hint="eastAsia"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二）严格准入条件。禁止建设生产和使用高VOCs含量的涂料、油墨、胶黏剂等项目。2021年起，全省工业涂装、包装印刷、纺织、木材加工等行业以及涂料、油墨等生产企业的新（改、扩）建项目需满足低（无）VOCs含量限值要求。省内市场上流通的水性涂料等低挥发性有机物含量涂料产品，执行国家《低挥发性有机化合物含量涂料产品技术要求》（GB/T38597-2020）。</w:t>
                  </w:r>
                </w:p>
              </w:tc>
              <w:tc>
                <w:tcPr>
                  <w:tcW w:w="2068" w:type="dxa"/>
                  <w:shd w:val="clear" w:color="auto" w:fill="auto"/>
                  <w:vAlign w:val="center"/>
                </w:tcPr>
                <w:p w14:paraId="68BF21B3">
                  <w:pPr>
                    <w:jc w:val="both"/>
                    <w:rPr>
                      <w:rFonts w:hint="default"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本项目不使用</w:t>
                  </w:r>
                  <w:r>
                    <w:rPr>
                      <w:rFonts w:hint="default" w:ascii="Times New Roman" w:hAnsi="Times New Roman" w:cs="Times New Roman"/>
                      <w:color w:val="auto"/>
                      <w:szCs w:val="21"/>
                      <w:lang w:val="en-US" w:eastAsia="zh-CN"/>
                    </w:rPr>
                    <w:t>高VOCs含量的涂料、油墨、胶黏剂</w:t>
                  </w:r>
                  <w:r>
                    <w:rPr>
                      <w:rFonts w:hint="eastAsia" w:ascii="Times New Roman" w:hAnsi="Times New Roman" w:cs="Times New Roman"/>
                      <w:color w:val="auto"/>
                      <w:szCs w:val="21"/>
                      <w:lang w:val="en-US" w:eastAsia="zh-CN"/>
                    </w:rPr>
                    <w:t>，不属于禁止建设项目。</w:t>
                  </w:r>
                </w:p>
              </w:tc>
              <w:tc>
                <w:tcPr>
                  <w:tcW w:w="727" w:type="dxa"/>
                  <w:vMerge w:val="continue"/>
                  <w:vAlign w:val="center"/>
                </w:tcPr>
                <w:p w14:paraId="19C534C5">
                  <w:pPr>
                    <w:jc w:val="center"/>
                    <w:rPr>
                      <w:color w:val="auto"/>
                      <w:szCs w:val="21"/>
                    </w:rPr>
                  </w:pPr>
                </w:p>
              </w:tc>
            </w:tr>
            <w:tr w14:paraId="37FE31E3">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0F2282EC">
                  <w:pPr>
                    <w:jc w:val="center"/>
                    <w:rPr>
                      <w:rFonts w:hint="eastAsia" w:ascii="Times New Roman" w:hAnsi="Times New Roman" w:cs="Times New Roman"/>
                      <w:color w:val="auto"/>
                      <w:lang w:eastAsia="zh-CN"/>
                    </w:rPr>
                  </w:pPr>
                </w:p>
              </w:tc>
              <w:tc>
                <w:tcPr>
                  <w:tcW w:w="3554" w:type="dxa"/>
                  <w:gridSpan w:val="2"/>
                  <w:shd w:val="clear" w:color="auto" w:fill="auto"/>
                  <w:vAlign w:val="center"/>
                </w:tcPr>
                <w:p w14:paraId="36143397">
                  <w:pPr>
                    <w:adjustRightInd w:val="0"/>
                    <w:snapToGrid w:val="0"/>
                    <w:jc w:val="both"/>
                    <w:rPr>
                      <w:rFonts w:hint="eastAsia" w:ascii="Times New Roman" w:hAnsi="Times New Roman" w:cs="Times New Roman"/>
                      <w:color w:val="auto"/>
                      <w:szCs w:val="21"/>
                      <w:lang w:val="en-US" w:eastAsia="zh-CN"/>
                    </w:rPr>
                  </w:pPr>
                  <w:r>
                    <w:rPr>
                      <w:rFonts w:hint="default" w:ascii="Times New Roman" w:hAnsi="Times New Roman" w:cs="Times New Roman"/>
                      <w:color w:val="auto"/>
                      <w:szCs w:val="21"/>
                      <w:lang w:val="en-US" w:eastAsia="zh-CN"/>
                    </w:rPr>
                    <w:t>（三）强化排查整治。各地在推动3130家企业实施源头替代的基础上，举一反三，对工业涂装、包装印刷、木材加工、纺织等涉VOCs重点行业进行再排查、再梳理，督促企业建立涂料等原辅材料购销台账，如实记录使用情况。</w:t>
                  </w:r>
                </w:p>
              </w:tc>
              <w:tc>
                <w:tcPr>
                  <w:tcW w:w="2068" w:type="dxa"/>
                  <w:shd w:val="clear" w:color="auto" w:fill="auto"/>
                  <w:vAlign w:val="center"/>
                </w:tcPr>
                <w:p w14:paraId="60CAFF20">
                  <w:pPr>
                    <w:jc w:val="both"/>
                    <w:rPr>
                      <w:rFonts w:hint="eastAsia"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本项目建成后，</w:t>
                  </w:r>
                  <w:r>
                    <w:rPr>
                      <w:rFonts w:hint="default" w:ascii="Times New Roman" w:hAnsi="Times New Roman" w:cs="Times New Roman"/>
                      <w:color w:val="auto"/>
                      <w:szCs w:val="21"/>
                      <w:lang w:val="en-US" w:eastAsia="zh-CN"/>
                    </w:rPr>
                    <w:t>企业应建立台账，记录原辅料购销台账，如实记录使用情况。</w:t>
                  </w:r>
                </w:p>
              </w:tc>
              <w:tc>
                <w:tcPr>
                  <w:tcW w:w="727" w:type="dxa"/>
                  <w:vMerge w:val="continue"/>
                  <w:vAlign w:val="center"/>
                </w:tcPr>
                <w:p w14:paraId="65D68498">
                  <w:pPr>
                    <w:jc w:val="center"/>
                    <w:rPr>
                      <w:color w:val="auto"/>
                      <w:szCs w:val="21"/>
                    </w:rPr>
                  </w:pPr>
                </w:p>
              </w:tc>
            </w:tr>
            <w:tr w14:paraId="5D49BBB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shd w:val="clear" w:color="auto" w:fill="auto"/>
                  <w:vAlign w:val="center"/>
                </w:tcPr>
                <w:p w14:paraId="303BE132">
                  <w:pPr>
                    <w:adjustRightInd w:val="0"/>
                    <w:snapToGrid w:val="0"/>
                    <w:jc w:val="center"/>
                    <w:rPr>
                      <w:rFonts w:hint="eastAsia" w:ascii="Times New Roman" w:hAnsi="Times New Roman" w:cs="Times New Roman"/>
                      <w:color w:val="auto"/>
                      <w:lang w:eastAsia="zh-CN"/>
                    </w:rPr>
                  </w:pPr>
                  <w:r>
                    <w:rPr>
                      <w:color w:val="auto"/>
                      <w:szCs w:val="21"/>
                    </w:rPr>
                    <w:t>《江苏省2020年挥发性有机物专项治理工作方案》</w:t>
                  </w:r>
                </w:p>
              </w:tc>
              <w:tc>
                <w:tcPr>
                  <w:tcW w:w="3554" w:type="dxa"/>
                  <w:gridSpan w:val="2"/>
                  <w:shd w:val="clear" w:color="auto" w:fill="auto"/>
                  <w:vAlign w:val="center"/>
                </w:tcPr>
                <w:p w14:paraId="7F34B9AA">
                  <w:pPr>
                    <w:adjustRightInd w:val="0"/>
                    <w:snapToGrid w:val="0"/>
                    <w:jc w:val="both"/>
                    <w:rPr>
                      <w:rFonts w:hint="default" w:ascii="Times New Roman" w:hAnsi="Times New Roman" w:cs="Times New Roman"/>
                      <w:color w:val="auto"/>
                      <w:szCs w:val="21"/>
                      <w:lang w:val="en-US" w:eastAsia="zh-CN"/>
                    </w:rPr>
                  </w:pPr>
                  <w:r>
                    <w:rPr>
                      <w:color w:val="auto"/>
                      <w:szCs w:val="21"/>
                    </w:rPr>
                    <w:t>各地要加大对企业治污设施的分类指导，鼓励企业合理选择治理技术，提高VOCs治理效率。</w:t>
                  </w:r>
                </w:p>
              </w:tc>
              <w:tc>
                <w:tcPr>
                  <w:tcW w:w="2068" w:type="dxa"/>
                  <w:shd w:val="clear" w:color="auto" w:fill="auto"/>
                  <w:vAlign w:val="center"/>
                </w:tcPr>
                <w:p w14:paraId="3AF80B4B">
                  <w:pPr>
                    <w:adjustRightInd w:val="0"/>
                    <w:snapToGrid w:val="0"/>
                    <w:jc w:val="both"/>
                    <w:rPr>
                      <w:rFonts w:hint="eastAsia" w:ascii="Times New Roman" w:hAnsi="Times New Roman" w:cs="Times New Roman"/>
                      <w:color w:val="auto"/>
                      <w:szCs w:val="21"/>
                      <w:lang w:val="en-US" w:eastAsia="zh-CN"/>
                    </w:rPr>
                  </w:pPr>
                  <w:r>
                    <w:rPr>
                      <w:rFonts w:hint="eastAsia"/>
                      <w:color w:val="auto"/>
                      <w:szCs w:val="21"/>
                      <w:lang w:val="en-US" w:eastAsia="zh-CN"/>
                    </w:rPr>
                    <w:t>本</w:t>
                  </w:r>
                  <w:r>
                    <w:rPr>
                      <w:color w:val="auto"/>
                      <w:szCs w:val="21"/>
                    </w:rPr>
                    <w:t>项目生产过程产生的有机废气</w:t>
                  </w:r>
                  <w:r>
                    <w:rPr>
                      <w:rFonts w:hint="eastAsia"/>
                      <w:color w:val="auto"/>
                      <w:szCs w:val="21"/>
                    </w:rPr>
                    <w:t>经</w:t>
                  </w:r>
                  <w:r>
                    <w:rPr>
                      <w:rFonts w:hint="eastAsia" w:ascii="Calibri" w:hAnsi="Calibri" w:eastAsiaTheme="minorEastAsia"/>
                      <w:color w:val="auto"/>
                      <w:szCs w:val="21"/>
                    </w:rPr>
                    <w:t>密闭车间</w:t>
                  </w:r>
                  <w:r>
                    <w:rPr>
                      <w:rFonts w:hint="eastAsia" w:ascii="Calibri" w:hAnsi="Calibri" w:eastAsiaTheme="minorEastAsia"/>
                      <w:color w:val="auto"/>
                      <w:szCs w:val="21"/>
                      <w:lang w:val="en-US" w:eastAsia="zh-CN"/>
                    </w:rPr>
                    <w:t>和管道负压收集/集气罩</w:t>
                  </w:r>
                  <w:r>
                    <w:rPr>
                      <w:rFonts w:hint="eastAsia" w:ascii="Calibri" w:hAnsi="Calibri" w:eastAsiaTheme="minorEastAsia"/>
                      <w:color w:val="auto"/>
                      <w:szCs w:val="21"/>
                    </w:rPr>
                    <w:t>负压</w:t>
                  </w:r>
                  <w:r>
                    <w:rPr>
                      <w:rFonts w:ascii="Calibri" w:hAnsi="Calibri" w:eastAsiaTheme="minorEastAsia"/>
                      <w:color w:val="auto"/>
                      <w:szCs w:val="21"/>
                    </w:rPr>
                    <w:t>收集</w:t>
                  </w:r>
                  <w:r>
                    <w:rPr>
                      <w:color w:val="auto"/>
                      <w:szCs w:val="21"/>
                    </w:rPr>
                    <w:t>后通过</w:t>
                  </w:r>
                  <w:r>
                    <w:rPr>
                      <w:rFonts w:hint="eastAsia"/>
                      <w:color w:val="auto"/>
                      <w:szCs w:val="21"/>
                    </w:rPr>
                    <w:t>二级活性炭</w:t>
                  </w:r>
                  <w:r>
                    <w:rPr>
                      <w:color w:val="auto"/>
                      <w:szCs w:val="21"/>
                    </w:rPr>
                    <w:t>处理达标排放，治理效率达</w:t>
                  </w:r>
                  <w:r>
                    <w:rPr>
                      <w:rFonts w:hint="eastAsia"/>
                      <w:color w:val="auto"/>
                      <w:szCs w:val="21"/>
                      <w:lang w:val="en-US" w:eastAsia="zh-CN"/>
                    </w:rPr>
                    <w:t>90</w:t>
                  </w:r>
                  <w:r>
                    <w:rPr>
                      <w:color w:val="auto"/>
                      <w:szCs w:val="21"/>
                    </w:rPr>
                    <w:t>%。</w:t>
                  </w:r>
                </w:p>
              </w:tc>
              <w:tc>
                <w:tcPr>
                  <w:tcW w:w="727" w:type="dxa"/>
                  <w:vMerge w:val="restart"/>
                  <w:vAlign w:val="center"/>
                </w:tcPr>
                <w:p w14:paraId="1E28EB6D">
                  <w:pPr>
                    <w:jc w:val="center"/>
                    <w:rPr>
                      <w:rFonts w:hint="eastAsia" w:eastAsia="宋体"/>
                      <w:color w:val="auto"/>
                      <w:szCs w:val="21"/>
                      <w:lang w:val="en-US" w:eastAsia="zh-CN"/>
                    </w:rPr>
                  </w:pPr>
                  <w:r>
                    <w:rPr>
                      <w:rFonts w:hint="eastAsia"/>
                      <w:color w:val="auto"/>
                      <w:szCs w:val="21"/>
                      <w:lang w:val="en-US" w:eastAsia="zh-CN"/>
                    </w:rPr>
                    <w:t>符合</w:t>
                  </w:r>
                </w:p>
              </w:tc>
            </w:tr>
            <w:tr w14:paraId="5F7BB48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75573626">
                  <w:pPr>
                    <w:adjustRightInd w:val="0"/>
                    <w:snapToGrid w:val="0"/>
                    <w:jc w:val="center"/>
                    <w:rPr>
                      <w:rFonts w:hint="eastAsia" w:ascii="Times New Roman" w:hAnsi="Times New Roman" w:cs="Times New Roman"/>
                      <w:color w:val="auto"/>
                      <w:lang w:eastAsia="zh-CN"/>
                    </w:rPr>
                  </w:pPr>
                </w:p>
              </w:tc>
              <w:tc>
                <w:tcPr>
                  <w:tcW w:w="3554" w:type="dxa"/>
                  <w:gridSpan w:val="2"/>
                  <w:shd w:val="clear" w:color="auto" w:fill="auto"/>
                  <w:vAlign w:val="center"/>
                </w:tcPr>
                <w:p w14:paraId="7C391E47">
                  <w:pPr>
                    <w:adjustRightInd w:val="0"/>
                    <w:snapToGrid w:val="0"/>
                    <w:jc w:val="both"/>
                    <w:rPr>
                      <w:rFonts w:hint="default" w:ascii="Times New Roman" w:hAnsi="Times New Roman" w:cs="Times New Roman"/>
                      <w:color w:val="auto"/>
                      <w:szCs w:val="21"/>
                      <w:lang w:val="en-US" w:eastAsia="zh-CN"/>
                    </w:rPr>
                  </w:pPr>
                  <w:r>
                    <w:rPr>
                      <w:color w:val="auto"/>
                      <w:szCs w:val="21"/>
                    </w:rPr>
                    <w:t>VOCs排放量大于等于2千克/小时的企业，除确保排放浓度稳定达标外，去除效率不低于80%。</w:t>
                  </w:r>
                </w:p>
              </w:tc>
              <w:tc>
                <w:tcPr>
                  <w:tcW w:w="2068" w:type="dxa"/>
                  <w:shd w:val="clear" w:color="auto" w:fill="auto"/>
                  <w:vAlign w:val="center"/>
                </w:tcPr>
                <w:p w14:paraId="570A5342">
                  <w:pPr>
                    <w:adjustRightInd w:val="0"/>
                    <w:snapToGrid w:val="0"/>
                    <w:jc w:val="both"/>
                    <w:rPr>
                      <w:rFonts w:hint="eastAsia" w:ascii="Times New Roman" w:hAnsi="Times New Roman" w:cs="Times New Roman"/>
                      <w:color w:val="auto"/>
                      <w:szCs w:val="21"/>
                      <w:lang w:val="en-US" w:eastAsia="zh-CN"/>
                    </w:rPr>
                  </w:pPr>
                  <w:r>
                    <w:rPr>
                      <w:rFonts w:hint="eastAsia"/>
                      <w:color w:val="auto"/>
                      <w:szCs w:val="21"/>
                      <w:lang w:val="en-US" w:eastAsia="zh-CN"/>
                    </w:rPr>
                    <w:t>本</w:t>
                  </w:r>
                  <w:r>
                    <w:rPr>
                      <w:color w:val="auto"/>
                      <w:szCs w:val="21"/>
                    </w:rPr>
                    <w:t>项目产生的非甲烷总烃</w:t>
                  </w:r>
                  <w:r>
                    <w:rPr>
                      <w:rFonts w:hint="eastAsia"/>
                      <w:color w:val="auto"/>
                      <w:szCs w:val="21"/>
                      <w:lang w:eastAsia="zh-CN"/>
                    </w:rPr>
                    <w:t>（</w:t>
                  </w:r>
                  <w:r>
                    <w:rPr>
                      <w:rFonts w:hint="eastAsia"/>
                      <w:color w:val="auto"/>
                      <w:szCs w:val="21"/>
                      <w:lang w:val="en-US" w:eastAsia="zh-CN"/>
                    </w:rPr>
                    <w:t>NMHC）</w:t>
                  </w:r>
                  <w:r>
                    <w:rPr>
                      <w:color w:val="auto"/>
                      <w:szCs w:val="21"/>
                    </w:rPr>
                    <w:t>初始排放速率小于2kg/h，为减少有机废气的排放，项目各工序产生的有机废气经</w:t>
                  </w:r>
                  <w:r>
                    <w:rPr>
                      <w:rFonts w:hint="eastAsia"/>
                      <w:color w:val="auto"/>
                      <w:szCs w:val="21"/>
                    </w:rPr>
                    <w:t>二级活性炭</w:t>
                  </w:r>
                  <w:r>
                    <w:rPr>
                      <w:color w:val="auto"/>
                      <w:szCs w:val="21"/>
                    </w:rPr>
                    <w:t>处理，VOCs整体去除效率可达</w:t>
                  </w:r>
                  <w:r>
                    <w:rPr>
                      <w:rFonts w:hint="eastAsia"/>
                      <w:color w:val="auto"/>
                      <w:szCs w:val="21"/>
                      <w:lang w:val="en-US" w:eastAsia="zh-CN"/>
                    </w:rPr>
                    <w:t>90</w:t>
                  </w:r>
                  <w:r>
                    <w:rPr>
                      <w:color w:val="auto"/>
                      <w:szCs w:val="21"/>
                    </w:rPr>
                    <w:t>%。</w:t>
                  </w:r>
                </w:p>
              </w:tc>
              <w:tc>
                <w:tcPr>
                  <w:tcW w:w="727" w:type="dxa"/>
                  <w:vMerge w:val="continue"/>
                  <w:vAlign w:val="center"/>
                </w:tcPr>
                <w:p w14:paraId="57045FEE">
                  <w:pPr>
                    <w:jc w:val="center"/>
                    <w:rPr>
                      <w:color w:val="auto"/>
                      <w:szCs w:val="21"/>
                    </w:rPr>
                  </w:pPr>
                </w:p>
              </w:tc>
            </w:tr>
            <w:tr w14:paraId="107AED3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shd w:val="clear" w:color="auto" w:fill="auto"/>
                  <w:vAlign w:val="center"/>
                </w:tcPr>
                <w:p w14:paraId="67EDF971">
                  <w:pPr>
                    <w:adjustRightInd w:val="0"/>
                    <w:snapToGrid w:val="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《2022年江苏省挥发性有机物减排攻坚方案》（苏大气办[2022]2号）</w:t>
                  </w:r>
                </w:p>
              </w:tc>
              <w:tc>
                <w:tcPr>
                  <w:tcW w:w="3554" w:type="dxa"/>
                  <w:gridSpan w:val="2"/>
                  <w:shd w:val="clear" w:color="auto" w:fill="auto"/>
                  <w:vAlign w:val="center"/>
                </w:tcPr>
                <w:p w14:paraId="3882BD8B">
                  <w:pPr>
                    <w:keepNext w:val="0"/>
                    <w:keepLines w:val="0"/>
                    <w:suppressLineNumbers w:val="0"/>
                    <w:adjustRightInd w:val="0"/>
                    <w:snapToGrid w:val="0"/>
                    <w:spacing w:before="0" w:beforeAutospacing="0" w:after="0" w:afterAutospacing="0"/>
                    <w:ind w:left="0" w:leftChars="0" w:right="0" w:rightChars="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持续推进涉VOCs行业清洁原料替代。各地要对照《江苏省挥发性有机物清洁原料替代工作方案》</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苏大气办[2021]2号</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要求，持续推动3130家企业实施源头替代，严把环评审批准入关，控增量、去存量。加快推动列入年度任务的569家钢结构企业和3422家包装印刷企业清洁原料替代进度，7月底前，完成相关企业替代管理台账的调度更新，列出进度滞后企业清单，重点督办。实施替代的钢结构企业需使用符合GB/T38597中规定的粉末、水性、无溶剂、辐射固化涂料产品；实施替代的包装印刷企业需符合GB38507中规定的水性、能量固化、胶印油墨产品。无法替代的应开展论证，并采用适宜的高效末端治理技术。7-8月份，我办将组织召开清洁原料替代工作现场会。</w:t>
                  </w:r>
                </w:p>
              </w:tc>
              <w:tc>
                <w:tcPr>
                  <w:tcW w:w="2068" w:type="dxa"/>
                  <w:shd w:val="clear" w:color="auto" w:fill="auto"/>
                  <w:vAlign w:val="center"/>
                </w:tcPr>
                <w:p w14:paraId="308D2749">
                  <w:pPr>
                    <w:keepNext w:val="0"/>
                    <w:keepLines w:val="0"/>
                    <w:suppressLineNumbers w:val="0"/>
                    <w:adjustRightInd w:val="0"/>
                    <w:snapToGrid w:val="0"/>
                    <w:spacing w:before="0" w:beforeAutospacing="0" w:after="0" w:afterAutospacing="0"/>
                    <w:ind w:left="0" w:leftChars="0" w:right="0" w:rightChars="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本</w:t>
                  </w:r>
                  <w:r>
                    <w:rPr>
                      <w:rFonts w:hint="default" w:ascii="Times New Roman" w:hAnsi="Times New Roman" w:eastAsia="宋体" w:cs="Times New Roman"/>
                      <w:color w:val="auto"/>
                      <w:sz w:val="21"/>
                      <w:szCs w:val="21"/>
                    </w:rPr>
                    <w:t>项目为</w:t>
                  </w:r>
                  <w:r>
                    <w:rPr>
                      <w:rFonts w:hint="default" w:ascii="Times New Roman" w:hAnsi="Times New Roman" w:eastAsia="宋体" w:cs="Times New Roman"/>
                      <w:color w:val="auto"/>
                      <w:sz w:val="21"/>
                      <w:szCs w:val="21"/>
                      <w:lang w:val="en-US" w:eastAsia="zh-CN"/>
                    </w:rPr>
                    <w:t>五金工具加工项目</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eastAsia="zh-CN"/>
                    </w:rPr>
                    <w:t>项目使用的</w:t>
                  </w:r>
                  <w:r>
                    <w:rPr>
                      <w:rFonts w:hint="default" w:ascii="Times New Roman" w:hAnsi="Times New Roman" w:eastAsia="宋体" w:cs="Times New Roman"/>
                      <w:color w:val="auto"/>
                      <w:sz w:val="21"/>
                      <w:szCs w:val="21"/>
                      <w:lang w:val="en-US" w:eastAsia="zh-CN"/>
                    </w:rPr>
                    <w:t>塑粉属于低挥发性涂料</w:t>
                  </w:r>
                  <w:r>
                    <w:rPr>
                      <w:rFonts w:hint="default" w:ascii="Times New Roman" w:hAnsi="Times New Roman" w:eastAsia="宋体" w:cs="Times New Roman"/>
                      <w:b w:val="0"/>
                      <w:bCs w:val="0"/>
                      <w:color w:val="auto"/>
                      <w:kern w:val="0"/>
                      <w:sz w:val="21"/>
                      <w:szCs w:val="21"/>
                      <w:highlight w:val="none"/>
                    </w:rPr>
                    <w:t>。</w:t>
                  </w:r>
                </w:p>
              </w:tc>
              <w:tc>
                <w:tcPr>
                  <w:tcW w:w="727" w:type="dxa"/>
                  <w:vMerge w:val="restart"/>
                  <w:vAlign w:val="center"/>
                </w:tcPr>
                <w:p w14:paraId="468169D8">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符合</w:t>
                  </w:r>
                </w:p>
              </w:tc>
            </w:tr>
            <w:tr w14:paraId="36C177C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1DD4F9B6">
                  <w:pPr>
                    <w:adjustRightInd w:val="0"/>
                    <w:snapToGrid w:val="0"/>
                    <w:jc w:val="center"/>
                    <w:rPr>
                      <w:rFonts w:hint="default" w:ascii="Times New Roman" w:hAnsi="Times New Roman" w:eastAsia="宋体" w:cs="Times New Roman"/>
                      <w:color w:val="auto"/>
                      <w:sz w:val="21"/>
                      <w:szCs w:val="21"/>
                      <w:lang w:eastAsia="zh-CN"/>
                    </w:rPr>
                  </w:pPr>
                </w:p>
              </w:tc>
              <w:tc>
                <w:tcPr>
                  <w:tcW w:w="3554" w:type="dxa"/>
                  <w:gridSpan w:val="2"/>
                  <w:shd w:val="clear" w:color="auto" w:fill="auto"/>
                  <w:vAlign w:val="center"/>
                </w:tcPr>
                <w:p w14:paraId="0269147A">
                  <w:pPr>
                    <w:keepNext w:val="0"/>
                    <w:keepLines w:val="0"/>
                    <w:suppressLineNumbers w:val="0"/>
                    <w:adjustRightInd w:val="0"/>
                    <w:snapToGrid w:val="0"/>
                    <w:spacing w:before="0" w:beforeAutospacing="0" w:after="0" w:afterAutospacing="0"/>
                    <w:ind w:left="0" w:leftChars="0" w:right="0" w:rightChars="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强化工业源日常管理与监管。督促工业企业按规范管理相关台账，如实记录含VOCs原辅材料使用、治理设施运维、生产管理等信息。对采用活性炭吸附技术的，按照《吸附法工业有机废气治理工程技术规范》</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HJ2026-2013</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进行管理，按要求足量添加、定期更换；一次性活性炭吸附工艺需使用柱状炭</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颗粒炭</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，碘吸附值不低于800毫克/克；VOCs初始排放速率大于2kg/h的重点源排气筒进口应设施采样平台，治理效率不低于80%。</w:t>
                  </w:r>
                </w:p>
              </w:tc>
              <w:tc>
                <w:tcPr>
                  <w:tcW w:w="2068" w:type="dxa"/>
                  <w:shd w:val="clear" w:color="auto" w:fill="auto"/>
                  <w:vAlign w:val="center"/>
                </w:tcPr>
                <w:p w14:paraId="0239C536">
                  <w:pPr>
                    <w:keepNext w:val="0"/>
                    <w:keepLines w:val="0"/>
                    <w:suppressLineNumbers w:val="0"/>
                    <w:adjustRightInd w:val="0"/>
                    <w:snapToGrid w:val="0"/>
                    <w:spacing w:before="0" w:beforeAutospacing="0" w:after="0" w:afterAutospacing="0"/>
                    <w:ind w:left="0" w:leftChars="0" w:right="0" w:rightChars="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本项目</w:t>
                  </w:r>
                  <w:r>
                    <w:rPr>
                      <w:rFonts w:hint="default" w:ascii="Times New Roman" w:hAnsi="Times New Roman" w:eastAsia="宋体" w:cs="Times New Roman"/>
                      <w:color w:val="auto"/>
                      <w:sz w:val="21"/>
                      <w:szCs w:val="21"/>
                      <w:lang w:eastAsia="zh-CN"/>
                    </w:rPr>
                    <w:t>排气筒</w:t>
                  </w:r>
                  <w:r>
                    <w:rPr>
                      <w:rFonts w:hint="default" w:ascii="Times New Roman" w:hAnsi="Times New Roman" w:eastAsia="宋体" w:cs="Times New Roman"/>
                      <w:color w:val="auto"/>
                      <w:sz w:val="21"/>
                      <w:szCs w:val="21"/>
                      <w:lang w:val="en-US" w:eastAsia="zh-CN"/>
                    </w:rPr>
                    <w:t xml:space="preserve">DA001 </w:t>
                  </w:r>
                  <w:r>
                    <w:rPr>
                      <w:rFonts w:hint="default" w:ascii="Times New Roman" w:hAnsi="Times New Roman" w:eastAsia="宋体" w:cs="Times New Roman"/>
                      <w:color w:val="auto"/>
                      <w:sz w:val="21"/>
                      <w:szCs w:val="21"/>
                    </w:rPr>
                    <w:t>VOCs初始排放速率</w:t>
                  </w:r>
                  <w:r>
                    <w:rPr>
                      <w:rFonts w:hint="default" w:ascii="Times New Roman" w:hAnsi="Times New Roman" w:eastAsia="宋体" w:cs="Times New Roman"/>
                      <w:color w:val="auto"/>
                      <w:sz w:val="21"/>
                      <w:szCs w:val="21"/>
                      <w:lang w:eastAsia="zh-CN"/>
                    </w:rPr>
                    <w:t>均</w:t>
                  </w:r>
                  <w:r>
                    <w:rPr>
                      <w:rFonts w:hint="default" w:ascii="Times New Roman" w:hAnsi="Times New Roman" w:eastAsia="宋体" w:cs="Times New Roman"/>
                      <w:color w:val="auto"/>
                      <w:sz w:val="21"/>
                      <w:szCs w:val="21"/>
                    </w:rPr>
                    <w:t>小于2kg/h</w:t>
                  </w:r>
                  <w:r>
                    <w:rPr>
                      <w:rFonts w:hint="default" w:ascii="Times New Roman" w:hAnsi="Times New Roman" w:eastAsia="宋体" w:cs="Times New Roman"/>
                      <w:color w:val="auto"/>
                      <w:sz w:val="21"/>
                      <w:szCs w:val="21"/>
                      <w:lang w:eastAsia="zh-CN"/>
                    </w:rPr>
                    <w:t>，为了减少有机废气对周围环境的影响，</w:t>
                  </w:r>
                  <w:r>
                    <w:rPr>
                      <w:rFonts w:hint="default" w:ascii="Times New Roman" w:hAnsi="Times New Roman" w:eastAsia="宋体" w:cs="Times New Roman"/>
                      <w:color w:val="auto"/>
                      <w:sz w:val="21"/>
                      <w:szCs w:val="21"/>
                    </w:rPr>
                    <w:t>本项目</w:t>
                  </w:r>
                  <w:r>
                    <w:rPr>
                      <w:rFonts w:hint="default" w:ascii="Times New Roman" w:hAnsi="Times New Roman" w:eastAsia="宋体" w:cs="Times New Roman"/>
                      <w:color w:val="auto"/>
                      <w:sz w:val="21"/>
                      <w:szCs w:val="21"/>
                      <w:lang w:eastAsia="zh-CN"/>
                    </w:rPr>
                    <w:t>产生的</w:t>
                  </w:r>
                  <w:r>
                    <w:rPr>
                      <w:rFonts w:hint="default" w:ascii="Times New Roman" w:hAnsi="Times New Roman" w:eastAsia="宋体" w:cs="Times New Roman"/>
                      <w:color w:val="auto"/>
                      <w:sz w:val="21"/>
                      <w:szCs w:val="21"/>
                    </w:rPr>
                    <w:t>有机废气</w:t>
                  </w:r>
                  <w:r>
                    <w:rPr>
                      <w:rFonts w:hint="default" w:ascii="Times New Roman" w:hAnsi="Times New Roman" w:eastAsia="宋体" w:cs="Times New Roman"/>
                      <w:color w:val="auto"/>
                      <w:sz w:val="21"/>
                      <w:szCs w:val="21"/>
                      <w:lang w:eastAsia="zh-CN"/>
                    </w:rPr>
                    <w:t>拟</w:t>
                  </w:r>
                  <w:r>
                    <w:rPr>
                      <w:rFonts w:hint="default" w:ascii="Times New Roman" w:hAnsi="Times New Roman" w:eastAsia="宋体" w:cs="Times New Roman"/>
                      <w:color w:val="auto"/>
                      <w:sz w:val="21"/>
                      <w:szCs w:val="21"/>
                    </w:rPr>
                    <w:t>采用密闭车间</w:t>
                  </w:r>
                  <w:r>
                    <w:rPr>
                      <w:rFonts w:hint="default" w:ascii="Times New Roman" w:hAnsi="Times New Roman" w:eastAsia="宋体" w:cs="Times New Roman"/>
                      <w:color w:val="auto"/>
                      <w:sz w:val="21"/>
                      <w:szCs w:val="21"/>
                      <w:lang w:val="en-US" w:eastAsia="zh-CN"/>
                    </w:rPr>
                    <w:t>/集气罩</w:t>
                  </w:r>
                  <w:r>
                    <w:rPr>
                      <w:rFonts w:hint="default" w:ascii="Times New Roman" w:hAnsi="Times New Roman" w:eastAsia="宋体" w:cs="Times New Roman"/>
                      <w:color w:val="auto"/>
                      <w:sz w:val="21"/>
                      <w:szCs w:val="21"/>
                    </w:rPr>
                    <w:t>负压收集后</w:t>
                  </w:r>
                  <w:r>
                    <w:rPr>
                      <w:rFonts w:hint="default"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auto"/>
                      <w:sz w:val="21"/>
                      <w:szCs w:val="21"/>
                    </w:rPr>
                    <w:t>二级活性炭吸附+15m高排气筒</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lang w:val="en-US" w:eastAsia="zh-CN"/>
                    </w:rPr>
                    <w:t>DA001</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”处理排放，</w:t>
                  </w:r>
                  <w:r>
                    <w:rPr>
                      <w:rFonts w:hint="default" w:ascii="Times New Roman" w:hAnsi="Times New Roman" w:eastAsia="宋体" w:cs="Times New Roman"/>
                      <w:color w:val="auto"/>
                      <w:sz w:val="21"/>
                      <w:szCs w:val="21"/>
                      <w:lang w:eastAsia="zh-CN"/>
                    </w:rPr>
                    <w:t>项目使用活性炭碘吸附值为</w:t>
                  </w:r>
                  <w:r>
                    <w:rPr>
                      <w:rFonts w:hint="default" w:ascii="Times New Roman" w:hAnsi="Times New Roman" w:eastAsia="宋体" w:cs="Times New Roman"/>
                      <w:color w:val="auto"/>
                      <w:sz w:val="21"/>
                      <w:szCs w:val="21"/>
                      <w:lang w:val="en-US" w:eastAsia="zh-CN"/>
                    </w:rPr>
                    <w:t>800</w:t>
                  </w:r>
                  <w:r>
                    <w:rPr>
                      <w:rFonts w:hint="default" w:ascii="Times New Roman" w:hAnsi="Times New Roman" w:eastAsia="宋体" w:cs="Times New Roman"/>
                      <w:color w:val="auto"/>
                      <w:sz w:val="21"/>
                      <w:szCs w:val="21"/>
                    </w:rPr>
                    <w:t>毫克/克</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lang w:val="en-US" w:eastAsia="zh-CN"/>
                    </w:rPr>
                    <w:t>NMHC</w:t>
                  </w:r>
                  <w:r>
                    <w:rPr>
                      <w:rFonts w:hint="default" w:ascii="Times New Roman" w:hAnsi="Times New Roman" w:eastAsia="宋体" w:cs="Times New Roman"/>
                      <w:color w:val="auto"/>
                      <w:sz w:val="21"/>
                      <w:szCs w:val="21"/>
                    </w:rPr>
                    <w:t>处理效率</w:t>
                  </w:r>
                  <w:r>
                    <w:rPr>
                      <w:rFonts w:hint="default" w:ascii="Times New Roman" w:hAnsi="Times New Roman" w:eastAsia="宋体" w:cs="Times New Roman"/>
                      <w:color w:val="auto"/>
                      <w:sz w:val="21"/>
                      <w:szCs w:val="21"/>
                      <w:lang w:eastAsia="zh-CN"/>
                    </w:rPr>
                    <w:t>可达</w:t>
                  </w:r>
                  <w:r>
                    <w:rPr>
                      <w:rFonts w:hint="eastAsia" w:ascii="Times New Roman" w:hAnsi="Times New Roman" w:eastAsia="宋体" w:cs="Times New Roman"/>
                      <w:color w:val="auto"/>
                      <w:sz w:val="21"/>
                      <w:szCs w:val="21"/>
                      <w:lang w:val="en-US" w:eastAsia="zh-CN"/>
                    </w:rPr>
                    <w:t>90</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eastAsia="zh-CN"/>
                    </w:rPr>
                    <w:t>，能够确保有机废气稳定达标排放，</w:t>
                  </w:r>
                  <w:r>
                    <w:rPr>
                      <w:rFonts w:hint="default" w:ascii="Times New Roman" w:hAnsi="Times New Roman" w:eastAsia="宋体" w:cs="Times New Roman"/>
                      <w:color w:val="auto"/>
                      <w:sz w:val="21"/>
                      <w:szCs w:val="21"/>
                    </w:rPr>
                    <w:t>企业应按规范管理相关台账，如实记录原辅材料使用、治理设施运维、生产管理等信息</w:t>
                  </w:r>
                </w:p>
              </w:tc>
              <w:tc>
                <w:tcPr>
                  <w:tcW w:w="727" w:type="dxa"/>
                  <w:vMerge w:val="continue"/>
                  <w:vAlign w:val="center"/>
                </w:tcPr>
                <w:p w14:paraId="28120D16">
                  <w:pPr>
                    <w:jc w:val="center"/>
                    <w:rPr>
                      <w:rFonts w:hint="default" w:ascii="Times New Roman" w:hAnsi="Times New Roman" w:eastAsia="宋体" w:cs="Times New Roman"/>
                      <w:color w:val="auto"/>
                      <w:sz w:val="21"/>
                      <w:szCs w:val="21"/>
                    </w:rPr>
                  </w:pPr>
                </w:p>
              </w:tc>
            </w:tr>
            <w:tr w14:paraId="19C9667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1E68F7CC">
                  <w:pPr>
                    <w:adjustRightInd w:val="0"/>
                    <w:snapToGrid w:val="0"/>
                    <w:jc w:val="center"/>
                    <w:rPr>
                      <w:rFonts w:hint="default" w:ascii="Times New Roman" w:hAnsi="Times New Roman" w:eastAsia="宋体" w:cs="Times New Roman"/>
                      <w:color w:val="auto"/>
                      <w:sz w:val="21"/>
                      <w:szCs w:val="21"/>
                      <w:lang w:eastAsia="zh-CN"/>
                    </w:rPr>
                  </w:pPr>
                </w:p>
              </w:tc>
              <w:tc>
                <w:tcPr>
                  <w:tcW w:w="3554" w:type="dxa"/>
                  <w:gridSpan w:val="2"/>
                  <w:shd w:val="clear" w:color="auto" w:fill="auto"/>
                  <w:vAlign w:val="center"/>
                </w:tcPr>
                <w:p w14:paraId="6A836776">
                  <w:pPr>
                    <w:keepNext w:val="0"/>
                    <w:keepLines w:val="0"/>
                    <w:suppressLineNumbers w:val="0"/>
                    <w:adjustRightInd w:val="0"/>
                    <w:snapToGrid w:val="0"/>
                    <w:spacing w:before="0" w:beforeAutospacing="0" w:after="0" w:afterAutospacing="0"/>
                    <w:ind w:left="0" w:leftChars="0" w:right="0" w:rightChars="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推进VOCs在线监控安装、验收与联网。各地要按照《江苏省污染源自动监控管理办法</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试行</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苏环发[2021]3号</w:t>
                  </w:r>
                  <w:r>
                    <w:rPr>
                      <w:rFonts w:hint="default"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要求，全面梳理企业废气排放量信息，推动单排放口VOCs排放设计小时废气排放量1万立方米及以上的化工行业、3万立方米及以上的其他行业安装VOCs自动监测设备。</w:t>
                  </w:r>
                </w:p>
              </w:tc>
              <w:tc>
                <w:tcPr>
                  <w:tcW w:w="2068" w:type="dxa"/>
                  <w:shd w:val="clear" w:color="auto" w:fill="auto"/>
                  <w:vAlign w:val="center"/>
                </w:tcPr>
                <w:p w14:paraId="2AC19392">
                  <w:pPr>
                    <w:keepNext w:val="0"/>
                    <w:keepLines w:val="0"/>
                    <w:suppressLineNumbers w:val="0"/>
                    <w:adjustRightInd w:val="0"/>
                    <w:snapToGrid w:val="0"/>
                    <w:spacing w:before="0" w:beforeAutospacing="0" w:after="0" w:afterAutospacing="0"/>
                    <w:ind w:left="0" w:leftChars="0" w:right="0" w:rightChars="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本项目DA001设计小时废气排放量为</w:t>
                  </w:r>
                  <w:r>
                    <w:rPr>
                      <w:rFonts w:hint="eastAsia" w:ascii="Times New Roman" w:hAnsi="Times New Roman" w:eastAsia="宋体" w:cs="Times New Roman"/>
                      <w:color w:val="auto"/>
                      <w:sz w:val="21"/>
                      <w:szCs w:val="21"/>
                      <w:lang w:val="en-US" w:eastAsia="zh-CN"/>
                    </w:rPr>
                    <w:t>9000</w:t>
                  </w:r>
                  <w:r>
                    <w:rPr>
                      <w:rFonts w:hint="default" w:ascii="Times New Roman" w:hAnsi="Times New Roman" w:eastAsia="宋体" w:cs="Times New Roman"/>
                      <w:color w:val="auto"/>
                      <w:sz w:val="21"/>
                      <w:szCs w:val="21"/>
                    </w:rPr>
                    <w:t xml:space="preserve"> m</w:t>
                  </w:r>
                  <w:r>
                    <w:rPr>
                      <w:rFonts w:hint="default" w:ascii="Times New Roman" w:hAnsi="Times New Roman" w:eastAsia="宋体" w:cs="Times New Roman"/>
                      <w:color w:val="auto"/>
                      <w:sz w:val="21"/>
                      <w:szCs w:val="21"/>
                      <w:vertAlign w:val="superscript"/>
                    </w:rPr>
                    <w:t>3</w:t>
                  </w:r>
                  <w:r>
                    <w:rPr>
                      <w:rFonts w:hint="default" w:ascii="Times New Roman" w:hAnsi="Times New Roman" w:eastAsia="宋体" w:cs="Times New Roman"/>
                      <w:color w:val="auto"/>
                      <w:sz w:val="21"/>
                      <w:szCs w:val="21"/>
                      <w:vertAlign w:val="baseline"/>
                      <w:lang w:val="en-US" w:eastAsia="zh-CN"/>
                    </w:rPr>
                    <w:t>/h</w:t>
                  </w:r>
                  <w:r>
                    <w:rPr>
                      <w:rFonts w:hint="default" w:ascii="Times New Roman" w:hAnsi="Times New Roman" w:eastAsia="宋体" w:cs="Times New Roman"/>
                      <w:color w:val="auto"/>
                      <w:sz w:val="21"/>
                      <w:szCs w:val="21"/>
                      <w:vertAlign w:val="baseline"/>
                      <w:lang w:eastAsia="zh-CN"/>
                    </w:rPr>
                    <w:t>，</w:t>
                  </w:r>
                  <w:r>
                    <w:rPr>
                      <w:rFonts w:hint="default" w:ascii="Times New Roman" w:hAnsi="Times New Roman" w:eastAsia="宋体" w:cs="Times New Roman"/>
                      <w:color w:val="auto"/>
                      <w:sz w:val="21"/>
                      <w:szCs w:val="21"/>
                    </w:rPr>
                    <w:t>不需安装VOCs自动监测设备。</w:t>
                  </w:r>
                </w:p>
              </w:tc>
              <w:tc>
                <w:tcPr>
                  <w:tcW w:w="727" w:type="dxa"/>
                  <w:vMerge w:val="continue"/>
                  <w:vAlign w:val="center"/>
                </w:tcPr>
                <w:p w14:paraId="55476B0F">
                  <w:pPr>
                    <w:jc w:val="center"/>
                    <w:rPr>
                      <w:rFonts w:hint="default" w:ascii="Times New Roman" w:hAnsi="Times New Roman" w:eastAsia="宋体" w:cs="Times New Roman"/>
                      <w:color w:val="auto"/>
                      <w:sz w:val="21"/>
                      <w:szCs w:val="21"/>
                    </w:rPr>
                  </w:pPr>
                </w:p>
              </w:tc>
            </w:tr>
            <w:tr w14:paraId="0D9D38F2">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shd w:val="clear" w:color="auto" w:fill="auto"/>
                  <w:vAlign w:val="center"/>
                </w:tcPr>
                <w:p w14:paraId="06BCE569">
                  <w:pPr>
                    <w:adjustRightInd w:val="0"/>
                    <w:snapToGrid w:val="0"/>
                    <w:jc w:val="center"/>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Cs w:val="21"/>
                    </w:rPr>
                    <w:t>《关于印发&lt;淮安市2020年挥发性有机物专项治理工作方案&gt;的通知》（淮大气办[2020]4号）</w:t>
                  </w:r>
                </w:p>
              </w:tc>
              <w:tc>
                <w:tcPr>
                  <w:tcW w:w="3554" w:type="dxa"/>
                  <w:gridSpan w:val="2"/>
                  <w:shd w:val="clear" w:color="auto" w:fill="auto"/>
                  <w:vAlign w:val="center"/>
                </w:tcPr>
                <w:p w14:paraId="3EE527DA">
                  <w:pPr>
                    <w:adjustRightInd w:val="0"/>
                    <w:snapToGrid w:val="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Cs w:val="21"/>
                    </w:rPr>
                    <w:t>各地各相关部门要根据《挥发性有机物无组织排放控制标准》（GB37822-2019）要求，对企业含VOCs物料储存、转移和输送、设备与管线组件泄漏、敞开液面逸散以及工艺过程等五类排放源加强管理，通过采取设备与场所密闭、工艺改进、提高废气收集效率。</w:t>
                  </w:r>
                </w:p>
              </w:tc>
              <w:tc>
                <w:tcPr>
                  <w:tcW w:w="2068" w:type="dxa"/>
                  <w:shd w:val="clear" w:color="auto" w:fill="auto"/>
                  <w:vAlign w:val="center"/>
                </w:tcPr>
                <w:p w14:paraId="1BB930C8">
                  <w:pPr>
                    <w:keepNext w:val="0"/>
                    <w:keepLines w:val="0"/>
                    <w:suppressLineNumbers w:val="0"/>
                    <w:adjustRightInd w:val="0"/>
                    <w:snapToGrid w:val="0"/>
                    <w:spacing w:before="0" w:beforeAutospacing="0" w:after="0" w:afterAutospacing="0"/>
                    <w:ind w:left="0" w:leftChars="0" w:right="0" w:rightChars="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val="en-US" w:eastAsia="zh-CN"/>
                    </w:rPr>
                    <w:t>本</w:t>
                  </w:r>
                  <w:r>
                    <w:rPr>
                      <w:rFonts w:hint="default" w:ascii="Times New Roman" w:hAnsi="Times New Roman" w:eastAsia="宋体" w:cs="Times New Roman"/>
                      <w:color w:val="auto"/>
                      <w:sz w:val="21"/>
                      <w:szCs w:val="21"/>
                    </w:rPr>
                    <w:t>项目各VOCs产生源均在房间内部，生产过程中关闭相应的工段大门，密封车间，生产过程产生的有机废气经密闭车间</w:t>
                  </w:r>
                  <w:r>
                    <w:rPr>
                      <w:rFonts w:hint="default" w:ascii="Times New Roman" w:hAnsi="Times New Roman" w:eastAsia="宋体" w:cs="Times New Roman"/>
                      <w:color w:val="auto"/>
                      <w:sz w:val="21"/>
                      <w:szCs w:val="21"/>
                      <w:lang w:val="en-US" w:eastAsia="zh-CN"/>
                    </w:rPr>
                    <w:t>/集气罩</w:t>
                  </w:r>
                  <w:r>
                    <w:rPr>
                      <w:rFonts w:hint="default" w:ascii="Times New Roman" w:hAnsi="Times New Roman" w:eastAsia="宋体" w:cs="Times New Roman"/>
                      <w:color w:val="auto"/>
                      <w:sz w:val="21"/>
                      <w:szCs w:val="21"/>
                    </w:rPr>
                    <w:t>负压收集</w:t>
                  </w:r>
                  <w:r>
                    <w:rPr>
                      <w:rFonts w:hint="default" w:ascii="Times New Roman" w:hAnsi="Times New Roman" w:eastAsia="宋体" w:cs="Times New Roman"/>
                      <w:color w:val="auto"/>
                      <w:sz w:val="21"/>
                      <w:szCs w:val="21"/>
                      <w:lang w:val="zh-CN"/>
                    </w:rPr>
                    <w:t>，减</w:t>
                  </w:r>
                  <w:r>
                    <w:rPr>
                      <w:rFonts w:hint="default" w:ascii="Times New Roman" w:hAnsi="Times New Roman" w:eastAsia="宋体" w:cs="Times New Roman"/>
                      <w:color w:val="auto"/>
                      <w:sz w:val="21"/>
                      <w:szCs w:val="21"/>
                    </w:rPr>
                    <w:t>少了无组织废气的产生。</w:t>
                  </w:r>
                </w:p>
              </w:tc>
              <w:tc>
                <w:tcPr>
                  <w:tcW w:w="727" w:type="dxa"/>
                  <w:vAlign w:val="center"/>
                </w:tcPr>
                <w:p w14:paraId="0E1B7234">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符合</w:t>
                  </w:r>
                </w:p>
              </w:tc>
            </w:tr>
            <w:tr w14:paraId="36195BA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shd w:val="clear" w:color="auto" w:fill="auto"/>
                  <w:vAlign w:val="center"/>
                </w:tcPr>
                <w:p w14:paraId="16009F8A">
                  <w:pPr>
                    <w:adjustRightInd w:val="0"/>
                    <w:snapToGrid w:val="0"/>
                    <w:jc w:val="center"/>
                    <w:rPr>
                      <w:color w:val="auto"/>
                      <w:szCs w:val="21"/>
                    </w:rPr>
                  </w:pPr>
                  <w:r>
                    <w:rPr>
                      <w:color w:val="auto"/>
                      <w:szCs w:val="21"/>
                    </w:rPr>
                    <w:t>《2020年挥发性有机物治理攻坚方案》（环大气[2020]33号）</w:t>
                  </w:r>
                </w:p>
              </w:tc>
              <w:tc>
                <w:tcPr>
                  <w:tcW w:w="3554" w:type="dxa"/>
                  <w:gridSpan w:val="2"/>
                  <w:shd w:val="clear" w:color="auto" w:fill="auto"/>
                  <w:vAlign w:val="center"/>
                </w:tcPr>
                <w:p w14:paraId="3EE83662">
                  <w:pPr>
                    <w:adjustRightInd w:val="0"/>
                    <w:snapToGrid w:val="0"/>
                    <w:jc w:val="both"/>
                    <w:rPr>
                      <w:color w:val="auto"/>
                      <w:szCs w:val="21"/>
                    </w:rPr>
                  </w:pPr>
                  <w:r>
                    <w:rPr>
                      <w:color w:val="auto"/>
                      <w:szCs w:val="21"/>
                    </w:rPr>
                    <w:t>企业在无组织排放排查整治过程中，在保证安全的前提下，加强含VOCs物料全方位、全链条、全环节密闭管理。储存环节应采用密闭容器、包装袋，高效密封储罐，封闭式储库、料仓等。装卸、转移和输送环节应采用密闭管道或密闭容器、罐车等。生产和使用环节应采用密闭设备，或在密闭空间中操作并有效收集废气，或进行局部气体收集；非取用状态时容器应密闭。处置环节应将盛装过VOCs物料的包装容器、含VOCs废料（渣、液）、废吸附剂等通过加盖、封装等方式密闭，妥善存放，不得随意丢弃；</w:t>
                  </w:r>
                </w:p>
              </w:tc>
              <w:tc>
                <w:tcPr>
                  <w:tcW w:w="2068" w:type="dxa"/>
                  <w:shd w:val="clear" w:color="auto" w:fill="auto"/>
                  <w:vAlign w:val="center"/>
                </w:tcPr>
                <w:p w14:paraId="4AF33D54">
                  <w:pPr>
                    <w:adjustRightInd w:val="0"/>
                    <w:snapToGrid w:val="0"/>
                    <w:jc w:val="both"/>
                    <w:rPr>
                      <w:rFonts w:hint="eastAsia"/>
                      <w:color w:val="auto"/>
                      <w:szCs w:val="21"/>
                    </w:rPr>
                  </w:pPr>
                  <w:r>
                    <w:rPr>
                      <w:rFonts w:hint="eastAsia"/>
                      <w:color w:val="auto"/>
                      <w:szCs w:val="21"/>
                      <w:lang w:val="en-US" w:eastAsia="zh-CN"/>
                    </w:rPr>
                    <w:t>本</w:t>
                  </w:r>
                  <w:r>
                    <w:rPr>
                      <w:color w:val="auto"/>
                      <w:szCs w:val="21"/>
                    </w:rPr>
                    <w:t>项目</w:t>
                  </w:r>
                  <w:r>
                    <w:rPr>
                      <w:color w:val="auto"/>
                    </w:rPr>
                    <w:t>使用</w:t>
                  </w:r>
                  <w:r>
                    <w:rPr>
                      <w:rFonts w:hint="eastAsia"/>
                      <w:color w:val="auto"/>
                      <w:lang w:val="en-US" w:eastAsia="zh-CN"/>
                    </w:rPr>
                    <w:t>塑粉等</w:t>
                  </w:r>
                  <w:r>
                    <w:rPr>
                      <w:color w:val="auto"/>
                    </w:rPr>
                    <w:t>储存在密闭的桶内</w:t>
                  </w:r>
                  <w:r>
                    <w:rPr>
                      <w:color w:val="auto"/>
                      <w:szCs w:val="21"/>
                    </w:rPr>
                    <w:t>，转运过程中均密闭；</w:t>
                  </w:r>
                  <w:r>
                    <w:rPr>
                      <w:rFonts w:hint="eastAsia"/>
                      <w:color w:val="auto"/>
                      <w:szCs w:val="21"/>
                    </w:rPr>
                    <w:t>各VOCs产生源均在房间内部，生产过程中关闭相应的工段大门，密封车间，</w:t>
                  </w:r>
                  <w:r>
                    <w:rPr>
                      <w:color w:val="auto"/>
                      <w:szCs w:val="21"/>
                    </w:rPr>
                    <w:t>生产过程产生的有机废气</w:t>
                  </w:r>
                  <w:r>
                    <w:rPr>
                      <w:rFonts w:hint="eastAsia"/>
                      <w:color w:val="auto"/>
                      <w:szCs w:val="21"/>
                    </w:rPr>
                    <w:t>经</w:t>
                  </w:r>
                  <w:r>
                    <w:rPr>
                      <w:rFonts w:hint="eastAsia" w:ascii="Calibri" w:hAnsi="Calibri" w:eastAsiaTheme="minorEastAsia"/>
                      <w:color w:val="auto"/>
                      <w:szCs w:val="21"/>
                    </w:rPr>
                    <w:t>密闭车间</w:t>
                  </w:r>
                  <w:r>
                    <w:rPr>
                      <w:rFonts w:hint="eastAsia" w:ascii="Calibri" w:hAnsi="Calibri" w:eastAsiaTheme="minorEastAsia"/>
                      <w:color w:val="auto"/>
                      <w:szCs w:val="21"/>
                      <w:lang w:val="en-US" w:eastAsia="zh-CN"/>
                    </w:rPr>
                    <w:t>/集气罩</w:t>
                  </w:r>
                  <w:r>
                    <w:rPr>
                      <w:rFonts w:hint="eastAsia" w:ascii="Calibri" w:hAnsi="Calibri" w:eastAsiaTheme="minorEastAsia"/>
                      <w:color w:val="auto"/>
                      <w:szCs w:val="21"/>
                    </w:rPr>
                    <w:t>负压</w:t>
                  </w:r>
                  <w:r>
                    <w:rPr>
                      <w:rFonts w:ascii="Calibri" w:hAnsi="Calibri" w:eastAsiaTheme="minorEastAsia"/>
                      <w:color w:val="auto"/>
                      <w:szCs w:val="21"/>
                    </w:rPr>
                    <w:t>收集</w:t>
                  </w:r>
                  <w:r>
                    <w:rPr>
                      <w:color w:val="auto"/>
                      <w:szCs w:val="21"/>
                    </w:rPr>
                    <w:t>，采用</w:t>
                  </w:r>
                  <w:r>
                    <w:rPr>
                      <w:rFonts w:hint="eastAsia"/>
                      <w:color w:val="auto"/>
                      <w:szCs w:val="21"/>
                    </w:rPr>
                    <w:t>二级活性炭吸附装置处理</w:t>
                  </w:r>
                  <w:r>
                    <w:rPr>
                      <w:color w:val="auto"/>
                      <w:szCs w:val="21"/>
                    </w:rPr>
                    <w:t>，</w:t>
                  </w:r>
                  <w:r>
                    <w:rPr>
                      <w:rFonts w:hint="eastAsia"/>
                      <w:color w:val="auto"/>
                      <w:szCs w:val="21"/>
                    </w:rPr>
                    <w:t>废活性炭、废机油等危险废物</w:t>
                  </w:r>
                  <w:r>
                    <w:rPr>
                      <w:color w:val="auto"/>
                      <w:szCs w:val="21"/>
                    </w:rPr>
                    <w:t>委托有资质单位进行安全处置。</w:t>
                  </w:r>
                </w:p>
              </w:tc>
              <w:tc>
                <w:tcPr>
                  <w:tcW w:w="727" w:type="dxa"/>
                  <w:vMerge w:val="restart"/>
                  <w:vAlign w:val="center"/>
                </w:tcPr>
                <w:p w14:paraId="59F10955">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符合</w:t>
                  </w:r>
                </w:p>
              </w:tc>
            </w:tr>
            <w:tr w14:paraId="39F3AF7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3A7EE027">
                  <w:pPr>
                    <w:adjustRightInd w:val="0"/>
                    <w:snapToGrid w:val="0"/>
                    <w:jc w:val="center"/>
                    <w:rPr>
                      <w:color w:val="auto"/>
                      <w:szCs w:val="21"/>
                    </w:rPr>
                  </w:pPr>
                </w:p>
              </w:tc>
              <w:tc>
                <w:tcPr>
                  <w:tcW w:w="3554" w:type="dxa"/>
                  <w:gridSpan w:val="2"/>
                  <w:shd w:val="clear" w:color="auto" w:fill="auto"/>
                  <w:vAlign w:val="center"/>
                </w:tcPr>
                <w:p w14:paraId="12854967">
                  <w:pPr>
                    <w:adjustRightInd w:val="0"/>
                    <w:snapToGrid w:val="0"/>
                    <w:jc w:val="both"/>
                    <w:rPr>
                      <w:color w:val="auto"/>
                      <w:szCs w:val="21"/>
                    </w:rPr>
                  </w:pPr>
                  <w:r>
                    <w:rPr>
                      <w:color w:val="auto"/>
                      <w:szCs w:val="21"/>
                    </w:rPr>
                    <w:t>按照“应收尽收”的原则提升废气收集率。优先采用密闭设备、在密闭空间中操作或采用全密闭集气罩收集方式；对于采用局部集气罩的，应根据废气排放特点合理选择收集点位，距集气罩开口面最远处的VOCs无组织排放位置，控制风速不低于0.3米/秒；根据处理工艺要求，在处理设施达到正常运行条件后方可启动生产设备，在生产设备停止、残留VOCs废气收集处理完毕后，方可停运处理设施。VOCs废气处理系统发生故障或检修时，对应生产工艺设备应停止运行，待检修完毕后同步投入使用；企业新建治污设施或对现有治污设施实施改造，应依据排放废气特征、VOCs组分及浓度、生产工况等，合理选择治理技术，对治理难度大、单一治理工艺难以稳定达标的，要采用多种技术的组合工艺。采用活性炭吸附技术的，应选择碘值不低于800毫克/克的活性炭，并按设计要求足量添加、及时更换。</w:t>
                  </w:r>
                </w:p>
              </w:tc>
              <w:tc>
                <w:tcPr>
                  <w:tcW w:w="2068" w:type="dxa"/>
                  <w:shd w:val="clear" w:color="auto" w:fill="auto"/>
                  <w:vAlign w:val="center"/>
                </w:tcPr>
                <w:p w14:paraId="1C6ADA44">
                  <w:pPr>
                    <w:adjustRightInd w:val="0"/>
                    <w:snapToGrid w:val="0"/>
                    <w:jc w:val="both"/>
                    <w:rPr>
                      <w:rFonts w:hint="eastAsia"/>
                      <w:color w:val="auto"/>
                      <w:szCs w:val="21"/>
                    </w:rPr>
                  </w:pPr>
                  <w:r>
                    <w:rPr>
                      <w:rFonts w:hint="eastAsia"/>
                      <w:color w:val="auto"/>
                      <w:szCs w:val="21"/>
                      <w:lang w:val="en-US" w:eastAsia="zh-CN"/>
                    </w:rPr>
                    <w:t>本</w:t>
                  </w:r>
                  <w:r>
                    <w:rPr>
                      <w:rFonts w:hint="eastAsia"/>
                      <w:color w:val="auto"/>
                      <w:szCs w:val="21"/>
                    </w:rPr>
                    <w:t>项目各VOCs产生源均在房间内部，生产过程中关闭相应的工段大门，密封车间，</w:t>
                  </w:r>
                  <w:r>
                    <w:rPr>
                      <w:color w:val="auto"/>
                      <w:szCs w:val="21"/>
                    </w:rPr>
                    <w:t>生产过程产生的有机废气经</w:t>
                  </w:r>
                  <w:r>
                    <w:rPr>
                      <w:rFonts w:hint="eastAsia" w:ascii="Calibri" w:hAnsi="Calibri" w:eastAsiaTheme="minorEastAsia"/>
                      <w:color w:val="auto"/>
                      <w:szCs w:val="21"/>
                    </w:rPr>
                    <w:t>密闭车间</w:t>
                  </w:r>
                  <w:r>
                    <w:rPr>
                      <w:rFonts w:hint="eastAsia" w:ascii="Calibri" w:hAnsi="Calibri" w:eastAsiaTheme="minorEastAsia"/>
                      <w:color w:val="auto"/>
                      <w:szCs w:val="21"/>
                      <w:lang w:val="en-US" w:eastAsia="zh-CN"/>
                    </w:rPr>
                    <w:t>/集气罩</w:t>
                  </w:r>
                  <w:r>
                    <w:rPr>
                      <w:rFonts w:hint="eastAsia" w:ascii="Calibri" w:hAnsi="Calibri" w:eastAsiaTheme="minorEastAsia"/>
                      <w:color w:val="auto"/>
                      <w:szCs w:val="21"/>
                    </w:rPr>
                    <w:t>负压</w:t>
                  </w:r>
                  <w:r>
                    <w:rPr>
                      <w:rFonts w:ascii="Calibri" w:hAnsi="Calibri" w:eastAsiaTheme="minorEastAsia"/>
                      <w:color w:val="auto"/>
                      <w:szCs w:val="21"/>
                    </w:rPr>
                    <w:t>收集</w:t>
                  </w:r>
                  <w:r>
                    <w:rPr>
                      <w:color w:val="auto"/>
                      <w:szCs w:val="21"/>
                    </w:rPr>
                    <w:t>，再通过</w:t>
                  </w:r>
                  <w:r>
                    <w:rPr>
                      <w:rFonts w:hint="eastAsia"/>
                      <w:color w:val="auto"/>
                      <w:szCs w:val="21"/>
                    </w:rPr>
                    <w:t>二级活性炭吸附</w:t>
                  </w:r>
                  <w:r>
                    <w:rPr>
                      <w:color w:val="auto"/>
                      <w:szCs w:val="21"/>
                    </w:rPr>
                    <w:t>处理；VOCs废气处理系统发生故障或检修时，对应生产工艺设备应停止运行，待检修完毕后同步投入使用；选择碘值不低于800毫克/克的活性炭，并按设计要求足量添加、及时更换。</w:t>
                  </w:r>
                </w:p>
              </w:tc>
              <w:tc>
                <w:tcPr>
                  <w:tcW w:w="727" w:type="dxa"/>
                  <w:vMerge w:val="continue"/>
                  <w:vAlign w:val="center"/>
                </w:tcPr>
                <w:p w14:paraId="6D1B938F">
                  <w:pPr>
                    <w:jc w:val="center"/>
                    <w:rPr>
                      <w:rFonts w:hint="default" w:ascii="Times New Roman" w:hAnsi="Times New Roman" w:eastAsia="宋体" w:cs="Times New Roman"/>
                      <w:color w:val="auto"/>
                      <w:sz w:val="21"/>
                      <w:szCs w:val="21"/>
                    </w:rPr>
                  </w:pPr>
                </w:p>
              </w:tc>
            </w:tr>
            <w:tr w14:paraId="42B3A76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shd w:val="clear" w:color="auto" w:fill="auto"/>
                  <w:vAlign w:val="center"/>
                </w:tcPr>
                <w:p w14:paraId="3D7886F4">
                  <w:pPr>
                    <w:adjustRightInd w:val="0"/>
                    <w:snapToGrid w:val="0"/>
                    <w:jc w:val="center"/>
                    <w:rPr>
                      <w:color w:val="auto"/>
                      <w:szCs w:val="21"/>
                    </w:rPr>
                  </w:pPr>
                  <w:r>
                    <w:rPr>
                      <w:color w:val="auto"/>
                      <w:szCs w:val="21"/>
                    </w:rPr>
                    <w:t>《江苏省挥发性有机物污染防治管理办法》(省政府令119号)</w:t>
                  </w:r>
                </w:p>
              </w:tc>
              <w:tc>
                <w:tcPr>
                  <w:tcW w:w="3554" w:type="dxa"/>
                  <w:gridSpan w:val="2"/>
                  <w:shd w:val="clear" w:color="auto" w:fill="auto"/>
                  <w:vAlign w:val="center"/>
                </w:tcPr>
                <w:p w14:paraId="537D26BE">
                  <w:pPr>
                    <w:adjustRightInd w:val="0"/>
                    <w:snapToGrid w:val="0"/>
                    <w:jc w:val="both"/>
                    <w:rPr>
                      <w:color w:val="auto"/>
                      <w:szCs w:val="21"/>
                    </w:rPr>
                  </w:pPr>
                  <w:r>
                    <w:rPr>
                      <w:color w:val="auto"/>
                      <w:szCs w:val="21"/>
                    </w:rPr>
                    <w:t>产生挥发性有机物废气的生产经营活动应当在密闭空间或者密闭设备中进行。生产场所、生产设备应当按照环境保护和安全生产等要求设计、安装和有效运行挥发性有机物回收或净化设施；固体废物、废水、废气处理系统产生的废气应当收集和处理；含有挥发性有机物的物料应当密闭储存、运输、装卸、禁止敞口和露天放置。无法在密闭空间进行的生产经营活动应当采取有效措施，减少挥发性有机物排放量。</w:t>
                  </w:r>
                </w:p>
              </w:tc>
              <w:tc>
                <w:tcPr>
                  <w:tcW w:w="2068" w:type="dxa"/>
                  <w:shd w:val="clear" w:color="auto" w:fill="auto"/>
                  <w:vAlign w:val="center"/>
                </w:tcPr>
                <w:p w14:paraId="16B5EE12">
                  <w:pPr>
                    <w:adjustRightInd w:val="0"/>
                    <w:snapToGrid w:val="0"/>
                    <w:jc w:val="both"/>
                    <w:rPr>
                      <w:rFonts w:hint="eastAsia"/>
                      <w:color w:val="auto"/>
                      <w:szCs w:val="21"/>
                    </w:rPr>
                  </w:pPr>
                  <w:r>
                    <w:rPr>
                      <w:rFonts w:hint="eastAsia"/>
                      <w:color w:val="auto"/>
                      <w:szCs w:val="21"/>
                    </w:rPr>
                    <w:t>项目各VOCs产生源均在房间内部，生产过程中关闭相应的工段大门，密封车间，</w:t>
                  </w:r>
                  <w:r>
                    <w:rPr>
                      <w:color w:val="auto"/>
                      <w:szCs w:val="21"/>
                    </w:rPr>
                    <w:t>生产过程产生的有机废气经</w:t>
                  </w:r>
                  <w:r>
                    <w:rPr>
                      <w:rFonts w:hint="eastAsia" w:ascii="Calibri" w:hAnsi="Calibri" w:eastAsiaTheme="minorEastAsia"/>
                      <w:color w:val="auto"/>
                      <w:szCs w:val="21"/>
                    </w:rPr>
                    <w:t>密闭车间</w:t>
                  </w:r>
                  <w:r>
                    <w:rPr>
                      <w:rFonts w:hint="eastAsia" w:ascii="Calibri" w:hAnsi="Calibri" w:eastAsiaTheme="minorEastAsia"/>
                      <w:color w:val="auto"/>
                      <w:szCs w:val="21"/>
                      <w:lang w:val="en-US" w:eastAsia="zh-CN"/>
                    </w:rPr>
                    <w:t>/集气罩</w:t>
                  </w:r>
                  <w:r>
                    <w:rPr>
                      <w:rFonts w:hint="eastAsia" w:ascii="Calibri" w:hAnsi="Calibri" w:eastAsiaTheme="minorEastAsia"/>
                      <w:color w:val="auto"/>
                      <w:szCs w:val="21"/>
                    </w:rPr>
                    <w:t>负压</w:t>
                  </w:r>
                  <w:r>
                    <w:rPr>
                      <w:rFonts w:ascii="Calibri" w:hAnsi="Calibri" w:eastAsiaTheme="minorEastAsia"/>
                      <w:color w:val="auto"/>
                      <w:szCs w:val="21"/>
                    </w:rPr>
                    <w:t>收集</w:t>
                  </w:r>
                  <w:r>
                    <w:rPr>
                      <w:color w:val="auto"/>
                      <w:szCs w:val="21"/>
                    </w:rPr>
                    <w:t>后通过</w:t>
                  </w:r>
                  <w:r>
                    <w:rPr>
                      <w:rFonts w:hint="eastAsia"/>
                      <w:color w:val="auto"/>
                      <w:szCs w:val="21"/>
                    </w:rPr>
                    <w:t>二级活性炭</w:t>
                  </w:r>
                  <w:r>
                    <w:rPr>
                      <w:color w:val="auto"/>
                      <w:szCs w:val="21"/>
                    </w:rPr>
                    <w:t>处理后达标排放；项目产生的危险废物密闭储存后交有资质单位安全处置。建设项目</w:t>
                  </w:r>
                  <w:r>
                    <w:rPr>
                      <w:color w:val="auto"/>
                    </w:rPr>
                    <w:t>使用</w:t>
                  </w:r>
                  <w:r>
                    <w:rPr>
                      <w:rFonts w:hint="eastAsia"/>
                      <w:color w:val="auto"/>
                      <w:lang w:val="en-US" w:eastAsia="zh-CN"/>
                    </w:rPr>
                    <w:t>塑粉</w:t>
                  </w:r>
                  <w:r>
                    <w:rPr>
                      <w:color w:val="auto"/>
                    </w:rPr>
                    <w:t>等物料</w:t>
                  </w:r>
                  <w:r>
                    <w:rPr>
                      <w:color w:val="auto"/>
                      <w:szCs w:val="21"/>
                    </w:rPr>
                    <w:t>密闭储存、运输，使用后采取桶盖封闭，未敞口及露天放置。</w:t>
                  </w:r>
                </w:p>
              </w:tc>
              <w:tc>
                <w:tcPr>
                  <w:tcW w:w="727" w:type="dxa"/>
                  <w:vMerge w:val="continue"/>
                  <w:vAlign w:val="center"/>
                </w:tcPr>
                <w:p w14:paraId="36AD9046">
                  <w:pPr>
                    <w:jc w:val="center"/>
                    <w:rPr>
                      <w:rFonts w:hint="default" w:ascii="Times New Roman" w:hAnsi="Times New Roman" w:eastAsia="宋体" w:cs="Times New Roman"/>
                      <w:color w:val="auto"/>
                      <w:sz w:val="21"/>
                      <w:szCs w:val="21"/>
                    </w:rPr>
                  </w:pPr>
                </w:p>
              </w:tc>
            </w:tr>
            <w:tr w14:paraId="7411E4A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shd w:val="clear" w:color="auto" w:fill="auto"/>
                  <w:vAlign w:val="center"/>
                </w:tcPr>
                <w:p w14:paraId="1BE7BCD0">
                  <w:pPr>
                    <w:widowControl/>
                    <w:jc w:val="center"/>
                    <w:rPr>
                      <w:color w:val="auto"/>
                      <w:szCs w:val="21"/>
                    </w:rPr>
                  </w:pPr>
                  <w:r>
                    <w:rPr>
                      <w:color w:val="auto"/>
                      <w:szCs w:val="21"/>
                    </w:rPr>
                    <w:t>《省政府关于印发大运河江苏段核心监控区国土空间管控暂行办法的通知》（苏政发[2021]20号）</w:t>
                  </w:r>
                </w:p>
              </w:tc>
              <w:tc>
                <w:tcPr>
                  <w:tcW w:w="3554" w:type="dxa"/>
                  <w:gridSpan w:val="2"/>
                  <w:shd w:val="clear" w:color="auto" w:fill="auto"/>
                  <w:vAlign w:val="center"/>
                </w:tcPr>
                <w:p w14:paraId="2E22CCD7">
                  <w:pPr>
                    <w:adjustRightInd w:val="0"/>
                    <w:snapToGrid w:val="0"/>
                    <w:jc w:val="both"/>
                    <w:rPr>
                      <w:color w:val="auto"/>
                      <w:szCs w:val="21"/>
                    </w:rPr>
                  </w:pPr>
                  <w:r>
                    <w:rPr>
                      <w:b/>
                      <w:color w:val="auto"/>
                      <w:szCs w:val="21"/>
                    </w:rPr>
                    <w:t>第二条</w:t>
                  </w:r>
                  <w:r>
                    <w:rPr>
                      <w:color w:val="auto"/>
                      <w:szCs w:val="21"/>
                    </w:rPr>
                    <w:t>在大运河江苏段核心监控区内从事各类国土空间保护与开发利用活动，应遵守本办法。</w:t>
                  </w:r>
                </w:p>
                <w:p w14:paraId="31995169">
                  <w:pPr>
                    <w:adjustRightInd w:val="0"/>
                    <w:snapToGrid w:val="0"/>
                    <w:jc w:val="both"/>
                    <w:rPr>
                      <w:color w:val="auto"/>
                      <w:szCs w:val="21"/>
                    </w:rPr>
                  </w:pPr>
                  <w:r>
                    <w:rPr>
                      <w:b/>
                      <w:color w:val="auto"/>
                      <w:szCs w:val="21"/>
                    </w:rPr>
                    <w:t>第三条</w:t>
                  </w:r>
                  <w:r>
                    <w:rPr>
                      <w:color w:val="auto"/>
                      <w:szCs w:val="21"/>
                    </w:rPr>
                    <w:t>本办法所称核心监控区，是指大运河江苏段主河道两岸各2千米的范围。滨河生态空间，是指核心监控区内，原则上除建成区（城市、建制镇）外，大运河江苏段主河道两岸各1千米的范围。</w:t>
                  </w:r>
                </w:p>
              </w:tc>
              <w:tc>
                <w:tcPr>
                  <w:tcW w:w="2068" w:type="dxa"/>
                  <w:shd w:val="clear" w:color="auto" w:fill="auto"/>
                  <w:vAlign w:val="center"/>
                </w:tcPr>
                <w:p w14:paraId="6C468880">
                  <w:pPr>
                    <w:widowControl/>
                    <w:jc w:val="both"/>
                    <w:rPr>
                      <w:rFonts w:hint="eastAsia"/>
                      <w:color w:val="auto"/>
                      <w:szCs w:val="21"/>
                    </w:rPr>
                  </w:pPr>
                  <w:r>
                    <w:rPr>
                      <w:rFonts w:hint="eastAsia"/>
                      <w:color w:val="auto"/>
                      <w:szCs w:val="21"/>
                      <w:lang w:val="en-US" w:eastAsia="zh-CN"/>
                    </w:rPr>
                    <w:t>根据附件8淮安市自然资源和规划局淮阴分局对淮安市鸣锋工具有限公司项目用地情况查询申请的回复，项目所在地位于大运河淮安段核心监控区“建成区”，</w:t>
                  </w:r>
                  <w:r>
                    <w:rPr>
                      <w:color w:val="auto"/>
                      <w:szCs w:val="21"/>
                    </w:rPr>
                    <w:t>不在核心监控区、滨河生态空间范围内。</w:t>
                  </w:r>
                </w:p>
              </w:tc>
              <w:tc>
                <w:tcPr>
                  <w:tcW w:w="727" w:type="dxa"/>
                  <w:vAlign w:val="center"/>
                </w:tcPr>
                <w:p w14:paraId="271B25E5">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符合</w:t>
                  </w:r>
                </w:p>
              </w:tc>
            </w:tr>
            <w:tr w14:paraId="77B64ED7">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shd w:val="clear" w:color="auto" w:fill="auto"/>
                  <w:vAlign w:val="center"/>
                </w:tcPr>
                <w:p w14:paraId="230918D8">
                  <w:pPr>
                    <w:widowControl/>
                    <w:jc w:val="center"/>
                    <w:rPr>
                      <w:color w:val="auto"/>
                      <w:szCs w:val="21"/>
                    </w:rPr>
                  </w:pPr>
                  <w:r>
                    <w:rPr>
                      <w:color w:val="auto"/>
                      <w:szCs w:val="21"/>
                    </w:rPr>
                    <w:t>《省生态环境厅关于实施厂区内挥发性有机物无组织排放监控要求的通告》（苏环办[2020]218号）</w:t>
                  </w:r>
                </w:p>
              </w:tc>
              <w:tc>
                <w:tcPr>
                  <w:tcW w:w="3554" w:type="dxa"/>
                  <w:gridSpan w:val="2"/>
                  <w:shd w:val="clear" w:color="auto" w:fill="auto"/>
                  <w:vAlign w:val="center"/>
                </w:tcPr>
                <w:p w14:paraId="770CACB8">
                  <w:pPr>
                    <w:widowControl/>
                    <w:jc w:val="both"/>
                    <w:rPr>
                      <w:b/>
                      <w:color w:val="auto"/>
                      <w:szCs w:val="21"/>
                    </w:rPr>
                  </w:pPr>
                  <w:r>
                    <w:rPr>
                      <w:color w:val="auto"/>
                      <w:szCs w:val="21"/>
                    </w:rPr>
                    <w:t>自2020年7月1日起，我省全面实施《挥发性有机物无组织排放控制标准》附录A“厂区内VOCs无组织排放监控要求”，实施范围为省内涉及VOCs无组织排放的现有企业及新建企业。</w:t>
                  </w:r>
                </w:p>
              </w:tc>
              <w:tc>
                <w:tcPr>
                  <w:tcW w:w="2068" w:type="dxa"/>
                  <w:vMerge w:val="restart"/>
                  <w:shd w:val="clear" w:color="auto" w:fill="auto"/>
                  <w:vAlign w:val="center"/>
                </w:tcPr>
                <w:p w14:paraId="0CC5A3DF">
                  <w:pPr>
                    <w:widowControl/>
                    <w:jc w:val="both"/>
                    <w:rPr>
                      <w:rFonts w:hint="eastAsia"/>
                      <w:snapToGrid w:val="0"/>
                      <w:color w:val="auto"/>
                      <w:kern w:val="0"/>
                      <w:szCs w:val="21"/>
                    </w:rPr>
                  </w:pPr>
                  <w:r>
                    <w:rPr>
                      <w:rFonts w:hint="eastAsia"/>
                      <w:color w:val="auto"/>
                      <w:szCs w:val="21"/>
                      <w:lang w:val="en-US" w:eastAsia="zh-CN"/>
                    </w:rPr>
                    <w:t>本</w:t>
                  </w:r>
                  <w:r>
                    <w:rPr>
                      <w:color w:val="auto"/>
                      <w:szCs w:val="21"/>
                    </w:rPr>
                    <w:t>项目厂区内无组织非甲烷总烃</w:t>
                  </w:r>
                  <w:r>
                    <w:rPr>
                      <w:rFonts w:hint="eastAsia"/>
                      <w:color w:val="auto"/>
                      <w:szCs w:val="21"/>
                      <w:lang w:eastAsia="zh-CN"/>
                    </w:rPr>
                    <w:t>（</w:t>
                  </w:r>
                  <w:r>
                    <w:rPr>
                      <w:rFonts w:hint="eastAsia"/>
                      <w:color w:val="auto"/>
                      <w:szCs w:val="21"/>
                      <w:lang w:val="en-US" w:eastAsia="zh-CN"/>
                    </w:rPr>
                    <w:t>NMHC）</w:t>
                  </w:r>
                  <w:r>
                    <w:rPr>
                      <w:color w:val="auto"/>
                      <w:szCs w:val="21"/>
                    </w:rPr>
                    <w:t>排放执行《大气污染物综合排放标准》（DB32/4041-2021）表2中标准</w:t>
                  </w:r>
                  <w:r>
                    <w:rPr>
                      <w:rFonts w:hint="eastAsia"/>
                      <w:color w:val="auto"/>
                      <w:szCs w:val="21"/>
                      <w:lang w:val="en-US" w:eastAsia="zh-CN"/>
                    </w:rPr>
                    <w:t>、</w:t>
                  </w:r>
                  <w:r>
                    <w:rPr>
                      <w:rFonts w:hint="eastAsia"/>
                      <w:snapToGrid w:val="0"/>
                      <w:color w:val="auto"/>
                      <w:kern w:val="0"/>
                      <w:szCs w:val="21"/>
                    </w:rPr>
                    <w:t>《工业涂装工序大气污染物排放标准》（</w:t>
                  </w:r>
                  <w:r>
                    <w:rPr>
                      <w:snapToGrid w:val="0"/>
                      <w:color w:val="auto"/>
                      <w:kern w:val="0"/>
                      <w:szCs w:val="21"/>
                    </w:rPr>
                    <w:t>DB32/</w:t>
                  </w:r>
                  <w:r>
                    <w:rPr>
                      <w:rFonts w:hint="eastAsia"/>
                      <w:snapToGrid w:val="0"/>
                      <w:color w:val="auto"/>
                      <w:kern w:val="0"/>
                      <w:szCs w:val="21"/>
                    </w:rPr>
                    <w:t>4439-</w:t>
                  </w:r>
                </w:p>
                <w:p w14:paraId="69CB6C65">
                  <w:pPr>
                    <w:widowControl/>
                    <w:jc w:val="both"/>
                    <w:rPr>
                      <w:color w:val="auto"/>
                      <w:szCs w:val="21"/>
                    </w:rPr>
                  </w:pPr>
                  <w:r>
                    <w:rPr>
                      <w:rFonts w:hint="eastAsia"/>
                      <w:snapToGrid w:val="0"/>
                      <w:color w:val="auto"/>
                      <w:kern w:val="0"/>
                      <w:szCs w:val="21"/>
                    </w:rPr>
                    <w:t>2022）表3</w:t>
                  </w:r>
                  <w:r>
                    <w:rPr>
                      <w:rFonts w:hint="eastAsia"/>
                      <w:snapToGrid w:val="0"/>
                      <w:color w:val="auto"/>
                      <w:kern w:val="0"/>
                      <w:szCs w:val="21"/>
                      <w:lang w:val="en-US" w:eastAsia="zh-CN"/>
                    </w:rPr>
                    <w:t>标准</w:t>
                  </w:r>
                  <w:r>
                    <w:rPr>
                      <w:color w:val="auto"/>
                      <w:szCs w:val="21"/>
                    </w:rPr>
                    <w:t>。</w:t>
                  </w:r>
                </w:p>
              </w:tc>
              <w:tc>
                <w:tcPr>
                  <w:tcW w:w="727" w:type="dxa"/>
                  <w:vMerge w:val="restart"/>
                  <w:vAlign w:val="center"/>
                </w:tcPr>
                <w:p w14:paraId="0F507477">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符合</w:t>
                  </w:r>
                </w:p>
              </w:tc>
            </w:tr>
            <w:tr w14:paraId="1EC9387F">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5840C8AD">
                  <w:pPr>
                    <w:widowControl/>
                    <w:jc w:val="center"/>
                    <w:rPr>
                      <w:color w:val="auto"/>
                      <w:szCs w:val="21"/>
                    </w:rPr>
                  </w:pPr>
                </w:p>
              </w:tc>
              <w:tc>
                <w:tcPr>
                  <w:tcW w:w="3554" w:type="dxa"/>
                  <w:gridSpan w:val="2"/>
                  <w:shd w:val="clear" w:color="auto" w:fill="auto"/>
                  <w:vAlign w:val="center"/>
                </w:tcPr>
                <w:p w14:paraId="4CBA9ACF">
                  <w:pPr>
                    <w:adjustRightInd w:val="0"/>
                    <w:snapToGrid w:val="0"/>
                    <w:jc w:val="both"/>
                    <w:rPr>
                      <w:b/>
                      <w:color w:val="auto"/>
                      <w:szCs w:val="21"/>
                    </w:rPr>
                  </w:pPr>
                  <w:r>
                    <w:rPr>
                      <w:color w:val="auto"/>
                      <w:szCs w:val="21"/>
                    </w:rPr>
                    <w:t>企业厂区内VOCs无组织排放监控点浓度执行特别排放限值。</w:t>
                  </w:r>
                </w:p>
              </w:tc>
              <w:tc>
                <w:tcPr>
                  <w:tcW w:w="2068" w:type="dxa"/>
                  <w:vMerge w:val="continue"/>
                  <w:shd w:val="clear" w:color="auto" w:fill="auto"/>
                  <w:vAlign w:val="center"/>
                </w:tcPr>
                <w:p w14:paraId="72497BC7">
                  <w:pPr>
                    <w:widowControl/>
                    <w:jc w:val="both"/>
                    <w:rPr>
                      <w:color w:val="auto"/>
                      <w:szCs w:val="21"/>
                    </w:rPr>
                  </w:pPr>
                </w:p>
              </w:tc>
              <w:tc>
                <w:tcPr>
                  <w:tcW w:w="727" w:type="dxa"/>
                  <w:vMerge w:val="continue"/>
                  <w:vAlign w:val="center"/>
                </w:tcPr>
                <w:p w14:paraId="33D029EB">
                  <w:pPr>
                    <w:jc w:val="center"/>
                    <w:rPr>
                      <w:rFonts w:hint="default" w:ascii="Times New Roman" w:hAnsi="Times New Roman" w:eastAsia="宋体" w:cs="Times New Roman"/>
                      <w:color w:val="auto"/>
                      <w:sz w:val="21"/>
                      <w:szCs w:val="21"/>
                    </w:rPr>
                  </w:pPr>
                </w:p>
              </w:tc>
            </w:tr>
            <w:tr w14:paraId="287A7F0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PrEx>
              <w:trPr>
                <w:trHeight w:val="340" w:hRule="atLeast"/>
                <w:jc w:val="center"/>
              </w:trPr>
              <w:tc>
                <w:tcPr>
                  <w:tcW w:w="826" w:type="dxa"/>
                  <w:vMerge w:val="continue"/>
                  <w:shd w:val="clear" w:color="auto" w:fill="auto"/>
                  <w:vAlign w:val="center"/>
                </w:tcPr>
                <w:p w14:paraId="7DCCAB45">
                  <w:pPr>
                    <w:widowControl/>
                    <w:jc w:val="center"/>
                    <w:rPr>
                      <w:color w:val="auto"/>
                      <w:szCs w:val="21"/>
                    </w:rPr>
                  </w:pPr>
                </w:p>
              </w:tc>
              <w:tc>
                <w:tcPr>
                  <w:tcW w:w="3554" w:type="dxa"/>
                  <w:gridSpan w:val="2"/>
                  <w:shd w:val="clear" w:color="auto" w:fill="auto"/>
                  <w:vAlign w:val="center"/>
                </w:tcPr>
                <w:p w14:paraId="121A5786">
                  <w:pPr>
                    <w:adjustRightInd w:val="0"/>
                    <w:snapToGrid w:val="0"/>
                    <w:jc w:val="both"/>
                    <w:rPr>
                      <w:b/>
                      <w:color w:val="auto"/>
                      <w:szCs w:val="21"/>
                    </w:rPr>
                  </w:pPr>
                  <w:r>
                    <w:rPr>
                      <w:color w:val="auto"/>
                      <w:szCs w:val="21"/>
                    </w:rPr>
                    <w:t>如新制（修）订标准或发布标准修改单有关规定严于《挥发性有机物无组织排放控制标准》附录A“厂区内VOCs无组织排放监控要求”的，按照更严格标准要求执行。</w:t>
                  </w:r>
                </w:p>
              </w:tc>
              <w:tc>
                <w:tcPr>
                  <w:tcW w:w="2068" w:type="dxa"/>
                  <w:vMerge w:val="continue"/>
                  <w:shd w:val="clear" w:color="auto" w:fill="auto"/>
                  <w:vAlign w:val="center"/>
                </w:tcPr>
                <w:p w14:paraId="350880B7">
                  <w:pPr>
                    <w:widowControl/>
                    <w:jc w:val="both"/>
                    <w:rPr>
                      <w:color w:val="auto"/>
                      <w:szCs w:val="21"/>
                    </w:rPr>
                  </w:pPr>
                </w:p>
              </w:tc>
              <w:tc>
                <w:tcPr>
                  <w:tcW w:w="727" w:type="dxa"/>
                  <w:vMerge w:val="continue"/>
                  <w:vAlign w:val="center"/>
                </w:tcPr>
                <w:p w14:paraId="6ECB4202">
                  <w:pPr>
                    <w:jc w:val="center"/>
                    <w:rPr>
                      <w:rFonts w:hint="default" w:ascii="Times New Roman" w:hAnsi="Times New Roman" w:eastAsia="宋体" w:cs="Times New Roman"/>
                      <w:color w:val="auto"/>
                      <w:sz w:val="21"/>
                      <w:szCs w:val="21"/>
                    </w:rPr>
                  </w:pPr>
                </w:p>
              </w:tc>
            </w:tr>
            <w:tr w14:paraId="31604CC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shd w:val="clear" w:color="auto" w:fill="auto"/>
                  <w:vAlign w:val="center"/>
                </w:tcPr>
                <w:p w14:paraId="4BEFB4BD">
                  <w:pPr>
                    <w:pStyle w:val="147"/>
                    <w:adjustRightInd w:val="0"/>
                    <w:snapToGrid w:val="0"/>
                    <w:jc w:val="center"/>
                    <w:rPr>
                      <w:color w:val="auto"/>
                      <w:szCs w:val="21"/>
                    </w:rPr>
                  </w:pPr>
                  <w:r>
                    <w:rPr>
                      <w:rFonts w:ascii="Times New Roman" w:hAnsi="Times New Roman" w:cs="Times New Roman"/>
                      <w:color w:val="auto"/>
                      <w:sz w:val="21"/>
                      <w:szCs w:val="21"/>
                    </w:rPr>
                    <w:t>《省政府办公厅关于加强危险废物污染防治工作的意见》</w:t>
                  </w:r>
                  <w:r>
                    <w:rPr>
                      <w:rFonts w:hint="eastAsia" w:ascii="Times New Roman" w:hAnsi="Times New Roman" w:cs="Times New Roman"/>
                      <w:color w:val="auto"/>
                      <w:sz w:val="21"/>
                      <w:szCs w:val="21"/>
                    </w:rPr>
                    <w:t>（</w:t>
                  </w:r>
                  <w:r>
                    <w:rPr>
                      <w:rFonts w:ascii="Times New Roman" w:hAnsi="Times New Roman" w:cs="Times New Roman"/>
                      <w:color w:val="auto"/>
                      <w:sz w:val="21"/>
                      <w:szCs w:val="21"/>
                    </w:rPr>
                    <w:t>苏政办发[2018]91号</w:t>
                  </w:r>
                  <w:r>
                    <w:rPr>
                      <w:rFonts w:hint="eastAsia" w:ascii="Times New Roman" w:hAnsi="Times New Roman" w:cs="Times New Roman"/>
                      <w:color w:val="auto"/>
                      <w:sz w:val="21"/>
                      <w:szCs w:val="21"/>
                    </w:rPr>
                    <w:t>）</w:t>
                  </w:r>
                </w:p>
              </w:tc>
              <w:tc>
                <w:tcPr>
                  <w:tcW w:w="3554" w:type="dxa"/>
                  <w:gridSpan w:val="2"/>
                  <w:shd w:val="clear" w:color="auto" w:fill="auto"/>
                  <w:vAlign w:val="center"/>
                </w:tcPr>
                <w:p w14:paraId="28111F2C">
                  <w:pPr>
                    <w:pStyle w:val="147"/>
                    <w:adjustRightInd w:val="0"/>
                    <w:snapToGrid w:val="0"/>
                    <w:jc w:val="both"/>
                    <w:rPr>
                      <w:color w:val="auto"/>
                      <w:szCs w:val="21"/>
                    </w:rPr>
                  </w:pPr>
                  <w:r>
                    <w:rPr>
                      <w:rFonts w:ascii="Times New Roman" w:hAnsi="Times New Roman" w:cs="Times New Roman"/>
                      <w:color w:val="auto"/>
                      <w:sz w:val="21"/>
                      <w:szCs w:val="21"/>
                    </w:rPr>
                    <w:t>推动产业结构优化调整，提升工业绿色发展水平，不得新建、改建、扩建三类中间体项目，减少低价值、难处理危险废物的产生量。严格淘汰落后产能，依法关闭规模小、污染重、危险废物治理难度大的企业。</w:t>
                  </w:r>
                </w:p>
              </w:tc>
              <w:tc>
                <w:tcPr>
                  <w:tcW w:w="2068" w:type="dxa"/>
                  <w:shd w:val="clear" w:color="auto" w:fill="auto"/>
                  <w:vAlign w:val="center"/>
                </w:tcPr>
                <w:p w14:paraId="1B00460E">
                  <w:pPr>
                    <w:pStyle w:val="147"/>
                    <w:adjustRightInd w:val="0"/>
                    <w:snapToGrid w:val="0"/>
                    <w:jc w:val="both"/>
                    <w:rPr>
                      <w:color w:val="auto"/>
                      <w:szCs w:val="21"/>
                    </w:rPr>
                  </w:pPr>
                  <w:r>
                    <w:rPr>
                      <w:rFonts w:hint="eastAsia" w:ascii="Times New Roman" w:hAnsi="Times New Roman" w:cs="Times New Roman"/>
                      <w:color w:val="auto"/>
                      <w:sz w:val="21"/>
                      <w:szCs w:val="21"/>
                      <w:lang w:val="en-US" w:eastAsia="zh-CN"/>
                    </w:rPr>
                    <w:t>本</w:t>
                  </w:r>
                  <w:r>
                    <w:rPr>
                      <w:rFonts w:ascii="Times New Roman" w:hAnsi="Times New Roman" w:cs="Times New Roman"/>
                      <w:color w:val="auto"/>
                      <w:sz w:val="21"/>
                      <w:szCs w:val="21"/>
                    </w:rPr>
                    <w:t>项目不属于三类中间体项目，产生的危险废物易处置。建设项目</w:t>
                  </w:r>
                  <w:r>
                    <w:rPr>
                      <w:rFonts w:hint="eastAsia" w:ascii="Times New Roman" w:hAnsi="Times New Roman" w:cs="Times New Roman"/>
                      <w:color w:val="auto"/>
                      <w:sz w:val="21"/>
                      <w:szCs w:val="21"/>
                      <w:lang w:val="en-US"/>
                    </w:rPr>
                    <w:t>为</w:t>
                  </w:r>
                  <w:r>
                    <w:rPr>
                      <w:rFonts w:hint="eastAsia" w:ascii="Times New Roman" w:hAnsi="Times New Roman" w:cs="Times New Roman"/>
                      <w:color w:val="auto"/>
                      <w:sz w:val="21"/>
                      <w:szCs w:val="21"/>
                      <w:lang w:val="en-US" w:eastAsia="zh-CN"/>
                    </w:rPr>
                    <w:t>五金加工项目</w:t>
                  </w:r>
                  <w:r>
                    <w:rPr>
                      <w:rFonts w:ascii="Times New Roman" w:hAnsi="Times New Roman" w:cs="Times New Roman"/>
                      <w:color w:val="auto"/>
                      <w:sz w:val="21"/>
                      <w:szCs w:val="21"/>
                    </w:rPr>
                    <w:t>，不属于落后产能。</w:t>
                  </w:r>
                </w:p>
              </w:tc>
              <w:tc>
                <w:tcPr>
                  <w:tcW w:w="727" w:type="dxa"/>
                  <w:vMerge w:val="restart"/>
                  <w:vAlign w:val="center"/>
                </w:tcPr>
                <w:p w14:paraId="4C91E97F">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符合</w:t>
                  </w:r>
                </w:p>
              </w:tc>
            </w:tr>
            <w:tr w14:paraId="1C5E495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6C552C2A">
                  <w:pPr>
                    <w:adjustRightInd w:val="0"/>
                    <w:snapToGrid w:val="0"/>
                    <w:jc w:val="center"/>
                    <w:rPr>
                      <w:color w:val="auto"/>
                      <w:szCs w:val="21"/>
                    </w:rPr>
                  </w:pPr>
                </w:p>
              </w:tc>
              <w:tc>
                <w:tcPr>
                  <w:tcW w:w="3554" w:type="dxa"/>
                  <w:gridSpan w:val="2"/>
                  <w:shd w:val="clear" w:color="auto" w:fill="auto"/>
                  <w:vAlign w:val="center"/>
                </w:tcPr>
                <w:p w14:paraId="5D8CC9A2">
                  <w:pPr>
                    <w:pStyle w:val="147"/>
                    <w:adjustRightInd w:val="0"/>
                    <w:snapToGrid w:val="0"/>
                    <w:jc w:val="both"/>
                    <w:rPr>
                      <w:color w:val="auto"/>
                      <w:szCs w:val="21"/>
                    </w:rPr>
                  </w:pPr>
                  <w:r>
                    <w:rPr>
                      <w:rFonts w:ascii="Times New Roman" w:hAnsi="Times New Roman" w:cs="Times New Roman"/>
                      <w:color w:val="auto"/>
                      <w:sz w:val="21"/>
                      <w:szCs w:val="21"/>
                    </w:rPr>
                    <w:t>严格控制产生危险废物的项目建设，禁止审批无法落实危险废物利用、处置途径的项目，从严审批危险废物产生量大、本地无配套利用处置能力、且需设区市统筹解决的项目。严格规范建设项目危险废物环境影响评价，科学判定废物危险特性或提出鉴别方案建议。对无危险废物集中处置设施或处置能力严重不足且设区市无法统筹解决的地区以及对飞灰、工业污泥、废盐等危险废物库存量大且不能按要求完成规范处置的地区暂停审批该地区产生危险废物的工业项目环境影响评价文件。</w:t>
                  </w:r>
                </w:p>
              </w:tc>
              <w:tc>
                <w:tcPr>
                  <w:tcW w:w="2068" w:type="dxa"/>
                  <w:shd w:val="clear" w:color="auto" w:fill="auto"/>
                  <w:vAlign w:val="center"/>
                </w:tcPr>
                <w:p w14:paraId="7ECC3E53">
                  <w:pPr>
                    <w:pStyle w:val="147"/>
                    <w:adjustRightInd w:val="0"/>
                    <w:snapToGrid w:val="0"/>
                    <w:jc w:val="both"/>
                    <w:rPr>
                      <w:color w:val="auto"/>
                      <w:szCs w:val="21"/>
                    </w:rPr>
                  </w:pPr>
                  <w:r>
                    <w:rPr>
                      <w:rFonts w:hint="eastAsia" w:ascii="Times New Roman" w:hAnsi="Times New Roman" w:cs="Times New Roman"/>
                      <w:color w:val="auto"/>
                      <w:sz w:val="21"/>
                      <w:szCs w:val="21"/>
                      <w:lang w:val="en-US" w:eastAsia="zh-CN"/>
                    </w:rPr>
                    <w:t>本</w:t>
                  </w:r>
                  <w:r>
                    <w:rPr>
                      <w:rFonts w:ascii="Times New Roman" w:hAnsi="Times New Roman" w:cs="Times New Roman"/>
                      <w:color w:val="auto"/>
                      <w:sz w:val="21"/>
                      <w:szCs w:val="21"/>
                    </w:rPr>
                    <w:t>项目产生的危险废物将按照要求委托有资质单位进行处置。</w:t>
                  </w:r>
                </w:p>
              </w:tc>
              <w:tc>
                <w:tcPr>
                  <w:tcW w:w="727" w:type="dxa"/>
                  <w:vMerge w:val="continue"/>
                  <w:vAlign w:val="center"/>
                </w:tcPr>
                <w:p w14:paraId="5B633C5E">
                  <w:pPr>
                    <w:jc w:val="center"/>
                    <w:rPr>
                      <w:rFonts w:hint="default" w:ascii="Times New Roman" w:hAnsi="Times New Roman" w:eastAsia="宋体" w:cs="Times New Roman"/>
                      <w:color w:val="auto"/>
                      <w:sz w:val="21"/>
                      <w:szCs w:val="21"/>
                    </w:rPr>
                  </w:pPr>
                </w:p>
              </w:tc>
            </w:tr>
            <w:tr w14:paraId="2BA3E77A">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03E705E6">
                  <w:pPr>
                    <w:adjustRightInd w:val="0"/>
                    <w:snapToGrid w:val="0"/>
                    <w:jc w:val="center"/>
                    <w:rPr>
                      <w:color w:val="auto"/>
                      <w:szCs w:val="21"/>
                    </w:rPr>
                  </w:pPr>
                </w:p>
              </w:tc>
              <w:tc>
                <w:tcPr>
                  <w:tcW w:w="3554" w:type="dxa"/>
                  <w:gridSpan w:val="2"/>
                  <w:shd w:val="clear" w:color="auto" w:fill="auto"/>
                  <w:vAlign w:val="center"/>
                </w:tcPr>
                <w:p w14:paraId="5FB97248">
                  <w:pPr>
                    <w:pStyle w:val="147"/>
                    <w:adjustRightInd w:val="0"/>
                    <w:snapToGrid w:val="0"/>
                    <w:jc w:val="both"/>
                    <w:rPr>
                      <w:color w:val="auto"/>
                      <w:szCs w:val="21"/>
                    </w:rPr>
                  </w:pPr>
                  <w:r>
                    <w:rPr>
                      <w:rFonts w:ascii="Times New Roman" w:hAnsi="Times New Roman" w:cs="Times New Roman"/>
                      <w:color w:val="auto"/>
                      <w:sz w:val="21"/>
                      <w:szCs w:val="21"/>
                    </w:rPr>
                    <w:t>推进绿色制造体系建设，引导企业在生产过程中使用无毒无害或低毒低害原料，鼓励有关单位开展危险废物减量化、无害化、资源化技术研发和应用。</w:t>
                  </w:r>
                </w:p>
              </w:tc>
              <w:tc>
                <w:tcPr>
                  <w:tcW w:w="2068" w:type="dxa"/>
                  <w:shd w:val="clear" w:color="auto" w:fill="auto"/>
                  <w:vAlign w:val="center"/>
                </w:tcPr>
                <w:p w14:paraId="433391BC">
                  <w:pPr>
                    <w:pStyle w:val="147"/>
                    <w:adjustRightInd w:val="0"/>
                    <w:snapToGrid w:val="0"/>
                    <w:jc w:val="both"/>
                    <w:rPr>
                      <w:color w:val="auto"/>
                      <w:szCs w:val="21"/>
                    </w:rPr>
                  </w:pPr>
                  <w:r>
                    <w:rPr>
                      <w:rFonts w:hint="eastAsia" w:ascii="Times New Roman" w:hAnsi="Times New Roman" w:cs="Times New Roman"/>
                      <w:color w:val="auto"/>
                      <w:sz w:val="21"/>
                      <w:szCs w:val="21"/>
                      <w:lang w:val="en-US" w:eastAsia="zh-CN"/>
                    </w:rPr>
                    <w:t>本</w:t>
                  </w:r>
                  <w:r>
                    <w:rPr>
                      <w:rFonts w:ascii="Times New Roman" w:hAnsi="Times New Roman" w:cs="Times New Roman"/>
                      <w:color w:val="auto"/>
                      <w:sz w:val="21"/>
                      <w:szCs w:val="21"/>
                    </w:rPr>
                    <w:t>项目使用的原材料均为</w:t>
                  </w:r>
                  <w:r>
                    <w:rPr>
                      <w:rFonts w:hint="eastAsia" w:ascii="Times New Roman" w:hAnsi="Times New Roman" w:cs="Times New Roman"/>
                      <w:color w:val="auto"/>
                      <w:sz w:val="21"/>
                      <w:szCs w:val="21"/>
                      <w:lang w:val="en-US"/>
                    </w:rPr>
                    <w:t>低</w:t>
                  </w:r>
                  <w:r>
                    <w:rPr>
                      <w:rFonts w:ascii="Times New Roman" w:hAnsi="Times New Roman" w:cs="Times New Roman"/>
                      <w:color w:val="auto"/>
                      <w:sz w:val="21"/>
                      <w:szCs w:val="21"/>
                    </w:rPr>
                    <w:t>毒</w:t>
                  </w:r>
                  <w:r>
                    <w:rPr>
                      <w:rFonts w:hint="eastAsia" w:ascii="Times New Roman" w:hAnsi="Times New Roman" w:cs="Times New Roman"/>
                      <w:color w:val="auto"/>
                      <w:sz w:val="21"/>
                      <w:szCs w:val="21"/>
                      <w:lang w:val="en-US"/>
                    </w:rPr>
                    <w:t>低</w:t>
                  </w:r>
                  <w:r>
                    <w:rPr>
                      <w:rFonts w:ascii="Times New Roman" w:hAnsi="Times New Roman" w:cs="Times New Roman"/>
                      <w:color w:val="auto"/>
                      <w:sz w:val="21"/>
                      <w:szCs w:val="21"/>
                    </w:rPr>
                    <w:t>害原料。</w:t>
                  </w:r>
                </w:p>
              </w:tc>
              <w:tc>
                <w:tcPr>
                  <w:tcW w:w="727" w:type="dxa"/>
                  <w:vMerge w:val="continue"/>
                  <w:vAlign w:val="center"/>
                </w:tcPr>
                <w:p w14:paraId="31E2806B">
                  <w:pPr>
                    <w:jc w:val="center"/>
                    <w:rPr>
                      <w:rFonts w:hint="default" w:ascii="Times New Roman" w:hAnsi="Times New Roman" w:eastAsia="宋体" w:cs="Times New Roman"/>
                      <w:color w:val="auto"/>
                      <w:sz w:val="21"/>
                      <w:szCs w:val="21"/>
                    </w:rPr>
                  </w:pPr>
                </w:p>
              </w:tc>
            </w:tr>
            <w:tr w14:paraId="3B2A2C2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shd w:val="clear" w:color="auto" w:fill="auto"/>
                  <w:vAlign w:val="center"/>
                </w:tcPr>
                <w:p w14:paraId="547C0D93">
                  <w:pPr>
                    <w:pStyle w:val="147"/>
                    <w:adjustRightInd w:val="0"/>
                    <w:snapToGrid w:val="0"/>
                    <w:jc w:val="center"/>
                    <w:rPr>
                      <w:rFonts w:ascii="Times New Roman" w:hAnsi="Times New Roman" w:cs="Times New Roman"/>
                      <w:color w:val="auto"/>
                      <w:sz w:val="21"/>
                      <w:szCs w:val="21"/>
                    </w:rPr>
                  </w:pPr>
                  <w:r>
                    <w:rPr>
                      <w:rFonts w:ascii="Times New Roman" w:hAnsi="Times New Roman" w:cs="Times New Roman"/>
                      <w:color w:val="auto"/>
                      <w:sz w:val="21"/>
                      <w:szCs w:val="21"/>
                    </w:rPr>
                    <w:t>《关于印发江苏省强化危险废物监管和利用处置能力改革实施方案的通知》（苏政办发</w:t>
                  </w:r>
                </w:p>
                <w:p w14:paraId="55602C9E">
                  <w:pPr>
                    <w:pStyle w:val="147"/>
                    <w:adjustRightInd w:val="0"/>
                    <w:snapToGrid w:val="0"/>
                    <w:jc w:val="center"/>
                    <w:rPr>
                      <w:color w:val="auto"/>
                      <w:szCs w:val="21"/>
                    </w:rPr>
                  </w:pPr>
                  <w:r>
                    <w:rPr>
                      <w:rFonts w:ascii="Times New Roman" w:hAnsi="Times New Roman" w:cs="Times New Roman"/>
                      <w:color w:val="auto"/>
                      <w:sz w:val="21"/>
                      <w:szCs w:val="21"/>
                    </w:rPr>
                    <w:t>〔2022〕11号）</w:t>
                  </w:r>
                </w:p>
              </w:tc>
              <w:tc>
                <w:tcPr>
                  <w:tcW w:w="3554" w:type="dxa"/>
                  <w:gridSpan w:val="2"/>
                  <w:shd w:val="clear" w:color="auto" w:fill="auto"/>
                  <w:vAlign w:val="center"/>
                </w:tcPr>
                <w:p w14:paraId="79B89625">
                  <w:pPr>
                    <w:pStyle w:val="147"/>
                    <w:adjustRightInd w:val="0"/>
                    <w:snapToGrid w:val="0"/>
                    <w:jc w:val="both"/>
                    <w:rPr>
                      <w:rFonts w:ascii="Times New Roman" w:hAnsi="Times New Roman" w:cs="Times New Roman"/>
                      <w:color w:val="auto"/>
                      <w:sz w:val="21"/>
                      <w:szCs w:val="21"/>
                    </w:rPr>
                  </w:pPr>
                  <w:r>
                    <w:rPr>
                      <w:rFonts w:ascii="Times New Roman" w:hAnsi="Times New Roman" w:cs="Times New Roman"/>
                      <w:color w:val="auto"/>
                      <w:sz w:val="21"/>
                      <w:szCs w:val="21"/>
                    </w:rPr>
                    <w:t>落实涉危险废物单位主体责任。危险废物产生、收集、贮存、运输、利用处置单位主要负责人</w:t>
                  </w:r>
                  <w:r>
                    <w:rPr>
                      <w:rFonts w:hint="eastAsia" w:ascii="Times New Roman" w:hAnsi="Times New Roman" w:cs="Times New Roman"/>
                      <w:color w:val="auto"/>
                      <w:sz w:val="21"/>
                      <w:szCs w:val="21"/>
                    </w:rPr>
                    <w:t>（</w:t>
                  </w:r>
                  <w:r>
                    <w:rPr>
                      <w:rFonts w:ascii="Times New Roman" w:hAnsi="Times New Roman" w:cs="Times New Roman"/>
                      <w:color w:val="auto"/>
                      <w:sz w:val="21"/>
                      <w:szCs w:val="21"/>
                    </w:rPr>
                    <w:t>法定代表人、实际控制人</w:t>
                  </w:r>
                  <w:r>
                    <w:rPr>
                      <w:rFonts w:hint="eastAsia" w:ascii="Times New Roman" w:hAnsi="Times New Roman" w:cs="Times New Roman"/>
                      <w:color w:val="auto"/>
                      <w:sz w:val="21"/>
                      <w:szCs w:val="21"/>
                    </w:rPr>
                    <w:t>）</w:t>
                  </w:r>
                  <w:r>
                    <w:rPr>
                      <w:rFonts w:ascii="Times New Roman" w:hAnsi="Times New Roman" w:cs="Times New Roman"/>
                      <w:color w:val="auto"/>
                      <w:sz w:val="21"/>
                      <w:szCs w:val="21"/>
                    </w:rPr>
                    <w:t>是危险废物污染环境防治和安全生产第一责任人，严格落实危险废物污染环境防治和安全生产法律法规制度。危险废物产生单</w:t>
                  </w:r>
                  <w:r>
                    <w:rPr>
                      <w:rFonts w:hint="eastAsia" w:ascii="Times New Roman" w:hAnsi="Times New Roman" w:cs="Times New Roman"/>
                      <w:color w:val="auto"/>
                      <w:sz w:val="21"/>
                      <w:szCs w:val="21"/>
                    </w:rPr>
                    <w:t>位</w:t>
                  </w:r>
                  <w:r>
                    <w:rPr>
                      <w:rFonts w:ascii="Times New Roman" w:hAnsi="Times New Roman" w:cs="Times New Roman"/>
                      <w:color w:val="auto"/>
                      <w:sz w:val="21"/>
                      <w:szCs w:val="21"/>
                    </w:rPr>
                    <w:t>应将危险废物提供或者委托给有资质单位收集、贮存、利用处置，并与其直接签订相应合同，严禁将危险废物提供或者委托给无资质单位进行收集、贮存和利用处置。危险废物产生单位和经营单位依法及时公开危险废物污染环境防治信息，依法依规投保环境污染责任保险。</w:t>
                  </w:r>
                </w:p>
              </w:tc>
              <w:tc>
                <w:tcPr>
                  <w:tcW w:w="2068" w:type="dxa"/>
                  <w:shd w:val="clear" w:color="auto" w:fill="auto"/>
                  <w:vAlign w:val="center"/>
                </w:tcPr>
                <w:p w14:paraId="2109F96B">
                  <w:pPr>
                    <w:pStyle w:val="147"/>
                    <w:adjustRightInd w:val="0"/>
                    <w:snapToGrid w:val="0"/>
                    <w:jc w:val="both"/>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本</w:t>
                  </w:r>
                  <w:r>
                    <w:rPr>
                      <w:rFonts w:ascii="Times New Roman" w:hAnsi="Times New Roman" w:cs="Times New Roman"/>
                      <w:color w:val="auto"/>
                      <w:sz w:val="21"/>
                      <w:szCs w:val="21"/>
                    </w:rPr>
                    <w:t>项目产生的危险废物将按照要求建设危险废物暂存场所并委托有资质单位进行处置。建设项目建成投入使用后将按照相关法律要求公开危险废物污染环境防治信息，依法依规投保环境污染责任保险。</w:t>
                  </w:r>
                </w:p>
              </w:tc>
              <w:tc>
                <w:tcPr>
                  <w:tcW w:w="727" w:type="dxa"/>
                  <w:vMerge w:val="restart"/>
                  <w:vAlign w:val="center"/>
                </w:tcPr>
                <w:p w14:paraId="77C2A609">
                  <w:pPr>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符合</w:t>
                  </w:r>
                </w:p>
              </w:tc>
            </w:tr>
            <w:tr w14:paraId="7126998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353687D4">
                  <w:pPr>
                    <w:adjustRightInd w:val="0"/>
                    <w:snapToGrid w:val="0"/>
                    <w:jc w:val="center"/>
                    <w:rPr>
                      <w:color w:val="auto"/>
                      <w:szCs w:val="21"/>
                    </w:rPr>
                  </w:pPr>
                </w:p>
              </w:tc>
              <w:tc>
                <w:tcPr>
                  <w:tcW w:w="3554" w:type="dxa"/>
                  <w:gridSpan w:val="2"/>
                  <w:shd w:val="clear" w:color="auto" w:fill="auto"/>
                  <w:vAlign w:val="center"/>
                </w:tcPr>
                <w:p w14:paraId="3F4C4513">
                  <w:pPr>
                    <w:pStyle w:val="147"/>
                    <w:adjustRightInd w:val="0"/>
                    <w:snapToGrid w:val="0"/>
                    <w:jc w:val="both"/>
                    <w:rPr>
                      <w:rFonts w:ascii="Times New Roman" w:hAnsi="Times New Roman" w:cs="Times New Roman"/>
                      <w:color w:val="auto"/>
                      <w:sz w:val="21"/>
                      <w:szCs w:val="21"/>
                    </w:rPr>
                  </w:pPr>
                  <w:r>
                    <w:rPr>
                      <w:rFonts w:ascii="Times New Roman" w:hAnsi="Times New Roman" w:cs="Times New Roman"/>
                      <w:color w:val="auto"/>
                      <w:sz w:val="21"/>
                      <w:szCs w:val="21"/>
                    </w:rPr>
                    <w:t>强化危险废物信息化监管。推进江苏省危险废物全生命周期监控系统建设，全面推行二维码电子标签，强化危险废物全过程监管。将危险废物豁免、应急处置等纳入系统管理。配合国家开展危险废物收集、运输、利用处置网上交易平台建设和第三方支付试点。</w:t>
                  </w:r>
                </w:p>
              </w:tc>
              <w:tc>
                <w:tcPr>
                  <w:tcW w:w="2068" w:type="dxa"/>
                  <w:shd w:val="clear" w:color="auto" w:fill="auto"/>
                  <w:vAlign w:val="center"/>
                </w:tcPr>
                <w:p w14:paraId="63C78D5D">
                  <w:pPr>
                    <w:pStyle w:val="147"/>
                    <w:adjustRightInd w:val="0"/>
                    <w:snapToGrid w:val="0"/>
                    <w:jc w:val="both"/>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本</w:t>
                  </w:r>
                  <w:r>
                    <w:rPr>
                      <w:rFonts w:ascii="Times New Roman" w:hAnsi="Times New Roman" w:cs="Times New Roman"/>
                      <w:color w:val="auto"/>
                      <w:sz w:val="21"/>
                      <w:szCs w:val="21"/>
                    </w:rPr>
                    <w:t>项目建成使用后将对危险废物进行全过程监管</w:t>
                  </w:r>
                  <w:r>
                    <w:rPr>
                      <w:rFonts w:hint="eastAsia" w:ascii="Times New Roman" w:hAnsi="Times New Roman" w:cs="Times New Roman"/>
                      <w:color w:val="auto"/>
                      <w:sz w:val="21"/>
                      <w:szCs w:val="21"/>
                    </w:rPr>
                    <w:t>，</w:t>
                  </w:r>
                  <w:r>
                    <w:rPr>
                      <w:rFonts w:hint="eastAsia" w:ascii="Times New Roman" w:hAnsi="Times New Roman" w:cs="Times New Roman"/>
                      <w:color w:val="auto"/>
                      <w:sz w:val="21"/>
                      <w:szCs w:val="21"/>
                      <w:lang w:val="en-US"/>
                    </w:rPr>
                    <w:t>进行全生命周期监控系统建设，实行</w:t>
                  </w:r>
                  <w:r>
                    <w:rPr>
                      <w:rFonts w:ascii="Times New Roman" w:hAnsi="Times New Roman" w:cs="Times New Roman"/>
                      <w:color w:val="auto"/>
                      <w:sz w:val="21"/>
                      <w:szCs w:val="21"/>
                    </w:rPr>
                    <w:t>二维码电子标签。</w:t>
                  </w:r>
                </w:p>
              </w:tc>
              <w:tc>
                <w:tcPr>
                  <w:tcW w:w="727" w:type="dxa"/>
                  <w:vMerge w:val="continue"/>
                  <w:vAlign w:val="center"/>
                </w:tcPr>
                <w:p w14:paraId="3CC0E0DC">
                  <w:pPr>
                    <w:jc w:val="center"/>
                    <w:rPr>
                      <w:rFonts w:hint="default" w:ascii="Times New Roman" w:hAnsi="Times New Roman" w:eastAsia="宋体" w:cs="Times New Roman"/>
                      <w:color w:val="auto"/>
                      <w:sz w:val="21"/>
                      <w:szCs w:val="21"/>
                    </w:rPr>
                  </w:pPr>
                </w:p>
              </w:tc>
            </w:tr>
            <w:tr w14:paraId="2FAC085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1FF4E0C6">
                  <w:pPr>
                    <w:adjustRightInd w:val="0"/>
                    <w:snapToGrid w:val="0"/>
                    <w:jc w:val="center"/>
                    <w:rPr>
                      <w:color w:val="auto"/>
                      <w:szCs w:val="21"/>
                    </w:rPr>
                  </w:pPr>
                </w:p>
              </w:tc>
              <w:tc>
                <w:tcPr>
                  <w:tcW w:w="3554" w:type="dxa"/>
                  <w:gridSpan w:val="2"/>
                  <w:shd w:val="clear" w:color="auto" w:fill="auto"/>
                  <w:vAlign w:val="center"/>
                </w:tcPr>
                <w:p w14:paraId="01F9D3B4">
                  <w:pPr>
                    <w:pStyle w:val="147"/>
                    <w:adjustRightInd w:val="0"/>
                    <w:snapToGrid w:val="0"/>
                    <w:jc w:val="both"/>
                    <w:rPr>
                      <w:rFonts w:ascii="Times New Roman" w:hAnsi="Times New Roman" w:cs="Times New Roman"/>
                      <w:color w:val="auto"/>
                      <w:sz w:val="21"/>
                      <w:szCs w:val="21"/>
                    </w:rPr>
                  </w:pPr>
                  <w:r>
                    <w:rPr>
                      <w:rFonts w:ascii="Times New Roman" w:hAnsi="Times New Roman" w:cs="Times New Roman"/>
                      <w:color w:val="auto"/>
                      <w:sz w:val="21"/>
                      <w:szCs w:val="21"/>
                    </w:rPr>
                    <w:t>推动危险废物管理制度改革创新。深入推进危险废物分级分类管理，对不同环境风险等级危险废物产生单位实行差别化管理，优化简化低环境风险单位管理要求，降低管理成本、提高管理效率。2022年底前，全省逐步建立危险废物分级</w:t>
                  </w:r>
                  <w:r>
                    <w:rPr>
                      <w:rFonts w:hint="eastAsia" w:ascii="Times New Roman" w:hAnsi="Times New Roman" w:cs="Times New Roman"/>
                      <w:color w:val="auto"/>
                      <w:sz w:val="21"/>
                      <w:szCs w:val="21"/>
                    </w:rPr>
                    <w:t>分类管</w:t>
                  </w:r>
                  <w:r>
                    <w:rPr>
                      <w:rFonts w:ascii="Times New Roman" w:hAnsi="Times New Roman" w:cs="Times New Roman"/>
                      <w:color w:val="auto"/>
                      <w:sz w:val="21"/>
                      <w:szCs w:val="21"/>
                    </w:rPr>
                    <w:t>理制度。</w:t>
                  </w:r>
                </w:p>
              </w:tc>
              <w:tc>
                <w:tcPr>
                  <w:tcW w:w="2068" w:type="dxa"/>
                  <w:shd w:val="clear" w:color="auto" w:fill="auto"/>
                  <w:vAlign w:val="center"/>
                </w:tcPr>
                <w:p w14:paraId="633B5328">
                  <w:pPr>
                    <w:pStyle w:val="147"/>
                    <w:adjustRightInd w:val="0"/>
                    <w:snapToGrid w:val="0"/>
                    <w:jc w:val="both"/>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本</w:t>
                  </w:r>
                  <w:r>
                    <w:rPr>
                      <w:rFonts w:ascii="Times New Roman" w:hAnsi="Times New Roman" w:cs="Times New Roman"/>
                      <w:color w:val="auto"/>
                      <w:sz w:val="21"/>
                      <w:szCs w:val="21"/>
                    </w:rPr>
                    <w:t>项目产生的危险废物将按照不同种类分类分区</w:t>
                  </w:r>
                  <w:r>
                    <w:rPr>
                      <w:rFonts w:hint="eastAsia" w:ascii="Times New Roman" w:hAnsi="Times New Roman" w:cs="Times New Roman"/>
                      <w:color w:val="auto"/>
                      <w:sz w:val="21"/>
                      <w:szCs w:val="21"/>
                    </w:rPr>
                    <w:t>贮存</w:t>
                  </w:r>
                  <w:r>
                    <w:rPr>
                      <w:rFonts w:ascii="Times New Roman" w:hAnsi="Times New Roman" w:cs="Times New Roman"/>
                      <w:color w:val="auto"/>
                      <w:sz w:val="21"/>
                      <w:szCs w:val="21"/>
                    </w:rPr>
                    <w:t>。</w:t>
                  </w:r>
                </w:p>
              </w:tc>
              <w:tc>
                <w:tcPr>
                  <w:tcW w:w="727" w:type="dxa"/>
                  <w:vMerge w:val="continue"/>
                  <w:vAlign w:val="center"/>
                </w:tcPr>
                <w:p w14:paraId="1518EB26">
                  <w:pPr>
                    <w:jc w:val="center"/>
                    <w:rPr>
                      <w:rFonts w:hint="default" w:ascii="Times New Roman" w:hAnsi="Times New Roman" w:eastAsia="宋体" w:cs="Times New Roman"/>
                      <w:color w:val="auto"/>
                      <w:sz w:val="21"/>
                      <w:szCs w:val="21"/>
                    </w:rPr>
                  </w:pPr>
                </w:p>
              </w:tc>
            </w:tr>
            <w:tr w14:paraId="1CCB1A5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26D987BE">
                  <w:pPr>
                    <w:adjustRightInd w:val="0"/>
                    <w:snapToGrid w:val="0"/>
                    <w:jc w:val="center"/>
                    <w:rPr>
                      <w:color w:val="auto"/>
                      <w:szCs w:val="21"/>
                    </w:rPr>
                  </w:pPr>
                </w:p>
              </w:tc>
              <w:tc>
                <w:tcPr>
                  <w:tcW w:w="3554" w:type="dxa"/>
                  <w:gridSpan w:val="2"/>
                  <w:shd w:val="clear" w:color="auto" w:fill="auto"/>
                  <w:vAlign w:val="center"/>
                </w:tcPr>
                <w:p w14:paraId="73DC9C93">
                  <w:pPr>
                    <w:pStyle w:val="147"/>
                    <w:adjustRightInd w:val="0"/>
                    <w:snapToGrid w:val="0"/>
                    <w:jc w:val="both"/>
                    <w:rPr>
                      <w:rFonts w:ascii="Times New Roman" w:hAnsi="Times New Roman" w:cs="Times New Roman"/>
                      <w:color w:val="auto"/>
                      <w:sz w:val="21"/>
                      <w:szCs w:val="21"/>
                    </w:rPr>
                  </w:pPr>
                  <w:r>
                    <w:rPr>
                      <w:rFonts w:ascii="Times New Roman" w:hAnsi="Times New Roman" w:cs="Times New Roman"/>
                      <w:color w:val="auto"/>
                      <w:sz w:val="21"/>
                      <w:szCs w:val="21"/>
                    </w:rPr>
                    <w:t>新改扩建项目要依法开展环境影响评价，严格按照《建设项目危险废物环境影响评价指南》科学评价危险废物，明确危险废物种类、数量、属性、贮存设施及需要配套的污染防治措施。依法依规对已批复的重点行业涉危险废物建设项目环境影响评价文件开展复核。严格落实危险废物鉴定、再生利用等标准规范，严禁以副产品名义逃避监管。依法落实工业固体废物排污许可制度。</w:t>
                  </w:r>
                </w:p>
              </w:tc>
              <w:tc>
                <w:tcPr>
                  <w:tcW w:w="2068" w:type="dxa"/>
                  <w:shd w:val="clear" w:color="auto" w:fill="auto"/>
                  <w:vAlign w:val="center"/>
                </w:tcPr>
                <w:p w14:paraId="345B73E5">
                  <w:pPr>
                    <w:pStyle w:val="147"/>
                    <w:adjustRightInd w:val="0"/>
                    <w:snapToGrid w:val="0"/>
                    <w:jc w:val="both"/>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本</w:t>
                  </w:r>
                  <w:r>
                    <w:rPr>
                      <w:rFonts w:ascii="Times New Roman" w:hAnsi="Times New Roman" w:cs="Times New Roman"/>
                      <w:color w:val="auto"/>
                      <w:sz w:val="21"/>
                      <w:szCs w:val="21"/>
                    </w:rPr>
                    <w:t>项目产生的危险废物已按照不同种类识别种类、数量、属性，</w:t>
                  </w:r>
                  <w:r>
                    <w:rPr>
                      <w:rFonts w:ascii="Times New Roman" w:hAnsi="Times New Roman" w:cs="Times New Roman"/>
                      <w:color w:val="auto"/>
                      <w:sz w:val="21"/>
                      <w:szCs w:val="21"/>
                      <w:lang w:val="en-US"/>
                    </w:rPr>
                    <w:t>应</w:t>
                  </w:r>
                  <w:r>
                    <w:rPr>
                      <w:rFonts w:ascii="Times New Roman" w:hAnsi="Times New Roman" w:cs="Times New Roman"/>
                      <w:color w:val="auto"/>
                      <w:sz w:val="21"/>
                      <w:szCs w:val="21"/>
                    </w:rPr>
                    <w:t>按相关要求建设一座</w:t>
                  </w:r>
                  <w:r>
                    <w:rPr>
                      <w:rFonts w:hint="eastAsia" w:ascii="Times New Roman" w:hAnsi="Times New Roman" w:cs="Times New Roman"/>
                      <w:color w:val="auto"/>
                      <w:sz w:val="21"/>
                      <w:szCs w:val="21"/>
                      <w:lang w:val="en-US"/>
                    </w:rPr>
                    <w:t>20</w:t>
                  </w:r>
                  <w:r>
                    <w:rPr>
                      <w:rFonts w:ascii="Times New Roman" w:hAnsi="Times New Roman" w:cs="Times New Roman"/>
                      <w:color w:val="auto"/>
                      <w:sz w:val="21"/>
                      <w:szCs w:val="21"/>
                    </w:rPr>
                    <w:t>m</w:t>
                  </w:r>
                  <w:r>
                    <w:rPr>
                      <w:rFonts w:ascii="Times New Roman" w:hAnsi="Times New Roman" w:cs="Times New Roman"/>
                      <w:color w:val="auto"/>
                      <w:sz w:val="21"/>
                      <w:szCs w:val="21"/>
                      <w:vertAlign w:val="superscript"/>
                      <w:lang w:val="en-US"/>
                    </w:rPr>
                    <w:t>2</w:t>
                  </w:r>
                  <w:r>
                    <w:rPr>
                      <w:rFonts w:ascii="Times New Roman" w:hAnsi="Times New Roman" w:cs="Times New Roman"/>
                      <w:color w:val="auto"/>
                      <w:sz w:val="21"/>
                      <w:szCs w:val="21"/>
                    </w:rPr>
                    <w:t>的</w:t>
                  </w:r>
                  <w:r>
                    <w:rPr>
                      <w:rFonts w:hint="eastAsia" w:ascii="Times New Roman" w:hAnsi="Times New Roman" w:cs="Times New Roman"/>
                      <w:color w:val="auto"/>
                      <w:sz w:val="21"/>
                      <w:szCs w:val="21"/>
                      <w:lang w:val="en-US" w:eastAsia="zh-CN"/>
                    </w:rPr>
                    <w:t>危废暂存间</w:t>
                  </w:r>
                  <w:r>
                    <w:rPr>
                      <w:rFonts w:ascii="Times New Roman" w:hAnsi="Times New Roman" w:cs="Times New Roman"/>
                      <w:color w:val="auto"/>
                      <w:sz w:val="21"/>
                      <w:szCs w:val="21"/>
                    </w:rPr>
                    <w:t>用于贮存危险废物。</w:t>
                  </w:r>
                </w:p>
              </w:tc>
              <w:tc>
                <w:tcPr>
                  <w:tcW w:w="727" w:type="dxa"/>
                  <w:vMerge w:val="continue"/>
                  <w:vAlign w:val="center"/>
                </w:tcPr>
                <w:p w14:paraId="326C81B6">
                  <w:pPr>
                    <w:jc w:val="center"/>
                    <w:rPr>
                      <w:rFonts w:hint="default" w:ascii="Times New Roman" w:hAnsi="Times New Roman" w:eastAsia="宋体" w:cs="Times New Roman"/>
                      <w:color w:val="auto"/>
                      <w:sz w:val="21"/>
                      <w:szCs w:val="21"/>
                    </w:rPr>
                  </w:pPr>
                </w:p>
              </w:tc>
            </w:tr>
            <w:tr w14:paraId="70010EE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735444E7">
                  <w:pPr>
                    <w:adjustRightInd w:val="0"/>
                    <w:snapToGrid w:val="0"/>
                    <w:jc w:val="center"/>
                    <w:rPr>
                      <w:color w:val="auto"/>
                      <w:szCs w:val="21"/>
                    </w:rPr>
                  </w:pPr>
                </w:p>
              </w:tc>
              <w:tc>
                <w:tcPr>
                  <w:tcW w:w="3554" w:type="dxa"/>
                  <w:gridSpan w:val="2"/>
                  <w:shd w:val="clear" w:color="auto" w:fill="auto"/>
                  <w:vAlign w:val="center"/>
                </w:tcPr>
                <w:p w14:paraId="161529D5">
                  <w:pPr>
                    <w:pStyle w:val="147"/>
                    <w:adjustRightInd w:val="0"/>
                    <w:snapToGrid w:val="0"/>
                    <w:jc w:val="both"/>
                    <w:rPr>
                      <w:rFonts w:ascii="Times New Roman" w:hAnsi="Times New Roman" w:cs="Times New Roman"/>
                      <w:color w:val="auto"/>
                      <w:sz w:val="21"/>
                      <w:szCs w:val="21"/>
                    </w:rPr>
                  </w:pPr>
                  <w:r>
                    <w:rPr>
                      <w:rFonts w:ascii="Times New Roman" w:hAnsi="Times New Roman" w:cs="Times New Roman"/>
                      <w:color w:val="auto"/>
                      <w:sz w:val="21"/>
                      <w:szCs w:val="21"/>
                    </w:rPr>
                    <w:t>危险废物产生单位要按规定制定危险废物管理计划，明确减少危险废物产生量和危害性的措施以及危险废物贮存、利用处置措施，并按相关要求进行备案。建立危险废物环境管理台账，依法申报危险废物产生、贮存、运输、利用处置等信息并对其真实性、完整性和准确性负责。</w:t>
                  </w:r>
                </w:p>
              </w:tc>
              <w:tc>
                <w:tcPr>
                  <w:tcW w:w="2068" w:type="dxa"/>
                  <w:shd w:val="clear" w:color="auto" w:fill="auto"/>
                  <w:vAlign w:val="center"/>
                </w:tcPr>
                <w:p w14:paraId="16AD8595">
                  <w:pPr>
                    <w:pStyle w:val="147"/>
                    <w:adjustRightInd w:val="0"/>
                    <w:snapToGrid w:val="0"/>
                    <w:jc w:val="both"/>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本</w:t>
                  </w:r>
                  <w:r>
                    <w:rPr>
                      <w:rFonts w:ascii="Times New Roman" w:hAnsi="Times New Roman" w:cs="Times New Roman"/>
                      <w:color w:val="auto"/>
                      <w:sz w:val="21"/>
                      <w:szCs w:val="21"/>
                    </w:rPr>
                    <w:t>项目拟按规定制定危险废物管理计划，明确减少危险废物产生量和危害性的措施以及危险废物贮存、利用处置措施，并按相关要求进行备案。拟建立危险废物环境管理台账，依法申报危险废物产生、贮存、运输、利用处置等信息并对其真实性、完整性和准确性负责。</w:t>
                  </w:r>
                </w:p>
              </w:tc>
              <w:tc>
                <w:tcPr>
                  <w:tcW w:w="727" w:type="dxa"/>
                  <w:vMerge w:val="continue"/>
                  <w:vAlign w:val="center"/>
                </w:tcPr>
                <w:p w14:paraId="1DFF962F">
                  <w:pPr>
                    <w:jc w:val="center"/>
                    <w:rPr>
                      <w:rFonts w:hint="default" w:ascii="Times New Roman" w:hAnsi="Times New Roman" w:eastAsia="宋体" w:cs="Times New Roman"/>
                      <w:color w:val="auto"/>
                      <w:sz w:val="21"/>
                      <w:szCs w:val="21"/>
                    </w:rPr>
                  </w:pPr>
                </w:p>
              </w:tc>
            </w:tr>
            <w:tr w14:paraId="5FD23AB2">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restart"/>
                  <w:shd w:val="clear" w:color="auto" w:fill="auto"/>
                  <w:vAlign w:val="center"/>
                </w:tcPr>
                <w:p w14:paraId="611CEEB0">
                  <w:pPr>
                    <w:pStyle w:val="147"/>
                    <w:adjustRightInd w:val="0"/>
                    <w:snapToGrid w:val="0"/>
                    <w:jc w:val="center"/>
                    <w:rPr>
                      <w:color w:val="auto"/>
                      <w:szCs w:val="21"/>
                    </w:rPr>
                  </w:pPr>
                  <w:r>
                    <w:rPr>
                      <w:rFonts w:ascii="Times New Roman" w:hAnsi="Times New Roman" w:cs="Times New Roman"/>
                      <w:color w:val="auto"/>
                      <w:sz w:val="21"/>
                      <w:szCs w:val="21"/>
                    </w:rPr>
                    <w:t>《省生态环境厅关于做好&lt;危险废物贮存污染控制标准&gt;等标准规范实施后危险废物环境管理衔接工作的通知》</w:t>
                  </w:r>
                  <w:r>
                    <w:rPr>
                      <w:rFonts w:hint="eastAsia"/>
                      <w:color w:val="auto"/>
                      <w:sz w:val="21"/>
                      <w:szCs w:val="21"/>
                    </w:rPr>
                    <w:t>（</w:t>
                  </w:r>
                  <w:r>
                    <w:rPr>
                      <w:rFonts w:hint="eastAsia"/>
                      <w:color w:val="auto"/>
                      <w:sz w:val="21"/>
                      <w:szCs w:val="21"/>
                      <w:lang w:val="en-US"/>
                    </w:rPr>
                    <w:t>苏环办[2023]154号</w:t>
                  </w:r>
                  <w:r>
                    <w:rPr>
                      <w:rFonts w:hint="eastAsia"/>
                      <w:color w:val="auto"/>
                      <w:sz w:val="21"/>
                      <w:szCs w:val="21"/>
                    </w:rPr>
                    <w:t>）</w:t>
                  </w:r>
                </w:p>
              </w:tc>
              <w:tc>
                <w:tcPr>
                  <w:tcW w:w="3554" w:type="dxa"/>
                  <w:gridSpan w:val="2"/>
                  <w:shd w:val="clear" w:color="auto" w:fill="auto"/>
                  <w:vAlign w:val="center"/>
                </w:tcPr>
                <w:p w14:paraId="662C5CD6">
                  <w:pPr>
                    <w:pStyle w:val="147"/>
                    <w:adjustRightInd w:val="0"/>
                    <w:snapToGrid w:val="0"/>
                    <w:jc w:val="both"/>
                    <w:rPr>
                      <w:rFonts w:ascii="Times New Roman" w:hAnsi="Times New Roman" w:cs="Times New Roman"/>
                      <w:color w:val="auto"/>
                      <w:sz w:val="21"/>
                      <w:szCs w:val="21"/>
                    </w:rPr>
                  </w:pPr>
                  <w:r>
                    <w:rPr>
                      <w:rFonts w:ascii="Times New Roman" w:hAnsi="Times New Roman" w:cs="Times New Roman"/>
                      <w:color w:val="auto"/>
                      <w:sz w:val="21"/>
                      <w:szCs w:val="21"/>
                    </w:rPr>
                    <w:t>危险废物贮存设施</w:t>
                  </w:r>
                  <w:r>
                    <w:rPr>
                      <w:rFonts w:hint="eastAsia" w:ascii="Times New Roman" w:hAnsi="Times New Roman" w:cs="Times New Roman"/>
                      <w:color w:val="auto"/>
                      <w:sz w:val="21"/>
                      <w:szCs w:val="21"/>
                    </w:rPr>
                    <w:t>（</w:t>
                  </w:r>
                  <w:r>
                    <w:rPr>
                      <w:rFonts w:ascii="Times New Roman" w:hAnsi="Times New Roman" w:cs="Times New Roman"/>
                      <w:color w:val="auto"/>
                      <w:sz w:val="21"/>
                      <w:szCs w:val="21"/>
                    </w:rPr>
                    <w:t>含贮存点</w:t>
                  </w:r>
                  <w:r>
                    <w:rPr>
                      <w:rFonts w:hint="eastAsia" w:ascii="Times New Roman" w:hAnsi="Times New Roman" w:cs="Times New Roman"/>
                      <w:color w:val="auto"/>
                      <w:sz w:val="21"/>
                      <w:szCs w:val="21"/>
                    </w:rPr>
                    <w:t>）</w:t>
                  </w:r>
                  <w:r>
                    <w:rPr>
                      <w:rFonts w:ascii="Times New Roman" w:hAnsi="Times New Roman" w:cs="Times New Roman"/>
                      <w:color w:val="auto"/>
                      <w:sz w:val="21"/>
                      <w:szCs w:val="21"/>
                    </w:rPr>
                    <w:t>应按照《省生态环境厅关于进一步加强危险废物污染防治工作的实施意见</w:t>
                  </w:r>
                  <w:r>
                    <w:rPr>
                      <w:rFonts w:hint="eastAsia" w:ascii="Times New Roman" w:hAnsi="Times New Roman" w:cs="Times New Roman"/>
                      <w:color w:val="auto"/>
                      <w:sz w:val="21"/>
                      <w:szCs w:val="21"/>
                    </w:rPr>
                    <w:t>》（</w:t>
                  </w:r>
                  <w:r>
                    <w:rPr>
                      <w:rFonts w:ascii="Times New Roman" w:hAnsi="Times New Roman" w:cs="Times New Roman"/>
                      <w:color w:val="auto"/>
                      <w:sz w:val="21"/>
                      <w:szCs w:val="21"/>
                    </w:rPr>
                    <w:t>苏环办[2019]327号</w:t>
                  </w:r>
                  <w:r>
                    <w:rPr>
                      <w:rFonts w:hint="eastAsia" w:ascii="Times New Roman" w:hAnsi="Times New Roman" w:cs="Times New Roman"/>
                      <w:color w:val="auto"/>
                      <w:sz w:val="21"/>
                      <w:szCs w:val="21"/>
                    </w:rPr>
                    <w:t>）</w:t>
                  </w:r>
                  <w:r>
                    <w:rPr>
                      <w:rFonts w:ascii="Times New Roman" w:hAnsi="Times New Roman" w:cs="Times New Roman"/>
                      <w:color w:val="auto"/>
                      <w:sz w:val="21"/>
                      <w:szCs w:val="21"/>
                    </w:rPr>
                    <w:t>、《省生态环境厅关于做好江苏省危险废物全生命周期监控系统上线运行工作的通知》</w:t>
                  </w:r>
                  <w:r>
                    <w:rPr>
                      <w:rFonts w:hint="eastAsia" w:ascii="Times New Roman" w:hAnsi="Times New Roman" w:cs="Times New Roman"/>
                      <w:color w:val="auto"/>
                      <w:sz w:val="21"/>
                      <w:szCs w:val="21"/>
                    </w:rPr>
                    <w:t>（</w:t>
                  </w:r>
                  <w:r>
                    <w:rPr>
                      <w:rFonts w:ascii="Times New Roman" w:hAnsi="Times New Roman" w:cs="Times New Roman"/>
                      <w:color w:val="auto"/>
                      <w:sz w:val="21"/>
                      <w:szCs w:val="21"/>
                    </w:rPr>
                    <w:t>苏环办[2020]401号</w:t>
                  </w:r>
                  <w:r>
                    <w:rPr>
                      <w:rFonts w:hint="eastAsia" w:ascii="Times New Roman" w:hAnsi="Times New Roman" w:cs="Times New Roman"/>
                      <w:color w:val="auto"/>
                      <w:sz w:val="21"/>
                      <w:szCs w:val="21"/>
                    </w:rPr>
                    <w:t>）</w:t>
                  </w:r>
                  <w:r>
                    <w:rPr>
                      <w:rFonts w:ascii="Times New Roman" w:hAnsi="Times New Roman" w:cs="Times New Roman"/>
                      <w:color w:val="auto"/>
                      <w:sz w:val="21"/>
                      <w:szCs w:val="21"/>
                    </w:rPr>
                    <w:t>等文件要求设置视频监控，并与中控室联网，视频监控应确保监控画面清晰，视频记录保存时间至少为3个月。</w:t>
                  </w:r>
                </w:p>
              </w:tc>
              <w:tc>
                <w:tcPr>
                  <w:tcW w:w="2068" w:type="dxa"/>
                  <w:shd w:val="clear" w:color="auto" w:fill="auto"/>
                  <w:vAlign w:val="center"/>
                </w:tcPr>
                <w:p w14:paraId="5BCCCCC2">
                  <w:pPr>
                    <w:pStyle w:val="147"/>
                    <w:adjustRightInd w:val="0"/>
                    <w:snapToGrid w:val="0"/>
                    <w:jc w:val="both"/>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本</w:t>
                  </w:r>
                  <w:r>
                    <w:rPr>
                      <w:rFonts w:ascii="Times New Roman" w:hAnsi="Times New Roman" w:cs="Times New Roman"/>
                      <w:color w:val="auto"/>
                      <w:sz w:val="21"/>
                      <w:szCs w:val="21"/>
                    </w:rPr>
                    <w:t>项目</w:t>
                  </w:r>
                  <w:r>
                    <w:rPr>
                      <w:rFonts w:ascii="Times New Roman" w:hAnsi="Times New Roman" w:cs="Times New Roman"/>
                      <w:color w:val="auto"/>
                      <w:sz w:val="21"/>
                      <w:szCs w:val="21"/>
                      <w:lang w:val="en-US"/>
                    </w:rPr>
                    <w:t>应</w:t>
                  </w:r>
                  <w:r>
                    <w:rPr>
                      <w:rFonts w:ascii="Times New Roman" w:hAnsi="Times New Roman" w:cs="Times New Roman"/>
                      <w:color w:val="auto"/>
                      <w:sz w:val="21"/>
                      <w:szCs w:val="21"/>
                    </w:rPr>
                    <w:t>按相关要求建设一座</w:t>
                  </w:r>
                  <w:r>
                    <w:rPr>
                      <w:rFonts w:hint="eastAsia" w:ascii="Times New Roman" w:hAnsi="Times New Roman" w:cs="Times New Roman"/>
                      <w:color w:val="auto"/>
                      <w:sz w:val="21"/>
                      <w:szCs w:val="21"/>
                      <w:lang w:val="en-US"/>
                    </w:rPr>
                    <w:t>20</w:t>
                  </w:r>
                  <w:r>
                    <w:rPr>
                      <w:rFonts w:ascii="Times New Roman" w:hAnsi="Times New Roman" w:cs="Times New Roman"/>
                      <w:color w:val="auto"/>
                      <w:sz w:val="21"/>
                      <w:szCs w:val="21"/>
                    </w:rPr>
                    <w:t>m</w:t>
                  </w:r>
                  <w:r>
                    <w:rPr>
                      <w:rFonts w:ascii="Times New Roman" w:hAnsi="Times New Roman" w:cs="Times New Roman"/>
                      <w:color w:val="auto"/>
                      <w:sz w:val="21"/>
                      <w:szCs w:val="21"/>
                      <w:vertAlign w:val="superscript"/>
                      <w:lang w:val="en-US"/>
                    </w:rPr>
                    <w:t>2</w:t>
                  </w:r>
                  <w:r>
                    <w:rPr>
                      <w:rFonts w:ascii="Times New Roman" w:hAnsi="Times New Roman" w:cs="Times New Roman"/>
                      <w:color w:val="auto"/>
                      <w:sz w:val="21"/>
                      <w:szCs w:val="21"/>
                    </w:rPr>
                    <w:t>的</w:t>
                  </w:r>
                  <w:r>
                    <w:rPr>
                      <w:rFonts w:hint="eastAsia" w:ascii="Times New Roman" w:hAnsi="Times New Roman" w:cs="Times New Roman"/>
                      <w:color w:val="auto"/>
                      <w:sz w:val="21"/>
                      <w:szCs w:val="21"/>
                      <w:lang w:val="en-US" w:eastAsia="zh-CN"/>
                    </w:rPr>
                    <w:t>危废暂存间</w:t>
                  </w:r>
                  <w:r>
                    <w:rPr>
                      <w:rFonts w:ascii="Times New Roman" w:hAnsi="Times New Roman" w:cs="Times New Roman"/>
                      <w:color w:val="auto"/>
                      <w:sz w:val="21"/>
                      <w:szCs w:val="21"/>
                    </w:rPr>
                    <w:t>用于贮存危险废物并设置视频监控，与中控室联网，视频监控确保监控画面清晰，视频记录保存时间至少3个月。</w:t>
                  </w:r>
                </w:p>
              </w:tc>
              <w:tc>
                <w:tcPr>
                  <w:tcW w:w="727" w:type="dxa"/>
                  <w:vMerge w:val="restart"/>
                  <w:vAlign w:val="center"/>
                </w:tcPr>
                <w:p w14:paraId="28E9AAE2">
                  <w:pPr>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符合</w:t>
                  </w:r>
                </w:p>
              </w:tc>
            </w:tr>
            <w:tr w14:paraId="7571F37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28" w:type="dxa"/>
                  <w:bottom w:w="0" w:type="dxa"/>
                  <w:right w:w="28" w:type="dxa"/>
                </w:tblCellMar>
              </w:tblPrEx>
              <w:trPr>
                <w:trHeight w:val="340" w:hRule="atLeast"/>
                <w:jc w:val="center"/>
              </w:trPr>
              <w:tc>
                <w:tcPr>
                  <w:tcW w:w="826" w:type="dxa"/>
                  <w:vMerge w:val="continue"/>
                  <w:shd w:val="clear" w:color="auto" w:fill="auto"/>
                  <w:vAlign w:val="center"/>
                </w:tcPr>
                <w:p w14:paraId="2A76CE76">
                  <w:pPr>
                    <w:adjustRightInd w:val="0"/>
                    <w:snapToGrid w:val="0"/>
                    <w:jc w:val="center"/>
                    <w:rPr>
                      <w:color w:val="auto"/>
                      <w:szCs w:val="21"/>
                    </w:rPr>
                  </w:pPr>
                </w:p>
              </w:tc>
              <w:tc>
                <w:tcPr>
                  <w:tcW w:w="3554" w:type="dxa"/>
                  <w:gridSpan w:val="2"/>
                  <w:shd w:val="clear" w:color="auto" w:fill="auto"/>
                  <w:vAlign w:val="center"/>
                </w:tcPr>
                <w:p w14:paraId="1ED9131A">
                  <w:pPr>
                    <w:pStyle w:val="147"/>
                    <w:adjustRightInd w:val="0"/>
                    <w:snapToGrid w:val="0"/>
                    <w:jc w:val="both"/>
                    <w:rPr>
                      <w:rFonts w:ascii="Times New Roman" w:hAnsi="Times New Roman" w:cs="Times New Roman"/>
                      <w:color w:val="auto"/>
                      <w:sz w:val="21"/>
                      <w:szCs w:val="21"/>
                    </w:rPr>
                  </w:pPr>
                  <w:r>
                    <w:rPr>
                      <w:rFonts w:ascii="Times New Roman" w:hAnsi="Times New Roman" w:cs="Times New Roman"/>
                      <w:color w:val="auto"/>
                      <w:sz w:val="21"/>
                      <w:szCs w:val="21"/>
                    </w:rPr>
                    <w:t>各涉废单位</w:t>
                  </w:r>
                  <w:r>
                    <w:rPr>
                      <w:rFonts w:hint="eastAsia" w:ascii="Times New Roman" w:hAnsi="Times New Roman" w:cs="Times New Roman"/>
                      <w:color w:val="auto"/>
                      <w:sz w:val="21"/>
                      <w:szCs w:val="21"/>
                    </w:rPr>
                    <w:t>（</w:t>
                  </w:r>
                  <w:r>
                    <w:rPr>
                      <w:rFonts w:ascii="Times New Roman" w:hAnsi="Times New Roman" w:cs="Times New Roman"/>
                      <w:color w:val="auto"/>
                      <w:sz w:val="21"/>
                      <w:szCs w:val="21"/>
                    </w:rPr>
                    <w:t>包括纳入危险废物集中收集体系建设管理的一般源单位和特别行业单位等</w:t>
                  </w:r>
                  <w:r>
                    <w:rPr>
                      <w:rFonts w:hint="eastAsia" w:ascii="Times New Roman" w:hAnsi="Times New Roman" w:cs="Times New Roman"/>
                      <w:color w:val="auto"/>
                      <w:sz w:val="21"/>
                      <w:szCs w:val="21"/>
                    </w:rPr>
                    <w:t>）</w:t>
                  </w:r>
                  <w:r>
                    <w:rPr>
                      <w:rFonts w:ascii="Times New Roman" w:hAnsi="Times New Roman" w:cs="Times New Roman"/>
                      <w:color w:val="auto"/>
                      <w:sz w:val="21"/>
                      <w:szCs w:val="21"/>
                    </w:rPr>
                    <w:t>要严格按照国家要求于2023年7月1日前完成危险废物识别标志更换，确因采购流程等问题无法按时完成的，经属地生态环境部门同意后，可延长至2023年8月31日。在落实《规范》的基础上，危险废物贮存、利用、处置设施标志样式应增加“</w:t>
                  </w:r>
                  <w:r>
                    <w:rPr>
                      <w:rFonts w:hint="eastAsia" w:ascii="Times New Roman" w:hAnsi="Times New Roman" w:cs="Times New Roman"/>
                      <w:color w:val="auto"/>
                      <w:sz w:val="21"/>
                      <w:szCs w:val="21"/>
                    </w:rPr>
                    <w:t>（</w:t>
                  </w:r>
                  <w:r>
                    <w:rPr>
                      <w:rFonts w:ascii="Times New Roman" w:hAnsi="Times New Roman" w:cs="Times New Roman"/>
                      <w:color w:val="auto"/>
                      <w:sz w:val="21"/>
                      <w:szCs w:val="21"/>
                    </w:rPr>
                    <w:t>第X一X号</w:t>
                  </w:r>
                  <w:r>
                    <w:rPr>
                      <w:rFonts w:hint="eastAsia" w:ascii="Times New Roman" w:hAnsi="Times New Roman" w:cs="Times New Roman"/>
                      <w:color w:val="auto"/>
                      <w:sz w:val="21"/>
                      <w:szCs w:val="21"/>
                    </w:rPr>
                    <w:t>）</w:t>
                  </w:r>
                  <w:r>
                    <w:rPr>
                      <w:rFonts w:ascii="Times New Roman" w:hAnsi="Times New Roman" w:cs="Times New Roman"/>
                      <w:color w:val="auto"/>
                      <w:sz w:val="21"/>
                      <w:szCs w:val="21"/>
                    </w:rPr>
                    <w:t>编号信息，贮存点应设置警示标志。贮存、利用、处置设施和</w:t>
                  </w:r>
                  <w:r>
                    <w:rPr>
                      <w:rFonts w:hint="eastAsia" w:ascii="Times New Roman" w:hAnsi="Times New Roman" w:cs="Times New Roman"/>
                      <w:color w:val="auto"/>
                      <w:sz w:val="21"/>
                      <w:szCs w:val="21"/>
                    </w:rPr>
                    <w:t>贮存</w:t>
                  </w:r>
                  <w:r>
                    <w:rPr>
                      <w:rFonts w:ascii="Times New Roman" w:hAnsi="Times New Roman" w:cs="Times New Roman"/>
                      <w:color w:val="auto"/>
                      <w:sz w:val="21"/>
                      <w:szCs w:val="21"/>
                    </w:rPr>
                    <w:t>点标志牌样式详见附件。</w:t>
                  </w:r>
                </w:p>
              </w:tc>
              <w:tc>
                <w:tcPr>
                  <w:tcW w:w="2068" w:type="dxa"/>
                  <w:shd w:val="clear" w:color="auto" w:fill="auto"/>
                  <w:vAlign w:val="center"/>
                </w:tcPr>
                <w:p w14:paraId="642F2DCA">
                  <w:pPr>
                    <w:pStyle w:val="147"/>
                    <w:adjustRightInd w:val="0"/>
                    <w:snapToGrid w:val="0"/>
                    <w:jc w:val="both"/>
                    <w:rPr>
                      <w:rFonts w:ascii="Times New Roman" w:hAnsi="Times New Roman" w:cs="Times New Roman"/>
                      <w:color w:val="auto"/>
                      <w:sz w:val="21"/>
                      <w:szCs w:val="21"/>
                    </w:rPr>
                  </w:pPr>
                  <w:r>
                    <w:rPr>
                      <w:rFonts w:hint="eastAsia" w:ascii="Times New Roman" w:hAnsi="Times New Roman" w:cs="Times New Roman"/>
                      <w:color w:val="auto"/>
                      <w:sz w:val="21"/>
                      <w:szCs w:val="21"/>
                      <w:lang w:val="en-US" w:eastAsia="zh-CN"/>
                    </w:rPr>
                    <w:t>本</w:t>
                  </w:r>
                  <w:r>
                    <w:rPr>
                      <w:rFonts w:ascii="Times New Roman" w:hAnsi="Times New Roman" w:cs="Times New Roman"/>
                      <w:color w:val="auto"/>
                      <w:sz w:val="21"/>
                      <w:szCs w:val="21"/>
                    </w:rPr>
                    <w:t>项目建成后拟按照国家要求设置危险废物识别标志。</w:t>
                  </w:r>
                </w:p>
              </w:tc>
              <w:tc>
                <w:tcPr>
                  <w:tcW w:w="727" w:type="dxa"/>
                  <w:vMerge w:val="continue"/>
                  <w:vAlign w:val="center"/>
                </w:tcPr>
                <w:p w14:paraId="23F0CB23">
                  <w:pPr>
                    <w:jc w:val="center"/>
                    <w:rPr>
                      <w:rFonts w:hint="default" w:ascii="Times New Roman" w:hAnsi="Times New Roman" w:eastAsia="宋体" w:cs="Times New Roman"/>
                      <w:color w:val="auto"/>
                      <w:sz w:val="21"/>
                      <w:szCs w:val="21"/>
                    </w:rPr>
                  </w:pPr>
                </w:p>
              </w:tc>
            </w:tr>
          </w:tbl>
          <w:p w14:paraId="1738204B">
            <w:pPr>
              <w:tabs>
                <w:tab w:val="left" w:pos="1095"/>
              </w:tabs>
              <w:spacing w:line="360" w:lineRule="auto"/>
              <w:ind w:firstLine="480" w:firstLineChars="200"/>
              <w:rPr>
                <w:color w:val="auto"/>
              </w:rPr>
            </w:pPr>
            <w:r>
              <w:rPr>
                <w:rFonts w:hint="eastAsia" w:ascii="Times New Roman" w:hAnsi="Times New Roman" w:eastAsia="宋体" w:cs="Times New Roman"/>
                <w:color w:val="auto"/>
                <w:sz w:val="24"/>
                <w:lang w:val="en-US" w:eastAsia="zh-CN"/>
              </w:rPr>
              <w:t>根据上表分析可知，本项目与相关生态环境保护法律法规政策、生态环境保护规划的相关要求是相符的。</w:t>
            </w:r>
          </w:p>
          <w:p w14:paraId="08C4CD2D">
            <w:pPr>
              <w:widowControl/>
              <w:adjustRightInd w:val="0"/>
              <w:snapToGrid w:val="0"/>
              <w:spacing w:line="360" w:lineRule="auto"/>
              <w:ind w:firstLine="482" w:firstLineChars="200"/>
              <w:jc w:val="left"/>
              <w:rPr>
                <w:rFonts w:hint="eastAsia" w:ascii="Times New Roman" w:hAnsi="Times New Roman" w:cs="Times New Roman"/>
                <w:b/>
                <w:bCs/>
                <w:color w:val="auto"/>
                <w:sz w:val="24"/>
              </w:rPr>
            </w:pPr>
            <w:r>
              <w:rPr>
                <w:rFonts w:hint="eastAsia" w:cs="Times New Roman"/>
                <w:b/>
                <w:bCs/>
                <w:color w:val="auto"/>
                <w:sz w:val="24"/>
                <w:lang w:val="en-US" w:eastAsia="zh-CN"/>
              </w:rPr>
              <w:t>8</w:t>
            </w:r>
            <w:r>
              <w:rPr>
                <w:rFonts w:hint="eastAsia" w:ascii="Times New Roman" w:hAnsi="Times New Roman" w:cs="Times New Roman"/>
                <w:b/>
                <w:bCs/>
                <w:color w:val="auto"/>
                <w:sz w:val="24"/>
              </w:rPr>
              <w:t>、与</w:t>
            </w:r>
            <w:r>
              <w:rPr>
                <w:rFonts w:hint="eastAsia" w:cs="Times New Roman"/>
                <w:b/>
                <w:bCs/>
                <w:color w:val="auto"/>
                <w:sz w:val="24"/>
                <w:lang w:val="en-US" w:eastAsia="zh-CN"/>
              </w:rPr>
              <w:t>文物保护相关法律的</w:t>
            </w:r>
            <w:r>
              <w:rPr>
                <w:rFonts w:hint="eastAsia" w:ascii="Times New Roman" w:hAnsi="Times New Roman" w:cs="Times New Roman"/>
                <w:b/>
                <w:bCs/>
                <w:color w:val="auto"/>
                <w:sz w:val="24"/>
              </w:rPr>
              <w:t>相符性分析</w:t>
            </w:r>
          </w:p>
          <w:p w14:paraId="1A7409E1">
            <w:pPr>
              <w:tabs>
                <w:tab w:val="left" w:pos="1095"/>
              </w:tabs>
              <w:spacing w:line="360" w:lineRule="auto"/>
              <w:ind w:firstLine="480" w:firstLineChars="200"/>
              <w:rPr>
                <w:rFonts w:hint="eastAsia"/>
                <w:color w:val="auto"/>
                <w:sz w:val="24"/>
                <w:lang w:val="en-US" w:eastAsia="zh-CN"/>
              </w:rPr>
            </w:pPr>
            <w:r>
              <w:rPr>
                <w:rFonts w:hint="eastAsia" w:ascii="Times New Roman" w:hAnsi="Times New Roman" w:eastAsia="宋体" w:cs="Times New Roman"/>
                <w:color w:val="auto"/>
                <w:sz w:val="24"/>
                <w:lang w:val="en-US" w:eastAsia="zh-CN"/>
              </w:rPr>
              <w:t>本项目</w:t>
            </w:r>
            <w:r>
              <w:rPr>
                <w:color w:val="auto"/>
                <w:sz w:val="24"/>
              </w:rPr>
              <w:t>位于</w:t>
            </w:r>
            <w:r>
              <w:rPr>
                <w:rFonts w:hint="eastAsia"/>
                <w:color w:val="auto"/>
                <w:sz w:val="24"/>
              </w:rPr>
              <w:t>淮安市淮阴区马头镇东港路一号</w:t>
            </w:r>
            <w:r>
              <w:rPr>
                <w:rFonts w:hint="eastAsia"/>
                <w:color w:val="auto"/>
                <w:sz w:val="24"/>
                <w:lang w:eastAsia="zh-CN"/>
              </w:rPr>
              <w:t>，</w:t>
            </w:r>
            <w:r>
              <w:rPr>
                <w:rFonts w:hint="eastAsia"/>
                <w:color w:val="auto"/>
                <w:sz w:val="24"/>
                <w:lang w:val="en-US" w:eastAsia="zh-CN"/>
              </w:rPr>
              <w:t>项目所在地南侧有3处市级文物保护单位，名称分别为清口灵运记碑、太平涵洞、康熙御坝，东北侧有3处文物保护单位，名称分别为淮阴故城遗址、马头石狮、韩侯故里遗址。本项目距离最近的文物保护单位为清口灵运记碑，根据市政府关于公布新增第四批市级文物保护单位的通知（淮政发[2014]44号），清口灵运记碑保护范围为本体四周向外扩15米，建控地带为东至保护范围东线外35米，南至保护范围南线外35米，西至保护范围西线外30米，北至保护范围北线外25米。本项目厂房区域与该文物保护单位保护范围的外边界最近距离为562m，不在其保护范围内，本项目建设与文物保护相关法律的相符性分析详见表1-9。</w:t>
            </w:r>
          </w:p>
          <w:p w14:paraId="1975D4C3">
            <w:pPr>
              <w:widowControl/>
              <w:snapToGrid w:val="0"/>
              <w:jc w:val="center"/>
              <w:rPr>
                <w:rFonts w:hint="eastAsia" w:ascii="Times New Roman" w:hAnsi="Times New Roman" w:cs="Times New Roman"/>
                <w:b/>
                <w:color w:val="auto"/>
                <w:sz w:val="24"/>
                <w:lang w:val="zh-CN"/>
              </w:rPr>
            </w:pPr>
            <w:r>
              <w:rPr>
                <w:rFonts w:hint="eastAsia" w:ascii="Times New Roman" w:hAnsi="Times New Roman" w:cs="Times New Roman"/>
                <w:b/>
                <w:color w:val="auto"/>
                <w:sz w:val="24"/>
                <w:lang w:val="zh-CN"/>
              </w:rPr>
              <w:t>表1-</w:t>
            </w:r>
            <w:r>
              <w:rPr>
                <w:rFonts w:hint="eastAsia" w:cs="Times New Roman"/>
                <w:b/>
                <w:color w:val="auto"/>
                <w:sz w:val="24"/>
                <w:lang w:val="en-US" w:eastAsia="zh-CN"/>
              </w:rPr>
              <w:t>9</w:t>
            </w:r>
            <w:r>
              <w:rPr>
                <w:rFonts w:hint="eastAsia" w:ascii="Times New Roman" w:hAnsi="Times New Roman" w:cs="Times New Roman"/>
                <w:b/>
                <w:color w:val="auto"/>
                <w:sz w:val="24"/>
                <w:lang w:val="zh-CN"/>
              </w:rPr>
              <w:t xml:space="preserve"> </w:t>
            </w:r>
            <w:r>
              <w:rPr>
                <w:rFonts w:hint="eastAsia" w:ascii="Times New Roman" w:hAnsi="Times New Roman" w:cs="Times New Roman"/>
                <w:b/>
                <w:color w:val="auto"/>
                <w:sz w:val="24"/>
                <w:lang w:val="en-US" w:eastAsia="zh-CN"/>
              </w:rPr>
              <w:t>本</w:t>
            </w:r>
            <w:r>
              <w:rPr>
                <w:rFonts w:hint="eastAsia" w:ascii="Times New Roman" w:hAnsi="Times New Roman" w:cs="Times New Roman"/>
                <w:b/>
                <w:color w:val="auto"/>
                <w:sz w:val="24"/>
                <w:lang w:val="zh-CN"/>
              </w:rPr>
              <w:t>项目与</w:t>
            </w:r>
            <w:r>
              <w:rPr>
                <w:rFonts w:hint="eastAsia" w:cs="Times New Roman"/>
                <w:b/>
                <w:color w:val="auto"/>
                <w:sz w:val="24"/>
                <w:lang w:val="en-US" w:eastAsia="zh-CN"/>
              </w:rPr>
              <w:t>中华人民共和国文物保护法（2017年修正）的</w:t>
            </w:r>
            <w:r>
              <w:rPr>
                <w:rFonts w:hint="eastAsia" w:ascii="Times New Roman" w:hAnsi="Times New Roman" w:cs="Times New Roman"/>
                <w:b/>
                <w:color w:val="auto"/>
                <w:sz w:val="24"/>
                <w:lang w:val="zh-CN"/>
              </w:rPr>
              <w:t>相符性分析</w:t>
            </w:r>
          </w:p>
          <w:tbl>
            <w:tblPr>
              <w:tblStyle w:val="89"/>
              <w:tblW w:w="717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4"/>
              <w:gridCol w:w="4542"/>
              <w:gridCol w:w="1350"/>
              <w:gridCol w:w="849"/>
            </w:tblGrid>
            <w:tr w14:paraId="55539C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4" w:type="dxa"/>
                  <w:vAlign w:val="center"/>
                </w:tcPr>
                <w:p w14:paraId="70BF2454">
                  <w:pPr>
                    <w:keepNext w:val="0"/>
                    <w:keepLines w:val="0"/>
                    <w:pageBreakBefore w:val="0"/>
                    <w:widowControl w:val="0"/>
                    <w:tabs>
                      <w:tab w:val="left" w:pos="109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序号</w:t>
                  </w:r>
                </w:p>
              </w:tc>
              <w:tc>
                <w:tcPr>
                  <w:tcW w:w="4542" w:type="dxa"/>
                  <w:vAlign w:val="center"/>
                </w:tcPr>
                <w:p w14:paraId="6CB9F6E5">
                  <w:pPr>
                    <w:keepNext w:val="0"/>
                    <w:keepLines w:val="0"/>
                    <w:pageBreakBefore w:val="0"/>
                    <w:widowControl w:val="0"/>
                    <w:tabs>
                      <w:tab w:val="left" w:pos="109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办法内容</w:t>
                  </w:r>
                </w:p>
              </w:tc>
              <w:tc>
                <w:tcPr>
                  <w:tcW w:w="1350" w:type="dxa"/>
                  <w:vAlign w:val="center"/>
                </w:tcPr>
                <w:p w14:paraId="6D93F4E8">
                  <w:pPr>
                    <w:keepNext w:val="0"/>
                    <w:keepLines w:val="0"/>
                    <w:pageBreakBefore w:val="0"/>
                    <w:widowControl w:val="0"/>
                    <w:tabs>
                      <w:tab w:val="left" w:pos="109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本项目情况</w:t>
                  </w:r>
                </w:p>
              </w:tc>
              <w:tc>
                <w:tcPr>
                  <w:tcW w:w="849" w:type="dxa"/>
                  <w:vAlign w:val="center"/>
                </w:tcPr>
                <w:p w14:paraId="4F72CD7F">
                  <w:pPr>
                    <w:keepNext w:val="0"/>
                    <w:keepLines w:val="0"/>
                    <w:pageBreakBefore w:val="0"/>
                    <w:widowControl w:val="0"/>
                    <w:tabs>
                      <w:tab w:val="left" w:pos="109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color w:val="auto"/>
                      <w:sz w:val="21"/>
                      <w:szCs w:val="21"/>
                      <w:vertAlign w:val="baseline"/>
                      <w:lang w:val="en-US" w:eastAsia="zh-CN"/>
                    </w:rPr>
                  </w:pPr>
                  <w:r>
                    <w:rPr>
                      <w:rFonts w:hint="default" w:ascii="Times New Roman" w:hAnsi="Times New Roman" w:eastAsia="宋体" w:cs="Times New Roman"/>
                      <w:b/>
                      <w:bCs/>
                      <w:color w:val="auto"/>
                      <w:sz w:val="21"/>
                      <w:szCs w:val="21"/>
                      <w:vertAlign w:val="baseline"/>
                      <w:lang w:val="en-US" w:eastAsia="zh-CN"/>
                    </w:rPr>
                    <w:t>相符性判定</w:t>
                  </w:r>
                </w:p>
              </w:tc>
            </w:tr>
            <w:tr w14:paraId="08CAB5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4" w:type="dxa"/>
                  <w:vAlign w:val="center"/>
                </w:tcPr>
                <w:p w14:paraId="14CB9837">
                  <w:pPr>
                    <w:keepNext w:val="0"/>
                    <w:keepLines w:val="0"/>
                    <w:pageBreakBefore w:val="0"/>
                    <w:widowControl w:val="0"/>
                    <w:tabs>
                      <w:tab w:val="left" w:pos="109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1</w:t>
                  </w:r>
                </w:p>
              </w:tc>
              <w:tc>
                <w:tcPr>
                  <w:tcW w:w="4542" w:type="dxa"/>
                  <w:vAlign w:val="center"/>
                </w:tcPr>
                <w:p w14:paraId="38CA1B5F">
                  <w:pPr>
                    <w:keepNext w:val="0"/>
                    <w:keepLines w:val="0"/>
                    <w:pageBreakBefore w:val="0"/>
                    <w:widowControl w:val="0"/>
                    <w:tabs>
                      <w:tab w:val="left" w:pos="1095"/>
                    </w:tabs>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第十七条</w:t>
                  </w:r>
                  <w:r>
                    <w:rPr>
                      <w:rFonts w:hint="eastAsia" w:ascii="Times New Roman" w:hAnsi="Times New Roman" w:eastAsia="宋体" w:cs="Times New Roman"/>
                      <w:color w:val="auto"/>
                      <w:sz w:val="21"/>
                      <w:szCs w:val="21"/>
                      <w:vertAlign w:val="baseline"/>
                      <w:lang w:val="en-US" w:eastAsia="zh-CN"/>
                    </w:rPr>
                    <w:t xml:space="preserve"> </w:t>
                  </w:r>
                  <w:r>
                    <w:rPr>
                      <w:rFonts w:hint="default" w:ascii="Times New Roman" w:hAnsi="Times New Roman" w:eastAsia="宋体" w:cs="Times New Roman"/>
                      <w:color w:val="auto"/>
                      <w:sz w:val="21"/>
                      <w:szCs w:val="21"/>
                      <w:vertAlign w:val="baseline"/>
                      <w:lang w:val="en-US" w:eastAsia="zh-CN"/>
                    </w:rPr>
                    <w:t>文物保护单位的保护范围内不得进行其他建设工程或者爆破、钻探、挖掘等作业。但是，因特殊情况需要在文物保护单位的保护范围内进行其他建设工程或者爆破、钻探、挖掘等作业的，必须保证文物保护单位的安全，并经核定公布该文物保护单位的人民政府批准，在批准前应当征得上一级人民政府文物行政部门同意</w:t>
                  </w:r>
                  <w:r>
                    <w:rPr>
                      <w:rFonts w:hint="eastAsia" w:ascii="Times New Roman" w:hAnsi="Times New Roman" w:eastAsia="宋体" w:cs="Times New Roman"/>
                      <w:color w:val="auto"/>
                      <w:sz w:val="21"/>
                      <w:szCs w:val="21"/>
                      <w:vertAlign w:val="baseline"/>
                      <w:lang w:val="en-US" w:eastAsia="zh-CN"/>
                    </w:rPr>
                    <w:t>。</w:t>
                  </w:r>
                </w:p>
              </w:tc>
              <w:tc>
                <w:tcPr>
                  <w:tcW w:w="1350" w:type="dxa"/>
                  <w:vAlign w:val="center"/>
                </w:tcPr>
                <w:p w14:paraId="27BA71F4">
                  <w:pPr>
                    <w:keepNext w:val="0"/>
                    <w:keepLines w:val="0"/>
                    <w:pageBreakBefore w:val="0"/>
                    <w:widowControl w:val="0"/>
                    <w:tabs>
                      <w:tab w:val="left" w:pos="1095"/>
                    </w:tabs>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本项目距离最近文物保护单位保护范围边界约562m，不在文物保护单位的保护范围内。</w:t>
                  </w:r>
                </w:p>
              </w:tc>
              <w:tc>
                <w:tcPr>
                  <w:tcW w:w="849" w:type="dxa"/>
                  <w:vAlign w:val="center"/>
                </w:tcPr>
                <w:p w14:paraId="3A46DEBF">
                  <w:pPr>
                    <w:keepNext w:val="0"/>
                    <w:keepLines w:val="0"/>
                    <w:pageBreakBefore w:val="0"/>
                    <w:widowControl w:val="0"/>
                    <w:tabs>
                      <w:tab w:val="left" w:pos="109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符合</w:t>
                  </w:r>
                </w:p>
              </w:tc>
            </w:tr>
            <w:tr w14:paraId="46886B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4" w:type="dxa"/>
                  <w:vAlign w:val="center"/>
                </w:tcPr>
                <w:p w14:paraId="237B8D92">
                  <w:pPr>
                    <w:keepNext w:val="0"/>
                    <w:keepLines w:val="0"/>
                    <w:pageBreakBefore w:val="0"/>
                    <w:widowControl w:val="0"/>
                    <w:tabs>
                      <w:tab w:val="left" w:pos="109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2</w:t>
                  </w:r>
                </w:p>
              </w:tc>
              <w:tc>
                <w:tcPr>
                  <w:tcW w:w="4542" w:type="dxa"/>
                  <w:vAlign w:val="center"/>
                </w:tcPr>
                <w:p w14:paraId="4AADAE9B">
                  <w:pPr>
                    <w:keepNext w:val="0"/>
                    <w:keepLines w:val="0"/>
                    <w:pageBreakBefore w:val="0"/>
                    <w:widowControl w:val="0"/>
                    <w:tabs>
                      <w:tab w:val="left" w:pos="1095"/>
                    </w:tabs>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第十九条</w:t>
                  </w:r>
                  <w:r>
                    <w:rPr>
                      <w:rFonts w:hint="eastAsia" w:ascii="Times New Roman" w:hAnsi="Times New Roman" w:eastAsia="宋体" w:cs="Times New Roman"/>
                      <w:color w:val="auto"/>
                      <w:sz w:val="21"/>
                      <w:szCs w:val="21"/>
                      <w:vertAlign w:val="baseline"/>
                      <w:lang w:val="en-US" w:eastAsia="zh-CN"/>
                    </w:rPr>
                    <w:t xml:space="preserve"> </w:t>
                  </w:r>
                  <w:r>
                    <w:rPr>
                      <w:rFonts w:hint="default" w:ascii="Times New Roman" w:hAnsi="Times New Roman" w:eastAsia="宋体" w:cs="Times New Roman"/>
                      <w:color w:val="auto"/>
                      <w:sz w:val="21"/>
                      <w:szCs w:val="21"/>
                      <w:vertAlign w:val="baseline"/>
                      <w:lang w:val="en-US" w:eastAsia="zh-CN"/>
                    </w:rPr>
                    <w:t>在文物保护单位的保护范围和建设控制地带内，不得建设污染文物保护单位及其环境的设施，不得进行可能影响文物保护单位安全及其环境的活动。对已有的污染文物保护单位及其环境的设施，应当限期治理。</w:t>
                  </w:r>
                </w:p>
              </w:tc>
              <w:tc>
                <w:tcPr>
                  <w:tcW w:w="1350" w:type="dxa"/>
                  <w:vAlign w:val="center"/>
                </w:tcPr>
                <w:p w14:paraId="02A49D33">
                  <w:pPr>
                    <w:keepNext w:val="0"/>
                    <w:keepLines w:val="0"/>
                    <w:pageBreakBefore w:val="0"/>
                    <w:widowControl w:val="0"/>
                    <w:tabs>
                      <w:tab w:val="left" w:pos="1095"/>
                    </w:tabs>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本项目不在文物保护单位的保护范围和建设控制地带内。</w:t>
                  </w:r>
                </w:p>
              </w:tc>
              <w:tc>
                <w:tcPr>
                  <w:tcW w:w="849" w:type="dxa"/>
                  <w:vAlign w:val="center"/>
                </w:tcPr>
                <w:p w14:paraId="576F53B7">
                  <w:pPr>
                    <w:keepNext w:val="0"/>
                    <w:keepLines w:val="0"/>
                    <w:pageBreakBefore w:val="0"/>
                    <w:widowControl w:val="0"/>
                    <w:tabs>
                      <w:tab w:val="left" w:pos="109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符合</w:t>
                  </w:r>
                </w:p>
              </w:tc>
            </w:tr>
            <w:tr w14:paraId="4F1511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434" w:type="dxa"/>
                  <w:vAlign w:val="center"/>
                </w:tcPr>
                <w:p w14:paraId="06FACFBC">
                  <w:pPr>
                    <w:keepNext w:val="0"/>
                    <w:keepLines w:val="0"/>
                    <w:pageBreakBefore w:val="0"/>
                    <w:widowControl w:val="0"/>
                    <w:tabs>
                      <w:tab w:val="left" w:pos="109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3</w:t>
                  </w:r>
                </w:p>
              </w:tc>
              <w:tc>
                <w:tcPr>
                  <w:tcW w:w="4542" w:type="dxa"/>
                  <w:vAlign w:val="center"/>
                </w:tcPr>
                <w:p w14:paraId="3D6344F4">
                  <w:pPr>
                    <w:keepNext w:val="0"/>
                    <w:keepLines w:val="0"/>
                    <w:pageBreakBefore w:val="0"/>
                    <w:widowControl w:val="0"/>
                    <w:tabs>
                      <w:tab w:val="left" w:pos="1095"/>
                    </w:tabs>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color w:val="auto"/>
                      <w:sz w:val="21"/>
                      <w:szCs w:val="21"/>
                      <w:vertAlign w:val="baseline"/>
                      <w:lang w:val="en-US" w:eastAsia="zh-CN"/>
                    </w:rPr>
                  </w:pPr>
                  <w:r>
                    <w:rPr>
                      <w:rFonts w:hint="default" w:ascii="Times New Roman" w:hAnsi="Times New Roman" w:eastAsia="宋体" w:cs="Times New Roman"/>
                      <w:color w:val="auto"/>
                      <w:sz w:val="21"/>
                      <w:szCs w:val="21"/>
                      <w:vertAlign w:val="baseline"/>
                      <w:lang w:val="en-US" w:eastAsia="zh-CN"/>
                    </w:rPr>
                    <w:t>第二十条</w:t>
                  </w:r>
                  <w:r>
                    <w:rPr>
                      <w:rFonts w:hint="eastAsia" w:ascii="Times New Roman" w:hAnsi="Times New Roman" w:eastAsia="宋体" w:cs="Times New Roman"/>
                      <w:color w:val="auto"/>
                      <w:sz w:val="21"/>
                      <w:szCs w:val="21"/>
                      <w:vertAlign w:val="baseline"/>
                      <w:lang w:val="en-US" w:eastAsia="zh-CN"/>
                    </w:rPr>
                    <w:t xml:space="preserve"> </w:t>
                  </w:r>
                  <w:r>
                    <w:rPr>
                      <w:rFonts w:hint="default" w:ascii="Times New Roman" w:hAnsi="Times New Roman" w:eastAsia="宋体" w:cs="Times New Roman"/>
                      <w:color w:val="auto"/>
                      <w:sz w:val="21"/>
                      <w:szCs w:val="21"/>
                      <w:vertAlign w:val="baseline"/>
                      <w:lang w:val="en-US" w:eastAsia="zh-CN"/>
                    </w:rPr>
                    <w:t>建设工程选址，应当尽可能避开不可移动文物</w:t>
                  </w:r>
                  <w:r>
                    <w:rPr>
                      <w:rFonts w:hint="eastAsia" w:ascii="Times New Roman" w:hAnsi="Times New Roman" w:eastAsia="宋体" w:cs="Times New Roman"/>
                      <w:color w:val="auto"/>
                      <w:sz w:val="21"/>
                      <w:szCs w:val="21"/>
                      <w:vertAlign w:val="baseline"/>
                      <w:lang w:val="en-US" w:eastAsia="zh-CN"/>
                    </w:rPr>
                    <w:t>：</w:t>
                  </w:r>
                  <w:r>
                    <w:rPr>
                      <w:rFonts w:hint="default" w:ascii="Times New Roman" w:hAnsi="Times New Roman" w:eastAsia="宋体" w:cs="Times New Roman"/>
                      <w:color w:val="auto"/>
                      <w:sz w:val="21"/>
                      <w:szCs w:val="21"/>
                      <w:vertAlign w:val="baseline"/>
                      <w:lang w:val="en-US" w:eastAsia="zh-CN"/>
                    </w:rPr>
                    <w:t>因特殊情况不能避开的，对文物保护单位应当尽可能实施原址保护。实施原址保护的，建设单位应当事先确定保护措施，根据文物保护单位的级别报相应的文物行政部门批准</w:t>
                  </w:r>
                  <w:r>
                    <w:rPr>
                      <w:rFonts w:hint="eastAsia" w:ascii="Times New Roman" w:hAnsi="Times New Roman" w:eastAsia="宋体" w:cs="Times New Roman"/>
                      <w:color w:val="auto"/>
                      <w:sz w:val="21"/>
                      <w:szCs w:val="21"/>
                      <w:vertAlign w:val="baseline"/>
                      <w:lang w:val="en-US" w:eastAsia="zh-CN"/>
                    </w:rPr>
                    <w:t>；</w:t>
                  </w:r>
                  <w:r>
                    <w:rPr>
                      <w:rFonts w:hint="default" w:ascii="Times New Roman" w:hAnsi="Times New Roman" w:eastAsia="宋体" w:cs="Times New Roman"/>
                      <w:color w:val="auto"/>
                      <w:sz w:val="21"/>
                      <w:szCs w:val="21"/>
                      <w:vertAlign w:val="baseline"/>
                      <w:lang w:val="en-US" w:eastAsia="zh-CN"/>
                    </w:rPr>
                    <w:t>未经批准的，不得开工建设。无法实施原址保护，必须迁移异地保护或者拆除的，应当报省、自治区、直辖市人民政府批准。</w:t>
                  </w:r>
                </w:p>
              </w:tc>
              <w:tc>
                <w:tcPr>
                  <w:tcW w:w="1350" w:type="dxa"/>
                  <w:vAlign w:val="center"/>
                </w:tcPr>
                <w:p w14:paraId="6E97A6D7">
                  <w:pPr>
                    <w:keepNext w:val="0"/>
                    <w:keepLines w:val="0"/>
                    <w:pageBreakBefore w:val="0"/>
                    <w:widowControl w:val="0"/>
                    <w:tabs>
                      <w:tab w:val="left" w:pos="1095"/>
                    </w:tabs>
                    <w:kinsoku/>
                    <w:wordWrap/>
                    <w:overflowPunct/>
                    <w:topLinePunct w:val="0"/>
                    <w:autoSpaceDE/>
                    <w:autoSpaceDN/>
                    <w:bidi w:val="0"/>
                    <w:adjustRightInd/>
                    <w:snapToGrid/>
                    <w:spacing w:line="240" w:lineRule="auto"/>
                    <w:jc w:val="both"/>
                    <w:textAlignment w:val="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本项目不涉及。</w:t>
                  </w:r>
                </w:p>
              </w:tc>
              <w:tc>
                <w:tcPr>
                  <w:tcW w:w="849" w:type="dxa"/>
                  <w:vAlign w:val="center"/>
                </w:tcPr>
                <w:p w14:paraId="6430929E">
                  <w:pPr>
                    <w:keepNext w:val="0"/>
                    <w:keepLines w:val="0"/>
                    <w:pageBreakBefore w:val="0"/>
                    <w:widowControl w:val="0"/>
                    <w:tabs>
                      <w:tab w:val="left" w:pos="1095"/>
                    </w:tabs>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color w:val="auto"/>
                      <w:sz w:val="21"/>
                      <w:szCs w:val="21"/>
                      <w:vertAlign w:val="baseline"/>
                      <w:lang w:val="en-US" w:eastAsia="zh-CN"/>
                    </w:rPr>
                  </w:pPr>
                  <w:r>
                    <w:rPr>
                      <w:rFonts w:hint="eastAsia" w:ascii="Times New Roman" w:hAnsi="Times New Roman" w:eastAsia="宋体" w:cs="Times New Roman"/>
                      <w:color w:val="auto"/>
                      <w:sz w:val="21"/>
                      <w:szCs w:val="21"/>
                      <w:vertAlign w:val="baseline"/>
                      <w:lang w:val="en-US" w:eastAsia="zh-CN"/>
                    </w:rPr>
                    <w:t>符合</w:t>
                  </w:r>
                </w:p>
              </w:tc>
            </w:tr>
          </w:tbl>
          <w:p w14:paraId="6CA418C9">
            <w:pPr>
              <w:pStyle w:val="46"/>
              <w:ind w:left="0" w:leftChars="0" w:firstLine="0" w:firstLineChars="0"/>
              <w:rPr>
                <w:color w:val="auto"/>
              </w:rPr>
            </w:pPr>
          </w:p>
        </w:tc>
      </w:tr>
    </w:tbl>
    <w:p w14:paraId="17382059">
      <w:pPr>
        <w:rPr>
          <w:b/>
          <w:bCs/>
          <w:snapToGrid w:val="0"/>
          <w:color w:val="auto"/>
          <w:sz w:val="30"/>
          <w:szCs w:val="30"/>
        </w:rPr>
      </w:pPr>
      <w:r>
        <w:rPr>
          <w:b/>
          <w:bCs/>
          <w:snapToGrid w:val="0"/>
          <w:color w:val="auto"/>
          <w:sz w:val="30"/>
          <w:szCs w:val="30"/>
        </w:rPr>
        <w:br w:type="page"/>
      </w:r>
    </w:p>
    <w:p w14:paraId="1738205A">
      <w:pPr>
        <w:pStyle w:val="81"/>
        <w:spacing w:after="0" w:afterAutospacing="0"/>
        <w:jc w:val="center"/>
        <w:outlineLvl w:val="0"/>
        <w:rPr>
          <w:rFonts w:ascii="Times New Roman" w:hAnsi="Times New Roman"/>
          <w:snapToGrid w:val="0"/>
          <w:color w:val="auto"/>
          <w:sz w:val="30"/>
          <w:szCs w:val="30"/>
        </w:rPr>
      </w:pPr>
      <w:r>
        <w:rPr>
          <w:rFonts w:ascii="Times New Roman" w:hAnsi="Times New Roman"/>
          <w:b/>
          <w:bCs/>
          <w:snapToGrid w:val="0"/>
          <w:color w:val="auto"/>
          <w:sz w:val="30"/>
          <w:szCs w:val="30"/>
        </w:rPr>
        <w:t>二、建设项目工程分析</w:t>
      </w:r>
    </w:p>
    <w:tbl>
      <w:tblPr>
        <w:tblStyle w:val="88"/>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40"/>
        <w:gridCol w:w="8620"/>
      </w:tblGrid>
      <w:tr w14:paraId="173821C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92" w:type="dxa"/>
            <w:vAlign w:val="center"/>
          </w:tcPr>
          <w:p w14:paraId="1738205B">
            <w:pPr>
              <w:pStyle w:val="81"/>
              <w:adjustRightInd w:val="0"/>
              <w:snapToGrid w:val="0"/>
              <w:spacing w:before="0" w:beforeAutospacing="0" w:after="0" w:afterAutospacing="0"/>
              <w:jc w:val="center"/>
              <w:rPr>
                <w:rFonts w:ascii="Times New Roman" w:hAnsi="Times New Roman"/>
                <w:color w:val="auto"/>
                <w:szCs w:val="24"/>
                <w:lang w:val="en-US"/>
              </w:rPr>
            </w:pPr>
            <w:r>
              <w:rPr>
                <w:rFonts w:ascii="Times New Roman" w:hAnsi="Times New Roman"/>
                <w:color w:val="auto"/>
                <w:szCs w:val="24"/>
                <w:lang w:val="en-US"/>
              </w:rPr>
              <w:t>建设内容</w:t>
            </w:r>
          </w:p>
        </w:tc>
        <w:tc>
          <w:tcPr>
            <w:tcW w:w="8668" w:type="dxa"/>
          </w:tcPr>
          <w:p w14:paraId="1738205C">
            <w:pPr>
              <w:autoSpaceDE w:val="0"/>
              <w:autoSpaceDN w:val="0"/>
              <w:adjustRightInd w:val="0"/>
              <w:snapToGrid w:val="0"/>
              <w:spacing w:line="360" w:lineRule="auto"/>
              <w:ind w:firstLine="482" w:firstLineChars="200"/>
              <w:rPr>
                <w:b/>
                <w:bCs/>
                <w:color w:val="auto"/>
                <w:sz w:val="24"/>
              </w:rPr>
            </w:pPr>
            <w:r>
              <w:rPr>
                <w:b/>
                <w:bCs/>
                <w:color w:val="auto"/>
                <w:sz w:val="24"/>
              </w:rPr>
              <w:t>1</w:t>
            </w:r>
            <w:r>
              <w:rPr>
                <w:rFonts w:hint="eastAsia"/>
                <w:b/>
                <w:bCs/>
                <w:color w:val="auto"/>
                <w:sz w:val="24"/>
              </w:rPr>
              <w:t>、</w:t>
            </w:r>
            <w:r>
              <w:rPr>
                <w:b/>
                <w:bCs/>
                <w:color w:val="auto"/>
                <w:sz w:val="24"/>
              </w:rPr>
              <w:t>项目由来</w:t>
            </w:r>
          </w:p>
          <w:p w14:paraId="1738205D">
            <w:pPr>
              <w:widowControl/>
              <w:adjustRightInd w:val="0"/>
              <w:snapToGrid w:val="0"/>
              <w:spacing w:line="360" w:lineRule="auto"/>
              <w:ind w:firstLine="480" w:firstLineChars="200"/>
              <w:jc w:val="left"/>
              <w:rPr>
                <w:color w:val="auto"/>
                <w:sz w:val="24"/>
              </w:rPr>
            </w:pPr>
            <w:r>
              <w:rPr>
                <w:rFonts w:hint="eastAsia"/>
                <w:color w:val="auto"/>
                <w:sz w:val="24"/>
              </w:rPr>
              <w:t>本</w:t>
            </w:r>
            <w:r>
              <w:rPr>
                <w:color w:val="auto"/>
                <w:sz w:val="24"/>
              </w:rPr>
              <w:t>项目位于淮安市淮阴区马头镇东港路</w:t>
            </w:r>
            <w:r>
              <w:rPr>
                <w:rFonts w:hint="eastAsia"/>
                <w:color w:val="auto"/>
                <w:sz w:val="24"/>
              </w:rPr>
              <w:t>一号</w:t>
            </w:r>
            <w:r>
              <w:rPr>
                <w:color w:val="auto"/>
                <w:sz w:val="24"/>
              </w:rPr>
              <w:t>，</w:t>
            </w:r>
            <w:r>
              <w:rPr>
                <w:rFonts w:hint="eastAsia"/>
                <w:color w:val="auto"/>
                <w:sz w:val="24"/>
              </w:rPr>
              <w:t>租赁江苏德斯特实业有限公司2号厂房及附属厂房，建筑面积1500平方米，购置</w:t>
            </w:r>
            <w:r>
              <w:rPr>
                <w:rFonts w:hint="eastAsia"/>
                <w:color w:val="auto"/>
                <w:sz w:val="24"/>
                <w:szCs w:val="32"/>
              </w:rPr>
              <w:t>一体化拉挤切割机、注塑机、组装生产线、高频热处理流水线、抛光机、静电喷塑设备、电烘箱、抛丸机等生产及</w:t>
            </w:r>
            <w:r>
              <w:rPr>
                <w:rFonts w:hint="eastAsia"/>
                <w:color w:val="auto"/>
                <w:sz w:val="24"/>
              </w:rPr>
              <w:t>辅助设备建设五金工具加工项目，项目建成后将形成年产锤子60万支、农用及花园工具斧头、锹等10万支的生产能力。</w:t>
            </w:r>
          </w:p>
          <w:p w14:paraId="1738205E">
            <w:pPr>
              <w:widowControl/>
              <w:adjustRightInd w:val="0"/>
              <w:snapToGrid w:val="0"/>
              <w:spacing w:line="360" w:lineRule="auto"/>
              <w:ind w:firstLine="480" w:firstLineChars="200"/>
              <w:jc w:val="left"/>
              <w:rPr>
                <w:color w:val="auto"/>
                <w:sz w:val="24"/>
              </w:rPr>
            </w:pPr>
            <w:r>
              <w:rPr>
                <w:rFonts w:hint="eastAsia"/>
                <w:color w:val="auto"/>
                <w:sz w:val="24"/>
              </w:rPr>
              <w:t>本项目于2024年10月22日取得淮安市淮阴区政务服务管理办公室的备案，备案证号：淮阴区数据投资备〔2024〕94号，项目代码：2410-320804-89-01-487944。</w:t>
            </w:r>
          </w:p>
          <w:p w14:paraId="1738205F">
            <w:pPr>
              <w:widowControl/>
              <w:adjustRightInd w:val="0"/>
              <w:snapToGrid w:val="0"/>
              <w:spacing w:line="360" w:lineRule="auto"/>
              <w:ind w:firstLine="480" w:firstLineChars="200"/>
              <w:jc w:val="left"/>
              <w:rPr>
                <w:color w:val="auto"/>
                <w:sz w:val="24"/>
              </w:rPr>
            </w:pPr>
            <w:r>
              <w:rPr>
                <w:rFonts w:hint="eastAsia"/>
                <w:color w:val="auto"/>
                <w:sz w:val="24"/>
              </w:rPr>
              <w:t>本次建设内容为五金工具加工项目，产品为锤子、农用及花园工具斧头、锹等，对应《国民经济行业分类》（GB/T4754-2017）及第1号修改单中的行业类别、《建设项目环境影响评价分类管理名录（2021年版）》中环评类别见表2-1。</w:t>
            </w:r>
          </w:p>
          <w:p w14:paraId="17382060">
            <w:pPr>
              <w:widowControl/>
              <w:adjustRightInd w:val="0"/>
              <w:snapToGrid w:val="0"/>
              <w:jc w:val="center"/>
              <w:rPr>
                <w:b/>
                <w:color w:val="auto"/>
                <w:kern w:val="0"/>
                <w:sz w:val="24"/>
              </w:rPr>
            </w:pPr>
            <w:r>
              <w:rPr>
                <w:b/>
                <w:color w:val="auto"/>
                <w:kern w:val="0"/>
                <w:sz w:val="24"/>
              </w:rPr>
              <w:t>表2-1 建设项目环评类别判定表</w:t>
            </w:r>
          </w:p>
          <w:tbl>
            <w:tblPr>
              <w:tblStyle w:val="88"/>
              <w:tblW w:w="8390"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28" w:type="dxa"/>
                <w:bottom w:w="0" w:type="dxa"/>
                <w:right w:w="28" w:type="dxa"/>
              </w:tblCellMar>
            </w:tblPr>
            <w:tblGrid>
              <w:gridCol w:w="1435"/>
              <w:gridCol w:w="2349"/>
              <w:gridCol w:w="1607"/>
              <w:gridCol w:w="2025"/>
              <w:gridCol w:w="974"/>
            </w:tblGrid>
            <w:tr w14:paraId="1738206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632" w:hRule="atLeast"/>
                <w:jc w:val="center"/>
              </w:trPr>
              <w:tc>
                <w:tcPr>
                  <w:tcW w:w="1435" w:type="dxa"/>
                  <w:tcBorders>
                    <w:top w:val="single" w:color="auto" w:sz="12" w:space="0"/>
                    <w:bottom w:val="single" w:color="auto" w:sz="2" w:space="0"/>
                    <w:right w:val="single" w:color="auto" w:sz="2" w:space="0"/>
                  </w:tcBorders>
                  <w:vAlign w:val="center"/>
                </w:tcPr>
                <w:p w14:paraId="17382061">
                  <w:pPr>
                    <w:widowControl/>
                    <w:autoSpaceDE w:val="0"/>
                    <w:autoSpaceDN w:val="0"/>
                    <w:adjustRightInd w:val="0"/>
                    <w:snapToGrid w:val="0"/>
                    <w:jc w:val="center"/>
                    <w:rPr>
                      <w:b/>
                      <w:color w:val="auto"/>
                      <w:kern w:val="0"/>
                      <w:szCs w:val="21"/>
                    </w:rPr>
                  </w:pPr>
                  <w:r>
                    <w:rPr>
                      <w:b/>
                      <w:color w:val="auto"/>
                      <w:kern w:val="0"/>
                      <w:szCs w:val="21"/>
                    </w:rPr>
                    <w:t>行业类别</w:t>
                  </w:r>
                </w:p>
              </w:tc>
              <w:tc>
                <w:tcPr>
                  <w:tcW w:w="2349" w:type="dxa"/>
                  <w:tcBorders>
                    <w:top w:val="single" w:color="auto" w:sz="12" w:space="0"/>
                    <w:left w:val="single" w:color="auto" w:sz="2" w:space="0"/>
                    <w:bottom w:val="single" w:color="auto" w:sz="2" w:space="0"/>
                    <w:right w:val="single" w:color="auto" w:sz="2" w:space="0"/>
                    <w:tl2br w:val="single" w:color="auto" w:sz="4" w:space="0"/>
                  </w:tcBorders>
                  <w:vAlign w:val="center"/>
                </w:tcPr>
                <w:p w14:paraId="17382062">
                  <w:pPr>
                    <w:widowControl/>
                    <w:autoSpaceDE w:val="0"/>
                    <w:autoSpaceDN w:val="0"/>
                    <w:adjustRightInd w:val="0"/>
                    <w:snapToGrid w:val="0"/>
                    <w:jc w:val="center"/>
                    <w:rPr>
                      <w:b/>
                      <w:color w:val="auto"/>
                      <w:kern w:val="0"/>
                      <w:szCs w:val="21"/>
                    </w:rPr>
                  </w:pPr>
                  <w:r>
                    <w:rPr>
                      <w:b/>
                      <w:color w:val="auto"/>
                      <w:kern w:val="0"/>
                      <w:szCs w:val="21"/>
                    </w:rPr>
                    <w:t xml:space="preserve">     环评类别</w:t>
                  </w:r>
                </w:p>
                <w:p w14:paraId="17382063">
                  <w:pPr>
                    <w:widowControl/>
                    <w:autoSpaceDE w:val="0"/>
                    <w:autoSpaceDN w:val="0"/>
                    <w:adjustRightInd w:val="0"/>
                    <w:snapToGrid w:val="0"/>
                    <w:jc w:val="left"/>
                    <w:rPr>
                      <w:b/>
                      <w:color w:val="auto"/>
                      <w:kern w:val="0"/>
                      <w:szCs w:val="21"/>
                    </w:rPr>
                  </w:pPr>
                  <w:r>
                    <w:rPr>
                      <w:b/>
                      <w:color w:val="auto"/>
                      <w:kern w:val="0"/>
                      <w:szCs w:val="21"/>
                    </w:rPr>
                    <w:t>项目类别</w:t>
                  </w:r>
                </w:p>
              </w:tc>
              <w:tc>
                <w:tcPr>
                  <w:tcW w:w="1607" w:type="dxa"/>
                  <w:tcBorders>
                    <w:top w:val="single" w:color="auto" w:sz="12" w:space="0"/>
                    <w:left w:val="single" w:color="auto" w:sz="2" w:space="0"/>
                    <w:bottom w:val="single" w:color="auto" w:sz="2" w:space="0"/>
                    <w:right w:val="single" w:color="auto" w:sz="2" w:space="0"/>
                  </w:tcBorders>
                  <w:vAlign w:val="center"/>
                </w:tcPr>
                <w:p w14:paraId="17382064">
                  <w:pPr>
                    <w:widowControl/>
                    <w:autoSpaceDE w:val="0"/>
                    <w:autoSpaceDN w:val="0"/>
                    <w:adjustRightInd w:val="0"/>
                    <w:snapToGrid w:val="0"/>
                    <w:jc w:val="center"/>
                    <w:rPr>
                      <w:b/>
                      <w:color w:val="auto"/>
                      <w:kern w:val="0"/>
                      <w:szCs w:val="21"/>
                    </w:rPr>
                  </w:pPr>
                  <w:r>
                    <w:rPr>
                      <w:b/>
                      <w:color w:val="auto"/>
                      <w:kern w:val="0"/>
                      <w:szCs w:val="21"/>
                    </w:rPr>
                    <w:t>报告书</w:t>
                  </w:r>
                </w:p>
              </w:tc>
              <w:tc>
                <w:tcPr>
                  <w:tcW w:w="2025" w:type="dxa"/>
                  <w:tcBorders>
                    <w:top w:val="single" w:color="auto" w:sz="12" w:space="0"/>
                    <w:left w:val="single" w:color="auto" w:sz="2" w:space="0"/>
                    <w:bottom w:val="single" w:color="auto" w:sz="2" w:space="0"/>
                    <w:right w:val="single" w:color="auto" w:sz="2" w:space="0"/>
                  </w:tcBorders>
                  <w:vAlign w:val="center"/>
                </w:tcPr>
                <w:p w14:paraId="17382065">
                  <w:pPr>
                    <w:widowControl/>
                    <w:autoSpaceDE w:val="0"/>
                    <w:autoSpaceDN w:val="0"/>
                    <w:adjustRightInd w:val="0"/>
                    <w:snapToGrid w:val="0"/>
                    <w:jc w:val="center"/>
                    <w:rPr>
                      <w:b/>
                      <w:color w:val="auto"/>
                      <w:kern w:val="0"/>
                      <w:szCs w:val="21"/>
                    </w:rPr>
                  </w:pPr>
                  <w:r>
                    <w:rPr>
                      <w:b/>
                      <w:color w:val="auto"/>
                      <w:kern w:val="0"/>
                      <w:szCs w:val="21"/>
                    </w:rPr>
                    <w:t>报告表</w:t>
                  </w:r>
                </w:p>
              </w:tc>
              <w:tc>
                <w:tcPr>
                  <w:tcW w:w="974" w:type="dxa"/>
                  <w:tcBorders>
                    <w:top w:val="single" w:color="auto" w:sz="12" w:space="0"/>
                    <w:left w:val="single" w:color="auto" w:sz="2" w:space="0"/>
                    <w:bottom w:val="single" w:color="auto" w:sz="2" w:space="0"/>
                  </w:tcBorders>
                  <w:vAlign w:val="center"/>
                </w:tcPr>
                <w:p w14:paraId="17382066">
                  <w:pPr>
                    <w:widowControl/>
                    <w:adjustRightInd w:val="0"/>
                    <w:snapToGrid w:val="0"/>
                    <w:jc w:val="center"/>
                    <w:rPr>
                      <w:b/>
                      <w:color w:val="auto"/>
                      <w:kern w:val="0"/>
                      <w:szCs w:val="21"/>
                    </w:rPr>
                  </w:pPr>
                  <w:r>
                    <w:rPr>
                      <w:b/>
                      <w:color w:val="auto"/>
                      <w:kern w:val="0"/>
                      <w:szCs w:val="21"/>
                    </w:rPr>
                    <w:t>登记表</w:t>
                  </w:r>
                </w:p>
              </w:tc>
            </w:tr>
            <w:tr w14:paraId="1738206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1234" w:hRule="atLeast"/>
                <w:jc w:val="center"/>
              </w:trPr>
              <w:tc>
                <w:tcPr>
                  <w:tcW w:w="1435" w:type="dxa"/>
                  <w:tcBorders>
                    <w:top w:val="single" w:color="auto" w:sz="2" w:space="0"/>
                    <w:bottom w:val="single" w:color="auto" w:sz="2" w:space="0"/>
                    <w:right w:val="single" w:color="auto" w:sz="2" w:space="0"/>
                  </w:tcBorders>
                  <w:vAlign w:val="center"/>
                </w:tcPr>
                <w:p w14:paraId="17382068">
                  <w:pPr>
                    <w:widowControl/>
                    <w:adjustRightInd w:val="0"/>
                    <w:snapToGrid w:val="0"/>
                    <w:jc w:val="center"/>
                    <w:rPr>
                      <w:color w:val="auto"/>
                      <w:szCs w:val="21"/>
                    </w:rPr>
                  </w:pPr>
                  <w:r>
                    <w:rPr>
                      <w:color w:val="auto"/>
                      <w:szCs w:val="21"/>
                    </w:rPr>
                    <w:t>C3062 玻璃纤维增强塑料制品制造</w:t>
                  </w:r>
                </w:p>
              </w:tc>
              <w:tc>
                <w:tcPr>
                  <w:tcW w:w="2349" w:type="dxa"/>
                  <w:tcBorders>
                    <w:top w:val="single" w:color="auto" w:sz="2" w:space="0"/>
                    <w:left w:val="single" w:color="auto" w:sz="2" w:space="0"/>
                    <w:bottom w:val="single" w:color="auto" w:sz="2" w:space="0"/>
                    <w:right w:val="single" w:color="auto" w:sz="2" w:space="0"/>
                  </w:tcBorders>
                  <w:vAlign w:val="center"/>
                </w:tcPr>
                <w:p w14:paraId="17382069">
                  <w:pPr>
                    <w:jc w:val="center"/>
                    <w:rPr>
                      <w:color w:val="auto"/>
                      <w:szCs w:val="21"/>
                    </w:rPr>
                  </w:pPr>
                  <w:r>
                    <w:rPr>
                      <w:color w:val="auto"/>
                      <w:szCs w:val="21"/>
                    </w:rPr>
                    <w:t>二十七、非金属矿物制品业30、58玻璃纤维和玻璃纤维增强塑料制品制造 306</w:t>
                  </w:r>
                </w:p>
              </w:tc>
              <w:tc>
                <w:tcPr>
                  <w:tcW w:w="1607" w:type="dxa"/>
                  <w:tcBorders>
                    <w:top w:val="single" w:color="auto" w:sz="2" w:space="0"/>
                    <w:left w:val="single" w:color="auto" w:sz="2" w:space="0"/>
                    <w:bottom w:val="single" w:color="auto" w:sz="2" w:space="0"/>
                    <w:right w:val="single" w:color="auto" w:sz="2" w:space="0"/>
                  </w:tcBorders>
                  <w:vAlign w:val="center"/>
                </w:tcPr>
                <w:p w14:paraId="1738206A">
                  <w:pPr>
                    <w:jc w:val="center"/>
                    <w:rPr>
                      <w:color w:val="auto"/>
                      <w:szCs w:val="21"/>
                    </w:rPr>
                  </w:pPr>
                  <w:r>
                    <w:rPr>
                      <w:color w:val="auto"/>
                      <w:szCs w:val="21"/>
                    </w:rPr>
                    <w:t>/</w:t>
                  </w:r>
                </w:p>
              </w:tc>
              <w:tc>
                <w:tcPr>
                  <w:tcW w:w="2025" w:type="dxa"/>
                  <w:tcBorders>
                    <w:top w:val="single" w:color="auto" w:sz="2" w:space="0"/>
                    <w:left w:val="single" w:color="auto" w:sz="2" w:space="0"/>
                    <w:bottom w:val="single" w:color="auto" w:sz="2" w:space="0"/>
                    <w:right w:val="single" w:color="auto" w:sz="2" w:space="0"/>
                  </w:tcBorders>
                  <w:vAlign w:val="center"/>
                </w:tcPr>
                <w:p w14:paraId="1738206B">
                  <w:pPr>
                    <w:widowControl/>
                    <w:adjustRightInd w:val="0"/>
                    <w:snapToGrid w:val="0"/>
                    <w:jc w:val="center"/>
                    <w:rPr>
                      <w:b w:val="0"/>
                      <w:bCs w:val="0"/>
                      <w:color w:val="auto"/>
                      <w:kern w:val="0"/>
                      <w:szCs w:val="21"/>
                    </w:rPr>
                  </w:pPr>
                  <w:r>
                    <w:rPr>
                      <w:b w:val="0"/>
                      <w:bCs w:val="0"/>
                      <w:color w:val="auto"/>
                      <w:kern w:val="0"/>
                      <w:szCs w:val="21"/>
                    </w:rPr>
                    <w:t>全部</w:t>
                  </w:r>
                </w:p>
              </w:tc>
              <w:tc>
                <w:tcPr>
                  <w:tcW w:w="974" w:type="dxa"/>
                  <w:tcBorders>
                    <w:top w:val="single" w:color="auto" w:sz="2" w:space="0"/>
                    <w:left w:val="single" w:color="auto" w:sz="2" w:space="0"/>
                    <w:bottom w:val="single" w:color="auto" w:sz="2" w:space="0"/>
                  </w:tcBorders>
                  <w:vAlign w:val="center"/>
                </w:tcPr>
                <w:p w14:paraId="1738206C">
                  <w:pPr>
                    <w:widowControl/>
                    <w:adjustRightInd w:val="0"/>
                    <w:snapToGrid w:val="0"/>
                    <w:jc w:val="center"/>
                    <w:rPr>
                      <w:color w:val="auto"/>
                      <w:kern w:val="0"/>
                      <w:szCs w:val="21"/>
                    </w:rPr>
                  </w:pPr>
                  <w:r>
                    <w:rPr>
                      <w:color w:val="auto"/>
                      <w:kern w:val="0"/>
                      <w:szCs w:val="21"/>
                    </w:rPr>
                    <w:t>/</w:t>
                  </w:r>
                </w:p>
              </w:tc>
            </w:tr>
            <w:tr w14:paraId="1738207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1253" w:hRule="atLeast"/>
                <w:jc w:val="center"/>
              </w:trPr>
              <w:tc>
                <w:tcPr>
                  <w:tcW w:w="1435" w:type="dxa"/>
                  <w:vMerge w:val="restart"/>
                  <w:tcBorders>
                    <w:top w:val="single" w:color="auto" w:sz="2" w:space="0"/>
                    <w:right w:val="single" w:color="auto" w:sz="2" w:space="0"/>
                  </w:tcBorders>
                  <w:vAlign w:val="center"/>
                </w:tcPr>
                <w:p w14:paraId="1738206E">
                  <w:pPr>
                    <w:widowControl/>
                    <w:adjustRightInd w:val="0"/>
                    <w:snapToGrid w:val="0"/>
                    <w:jc w:val="center"/>
                    <w:rPr>
                      <w:color w:val="auto"/>
                      <w:szCs w:val="21"/>
                    </w:rPr>
                  </w:pPr>
                  <w:r>
                    <w:rPr>
                      <w:color w:val="auto"/>
                      <w:szCs w:val="21"/>
                    </w:rPr>
                    <w:t>C3322手工具制造、C3323 农用及园林用金属工具制造</w:t>
                  </w:r>
                </w:p>
              </w:tc>
              <w:tc>
                <w:tcPr>
                  <w:tcW w:w="2349" w:type="dxa"/>
                  <w:tcBorders>
                    <w:top w:val="single" w:color="auto" w:sz="2" w:space="0"/>
                    <w:left w:val="single" w:color="auto" w:sz="2" w:space="0"/>
                    <w:bottom w:val="single" w:color="auto" w:sz="2" w:space="0"/>
                    <w:right w:val="single" w:color="auto" w:sz="2" w:space="0"/>
                  </w:tcBorders>
                  <w:vAlign w:val="center"/>
                </w:tcPr>
                <w:p w14:paraId="1738206F">
                  <w:pPr>
                    <w:jc w:val="center"/>
                    <w:rPr>
                      <w:color w:val="auto"/>
                      <w:szCs w:val="21"/>
                    </w:rPr>
                  </w:pPr>
                  <w:r>
                    <w:rPr>
                      <w:color w:val="auto"/>
                      <w:szCs w:val="21"/>
                    </w:rPr>
                    <w:t>三十、金属制品业33、66金属工具制造332</w:t>
                  </w:r>
                </w:p>
              </w:tc>
              <w:tc>
                <w:tcPr>
                  <w:tcW w:w="1607" w:type="dxa"/>
                  <w:tcBorders>
                    <w:top w:val="single" w:color="auto" w:sz="2" w:space="0"/>
                    <w:left w:val="single" w:color="auto" w:sz="2" w:space="0"/>
                    <w:bottom w:val="single" w:color="auto" w:sz="2" w:space="0"/>
                    <w:right w:val="single" w:color="auto" w:sz="2" w:space="0"/>
                  </w:tcBorders>
                  <w:vAlign w:val="center"/>
                </w:tcPr>
                <w:p w14:paraId="17382070">
                  <w:pPr>
                    <w:jc w:val="center"/>
                    <w:rPr>
                      <w:color w:val="auto"/>
                      <w:szCs w:val="21"/>
                    </w:rPr>
                  </w:pPr>
                  <w:r>
                    <w:rPr>
                      <w:color w:val="auto"/>
                      <w:szCs w:val="21"/>
                    </w:rPr>
                    <w:t>有电镀工艺的；年用溶剂型涂料（含稀释剂）10吨及以上的</w:t>
                  </w:r>
                </w:p>
              </w:tc>
              <w:tc>
                <w:tcPr>
                  <w:tcW w:w="2025" w:type="dxa"/>
                  <w:tcBorders>
                    <w:top w:val="single" w:color="auto" w:sz="2" w:space="0"/>
                    <w:left w:val="single" w:color="auto" w:sz="2" w:space="0"/>
                    <w:bottom w:val="single" w:color="auto" w:sz="2" w:space="0"/>
                    <w:right w:val="single" w:color="auto" w:sz="2" w:space="0"/>
                  </w:tcBorders>
                  <w:vAlign w:val="center"/>
                </w:tcPr>
                <w:p w14:paraId="17382071">
                  <w:pPr>
                    <w:widowControl/>
                    <w:jc w:val="center"/>
                    <w:rPr>
                      <w:b w:val="0"/>
                      <w:bCs w:val="0"/>
                      <w:color w:val="auto"/>
                      <w:szCs w:val="21"/>
                    </w:rPr>
                  </w:pPr>
                  <w:r>
                    <w:rPr>
                      <w:b w:val="0"/>
                      <w:bCs w:val="0"/>
                      <w:color w:val="auto"/>
                      <w:kern w:val="0"/>
                      <w:sz w:val="20"/>
                      <w:szCs w:val="20"/>
                      <w:lang w:bidi="ar"/>
                    </w:rPr>
                    <w:t>其他（仅分割、焊接、组装的除外</w:t>
                  </w:r>
                  <w:r>
                    <w:rPr>
                      <w:rFonts w:hint="eastAsia"/>
                      <w:b w:val="0"/>
                      <w:bCs w:val="0"/>
                      <w:color w:val="auto"/>
                      <w:kern w:val="0"/>
                      <w:sz w:val="20"/>
                      <w:szCs w:val="20"/>
                      <w:lang w:bidi="ar"/>
                    </w:rPr>
                    <w:t>；</w:t>
                  </w:r>
                  <w:r>
                    <w:rPr>
                      <w:b w:val="0"/>
                      <w:bCs w:val="0"/>
                      <w:color w:val="auto"/>
                      <w:kern w:val="0"/>
                      <w:sz w:val="20"/>
                      <w:szCs w:val="20"/>
                      <w:lang w:bidi="ar"/>
                    </w:rPr>
                    <w:t>年用非溶剂型低VOCs含量涂料10吨以下的除外）</w:t>
                  </w:r>
                </w:p>
              </w:tc>
              <w:tc>
                <w:tcPr>
                  <w:tcW w:w="974" w:type="dxa"/>
                  <w:tcBorders>
                    <w:top w:val="single" w:color="auto" w:sz="2" w:space="0"/>
                    <w:left w:val="single" w:color="auto" w:sz="2" w:space="0"/>
                    <w:bottom w:val="single" w:color="auto" w:sz="2" w:space="0"/>
                  </w:tcBorders>
                  <w:vAlign w:val="center"/>
                </w:tcPr>
                <w:p w14:paraId="17382072">
                  <w:pPr>
                    <w:jc w:val="center"/>
                    <w:rPr>
                      <w:color w:val="auto"/>
                      <w:szCs w:val="21"/>
                    </w:rPr>
                  </w:pPr>
                  <w:r>
                    <w:rPr>
                      <w:color w:val="auto"/>
                      <w:kern w:val="0"/>
                      <w:szCs w:val="21"/>
                    </w:rPr>
                    <w:t>/</w:t>
                  </w:r>
                </w:p>
              </w:tc>
            </w:tr>
            <w:tr w14:paraId="173820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1435" w:type="dxa"/>
                  <w:vMerge w:val="continue"/>
                  <w:tcBorders>
                    <w:bottom w:val="single" w:color="auto" w:sz="12" w:space="0"/>
                    <w:right w:val="single" w:color="auto" w:sz="2" w:space="0"/>
                  </w:tcBorders>
                  <w:vAlign w:val="center"/>
                </w:tcPr>
                <w:p w14:paraId="17382074">
                  <w:pPr>
                    <w:widowControl/>
                    <w:adjustRightInd w:val="0"/>
                    <w:snapToGrid w:val="0"/>
                    <w:jc w:val="center"/>
                    <w:rPr>
                      <w:color w:val="auto"/>
                      <w:szCs w:val="21"/>
                    </w:rPr>
                  </w:pPr>
                </w:p>
              </w:tc>
              <w:tc>
                <w:tcPr>
                  <w:tcW w:w="2349" w:type="dxa"/>
                  <w:tcBorders>
                    <w:top w:val="single" w:color="auto" w:sz="2" w:space="0"/>
                    <w:left w:val="single" w:color="auto" w:sz="2" w:space="0"/>
                    <w:bottom w:val="single" w:color="auto" w:sz="12" w:space="0"/>
                    <w:right w:val="single" w:color="auto" w:sz="2" w:space="0"/>
                  </w:tcBorders>
                  <w:vAlign w:val="center"/>
                </w:tcPr>
                <w:p w14:paraId="17382075">
                  <w:pPr>
                    <w:widowControl/>
                    <w:jc w:val="center"/>
                    <w:rPr>
                      <w:color w:val="auto"/>
                      <w:szCs w:val="21"/>
                    </w:rPr>
                  </w:pPr>
                  <w:r>
                    <w:rPr>
                      <w:color w:val="auto"/>
                      <w:szCs w:val="21"/>
                    </w:rPr>
                    <w:t>三十、金属制品业33、</w:t>
                  </w:r>
                  <w:r>
                    <w:rPr>
                      <w:rFonts w:hint="eastAsia"/>
                      <w:color w:val="auto"/>
                      <w:szCs w:val="21"/>
                    </w:rPr>
                    <w:t>67</w:t>
                  </w:r>
                  <w:r>
                    <w:rPr>
                      <w:rFonts w:hint="eastAsia" w:ascii="宋体" w:hAnsi="宋体" w:cs="宋体"/>
                      <w:color w:val="auto"/>
                      <w:kern w:val="0"/>
                      <w:sz w:val="20"/>
                      <w:szCs w:val="20"/>
                      <w:lang w:bidi="ar"/>
                    </w:rPr>
                    <w:t>金属表面处理及热处理加工</w:t>
                  </w:r>
                </w:p>
              </w:tc>
              <w:tc>
                <w:tcPr>
                  <w:tcW w:w="1607" w:type="dxa"/>
                  <w:tcBorders>
                    <w:top w:val="single" w:color="auto" w:sz="2" w:space="0"/>
                    <w:left w:val="single" w:color="auto" w:sz="2" w:space="0"/>
                    <w:bottom w:val="single" w:color="auto" w:sz="12" w:space="0"/>
                    <w:right w:val="single" w:color="auto" w:sz="2" w:space="0"/>
                  </w:tcBorders>
                  <w:vAlign w:val="center"/>
                </w:tcPr>
                <w:p w14:paraId="17382076">
                  <w:pPr>
                    <w:widowControl/>
                    <w:jc w:val="center"/>
                    <w:rPr>
                      <w:color w:val="auto"/>
                      <w:szCs w:val="21"/>
                    </w:rPr>
                  </w:pPr>
                  <w:r>
                    <w:rPr>
                      <w:color w:val="auto"/>
                      <w:kern w:val="0"/>
                      <w:sz w:val="20"/>
                      <w:szCs w:val="20"/>
                      <w:lang w:bidi="ar"/>
                    </w:rPr>
                    <w:t>有电镀工艺的；有钝化工艺的热镀锌；使用有机涂层的（喷粉、喷塑、浸塑和电泳除外；年用溶剂型涂料（含稀释剂）10吨以下和用非溶剂型低VOCs含量涂料的除外）</w:t>
                  </w:r>
                </w:p>
              </w:tc>
              <w:tc>
                <w:tcPr>
                  <w:tcW w:w="2025" w:type="dxa"/>
                  <w:tcBorders>
                    <w:top w:val="single" w:color="auto" w:sz="2" w:space="0"/>
                    <w:left w:val="single" w:color="auto" w:sz="2" w:space="0"/>
                    <w:bottom w:val="single" w:color="auto" w:sz="12" w:space="0"/>
                    <w:right w:val="single" w:color="auto" w:sz="2" w:space="0"/>
                  </w:tcBorders>
                  <w:vAlign w:val="center"/>
                </w:tcPr>
                <w:p w14:paraId="17382077">
                  <w:pPr>
                    <w:widowControl/>
                    <w:jc w:val="center"/>
                    <w:rPr>
                      <w:b w:val="0"/>
                      <w:bCs w:val="0"/>
                      <w:color w:val="auto"/>
                      <w:kern w:val="0"/>
                      <w:sz w:val="20"/>
                      <w:szCs w:val="20"/>
                      <w:lang w:bidi="ar"/>
                    </w:rPr>
                  </w:pPr>
                  <w:r>
                    <w:rPr>
                      <w:rFonts w:hint="eastAsia"/>
                      <w:b w:val="0"/>
                      <w:bCs w:val="0"/>
                      <w:color w:val="auto"/>
                      <w:kern w:val="0"/>
                      <w:sz w:val="20"/>
                      <w:szCs w:val="20"/>
                      <w:lang w:bidi="ar"/>
                    </w:rPr>
                    <w:t>其他（年用非溶剂型低VOCs含量涂料10吨以下的除外）</w:t>
                  </w:r>
                </w:p>
                <w:p w14:paraId="17382078">
                  <w:pPr>
                    <w:widowControl/>
                    <w:jc w:val="center"/>
                    <w:rPr>
                      <w:b w:val="0"/>
                      <w:bCs w:val="0"/>
                      <w:color w:val="auto"/>
                      <w:kern w:val="0"/>
                      <w:sz w:val="20"/>
                      <w:szCs w:val="20"/>
                      <w:lang w:bidi="ar"/>
                    </w:rPr>
                  </w:pPr>
                </w:p>
              </w:tc>
              <w:tc>
                <w:tcPr>
                  <w:tcW w:w="974" w:type="dxa"/>
                  <w:tcBorders>
                    <w:top w:val="single" w:color="auto" w:sz="2" w:space="0"/>
                    <w:left w:val="single" w:color="auto" w:sz="2" w:space="0"/>
                    <w:bottom w:val="single" w:color="auto" w:sz="12" w:space="0"/>
                  </w:tcBorders>
                  <w:vAlign w:val="center"/>
                </w:tcPr>
                <w:p w14:paraId="17382079">
                  <w:pPr>
                    <w:jc w:val="center"/>
                    <w:rPr>
                      <w:color w:val="auto"/>
                      <w:kern w:val="0"/>
                      <w:szCs w:val="21"/>
                    </w:rPr>
                  </w:pPr>
                  <w:r>
                    <w:rPr>
                      <w:color w:val="auto"/>
                      <w:kern w:val="0"/>
                      <w:szCs w:val="21"/>
                    </w:rPr>
                    <w:t>/</w:t>
                  </w:r>
                </w:p>
              </w:tc>
            </w:tr>
          </w:tbl>
          <w:p w14:paraId="1E439ECD">
            <w:pPr>
              <w:widowControl/>
              <w:adjustRightInd w:val="0"/>
              <w:snapToGrid w:val="0"/>
              <w:spacing w:line="360" w:lineRule="auto"/>
              <w:ind w:firstLine="480" w:firstLineChars="200"/>
              <w:jc w:val="both"/>
              <w:rPr>
                <w:color w:val="auto"/>
              </w:rPr>
            </w:pPr>
            <w:r>
              <w:rPr>
                <w:rFonts w:hint="eastAsia" w:ascii="Times New Roman" w:hAnsi="Times New Roman" w:eastAsia="宋体" w:cs="Times New Roman"/>
                <w:color w:val="auto"/>
                <w:sz w:val="24"/>
                <w:lang w:val="en-US" w:eastAsia="zh-CN"/>
              </w:rPr>
              <w:t>本项目产品为锤子、农用及花园工具斧头、锹等，生产过程中所需原料为玻璃纤维纱、不饱和聚酯树脂、固化剂、碳酸钙、塑料PP、塑料PE、塑粉、钢丸、防锈油等。本项目塑粉年用量为4.5t，根据《低挥发性有机化合物含量涂料产品技术要求》（GB/T 38579-2020）标准要求，“8 标准的实施”章节中规定粉末涂料、无机建筑涂料（含建筑无机粉体涂装材料）、建筑用有机粉体涂料产品中VOC含量通常很少，属于低挥发性有机化合物含量涂料产品。同时，参照河北省生态环境厅关于“喷塑所用的塑粉算非溶剂型低VOCs涂料吗？”的回复，明确表明“喷塑所用的塑粉属于低挥发性有机化合物含量涂料。”，详见网址：https://hbepb.hebei.gov.cn/hbtcms/interact/web/tagQueryById.do?template=101558593053408&amp;searchCode=130000&amp;searchId=101679650750960。因此本项目使用的原料中塑粉属于低挥发性涂料。本项目生产工艺不涉及电镀工艺及钝化工艺，主要生产工艺为原料投料搅拌、浸纱、拉挤固化成型、切割、注塑、热处理、除锈、喷塑、烘干、抛光等。因此，</w:t>
            </w:r>
            <w:r>
              <w:rPr>
                <w:rFonts w:hint="eastAsia"/>
                <w:color w:val="auto"/>
                <w:sz w:val="24"/>
              </w:rPr>
              <w:t>本项目应编制报告表。</w:t>
            </w:r>
          </w:p>
          <w:p w14:paraId="1738207B">
            <w:pPr>
              <w:widowControl/>
              <w:adjustRightInd w:val="0"/>
              <w:snapToGrid w:val="0"/>
              <w:spacing w:line="360" w:lineRule="auto"/>
              <w:ind w:firstLine="480" w:firstLineChars="200"/>
              <w:jc w:val="left"/>
              <w:rPr>
                <w:color w:val="auto"/>
                <w:sz w:val="24"/>
              </w:rPr>
            </w:pPr>
            <w:r>
              <w:rPr>
                <w:rFonts w:hint="eastAsia"/>
                <w:color w:val="auto"/>
                <w:sz w:val="24"/>
              </w:rPr>
              <w:t>根据《中华人民共和国环境保护法》（2014修订）、《中华人民共和国环境影响评价法》（2018年修正），凡实施对环境有影响的建设项目都必须执行环境影响评价制度。根据国家环境影响评价工作管理要求，我单位在接受淮安市鸣锋工具有限公司委托后，随即组织人员到项目建设场地及其周围进行了实地勘查与调研，收集了有关的工程资料，结合该企业提供的资料和项目的建设特点，依据有关环评技术规范，编制了本报告表。</w:t>
            </w:r>
            <w:r>
              <w:rPr>
                <w:color w:val="auto"/>
                <w:sz w:val="24"/>
              </w:rPr>
              <w:t>通过环境影响评价，阐明建设项目对周围环境影响的程度和范围，并进一步提出环境污染控制措施，报请</w:t>
            </w:r>
            <w:r>
              <w:rPr>
                <w:rFonts w:hint="eastAsia"/>
                <w:color w:val="auto"/>
                <w:sz w:val="24"/>
              </w:rPr>
              <w:t>环保主管部门</w:t>
            </w:r>
            <w:r>
              <w:rPr>
                <w:color w:val="auto"/>
                <w:sz w:val="24"/>
              </w:rPr>
              <w:t>审批。</w:t>
            </w:r>
          </w:p>
          <w:p w14:paraId="1738207C">
            <w:pPr>
              <w:autoSpaceDE w:val="0"/>
              <w:autoSpaceDN w:val="0"/>
              <w:adjustRightInd w:val="0"/>
              <w:snapToGrid w:val="0"/>
              <w:spacing w:line="360" w:lineRule="auto"/>
              <w:ind w:firstLine="482" w:firstLineChars="200"/>
              <w:rPr>
                <w:b/>
                <w:bCs/>
                <w:color w:val="auto"/>
                <w:sz w:val="24"/>
              </w:rPr>
            </w:pPr>
            <w:r>
              <w:rPr>
                <w:b/>
                <w:bCs/>
                <w:color w:val="auto"/>
                <w:sz w:val="24"/>
              </w:rPr>
              <w:t>2</w:t>
            </w:r>
            <w:r>
              <w:rPr>
                <w:rFonts w:hint="eastAsia"/>
                <w:b/>
                <w:bCs/>
                <w:color w:val="auto"/>
                <w:sz w:val="24"/>
              </w:rPr>
              <w:t>、</w:t>
            </w:r>
            <w:r>
              <w:rPr>
                <w:b/>
                <w:bCs/>
                <w:color w:val="auto"/>
                <w:sz w:val="24"/>
              </w:rPr>
              <w:t>建设内容及组成</w:t>
            </w:r>
          </w:p>
          <w:p w14:paraId="1738207D">
            <w:pPr>
              <w:widowControl/>
              <w:adjustRightInd w:val="0"/>
              <w:snapToGrid w:val="0"/>
              <w:spacing w:line="360" w:lineRule="auto"/>
              <w:ind w:firstLine="482" w:firstLineChars="200"/>
              <w:jc w:val="left"/>
              <w:rPr>
                <w:b/>
                <w:bCs/>
                <w:color w:val="auto"/>
                <w:sz w:val="24"/>
              </w:rPr>
            </w:pPr>
            <w:r>
              <w:rPr>
                <w:rFonts w:hint="eastAsia"/>
                <w:b/>
                <w:bCs/>
                <w:color w:val="auto"/>
                <w:sz w:val="24"/>
              </w:rPr>
              <w:t>（1）建设内容</w:t>
            </w:r>
          </w:p>
          <w:p w14:paraId="1738207E">
            <w:pPr>
              <w:widowControl/>
              <w:adjustRightInd w:val="0"/>
              <w:snapToGrid w:val="0"/>
              <w:spacing w:line="360" w:lineRule="auto"/>
              <w:ind w:firstLine="480" w:firstLineChars="200"/>
              <w:jc w:val="left"/>
              <w:rPr>
                <w:color w:val="auto"/>
                <w:sz w:val="24"/>
              </w:rPr>
            </w:pPr>
            <w:r>
              <w:rPr>
                <w:rFonts w:hint="eastAsia"/>
                <w:color w:val="auto"/>
                <w:sz w:val="24"/>
              </w:rPr>
              <w:t>项目名称：淮安市鸣锋工具有限公司五金工具加工项目；</w:t>
            </w:r>
          </w:p>
          <w:p w14:paraId="1738207F">
            <w:pPr>
              <w:widowControl/>
              <w:adjustRightInd w:val="0"/>
              <w:snapToGrid w:val="0"/>
              <w:spacing w:line="360" w:lineRule="auto"/>
              <w:ind w:firstLine="480" w:firstLineChars="200"/>
              <w:jc w:val="left"/>
              <w:rPr>
                <w:color w:val="auto"/>
                <w:sz w:val="24"/>
              </w:rPr>
            </w:pPr>
            <w:r>
              <w:rPr>
                <w:rFonts w:hint="eastAsia"/>
                <w:color w:val="auto"/>
                <w:sz w:val="24"/>
              </w:rPr>
              <w:t>总投资：500万元；</w:t>
            </w:r>
          </w:p>
          <w:p w14:paraId="17382080">
            <w:pPr>
              <w:widowControl/>
              <w:adjustRightInd w:val="0"/>
              <w:snapToGrid w:val="0"/>
              <w:spacing w:line="360" w:lineRule="auto"/>
              <w:ind w:firstLine="480" w:firstLineChars="200"/>
              <w:jc w:val="left"/>
              <w:rPr>
                <w:color w:val="auto"/>
                <w:sz w:val="24"/>
              </w:rPr>
            </w:pPr>
            <w:r>
              <w:rPr>
                <w:rFonts w:hint="eastAsia"/>
                <w:color w:val="auto"/>
                <w:sz w:val="24"/>
              </w:rPr>
              <w:t>工作时数：生产实行一班制，每班工作8小时，年工作300天；</w:t>
            </w:r>
          </w:p>
          <w:p w14:paraId="17382081">
            <w:pPr>
              <w:widowControl/>
              <w:adjustRightInd w:val="0"/>
              <w:snapToGrid w:val="0"/>
              <w:spacing w:line="360" w:lineRule="auto"/>
              <w:ind w:firstLine="480" w:firstLineChars="200"/>
              <w:jc w:val="left"/>
              <w:rPr>
                <w:color w:val="auto"/>
                <w:sz w:val="24"/>
              </w:rPr>
            </w:pPr>
            <w:r>
              <w:rPr>
                <w:rFonts w:hint="eastAsia"/>
                <w:color w:val="auto"/>
                <w:sz w:val="24"/>
              </w:rPr>
              <w:t>职工人数：职工定员12人，不设食堂；</w:t>
            </w:r>
          </w:p>
          <w:p w14:paraId="17382082">
            <w:pPr>
              <w:widowControl/>
              <w:adjustRightInd w:val="0"/>
              <w:snapToGrid w:val="0"/>
              <w:spacing w:line="360" w:lineRule="auto"/>
              <w:ind w:firstLine="480" w:firstLineChars="200"/>
              <w:jc w:val="left"/>
              <w:rPr>
                <w:color w:val="auto"/>
                <w:sz w:val="24"/>
              </w:rPr>
            </w:pPr>
            <w:r>
              <w:rPr>
                <w:rFonts w:hint="eastAsia"/>
                <w:color w:val="auto"/>
                <w:sz w:val="24"/>
              </w:rPr>
              <w:t>建设规模：年产锤子60万支、农用及花园工具斧头、锹等10万支。</w:t>
            </w:r>
          </w:p>
          <w:p w14:paraId="17382083">
            <w:pPr>
              <w:widowControl/>
              <w:adjustRightInd w:val="0"/>
              <w:snapToGrid w:val="0"/>
              <w:spacing w:line="360" w:lineRule="auto"/>
              <w:ind w:firstLine="482" w:firstLineChars="200"/>
              <w:jc w:val="left"/>
              <w:rPr>
                <w:b/>
                <w:bCs/>
                <w:color w:val="auto"/>
                <w:sz w:val="24"/>
              </w:rPr>
            </w:pPr>
            <w:r>
              <w:rPr>
                <w:rFonts w:hint="eastAsia"/>
                <w:b/>
                <w:bCs/>
                <w:color w:val="auto"/>
                <w:sz w:val="24"/>
              </w:rPr>
              <w:t>（2）项目产品方案</w:t>
            </w:r>
          </w:p>
          <w:p w14:paraId="17382084">
            <w:pPr>
              <w:widowControl/>
              <w:adjustRightInd w:val="0"/>
              <w:snapToGrid w:val="0"/>
              <w:spacing w:line="360" w:lineRule="auto"/>
              <w:ind w:firstLine="480" w:firstLineChars="200"/>
              <w:jc w:val="left"/>
              <w:rPr>
                <w:color w:val="auto"/>
                <w:sz w:val="24"/>
              </w:rPr>
            </w:pPr>
            <w:r>
              <w:rPr>
                <w:rFonts w:hint="eastAsia"/>
                <w:color w:val="auto"/>
                <w:sz w:val="24"/>
              </w:rPr>
              <w:t>本项目产品方案见表2-2。</w:t>
            </w:r>
          </w:p>
          <w:p w14:paraId="17382085">
            <w:pPr>
              <w:widowControl/>
              <w:adjustRightInd w:val="0"/>
              <w:snapToGrid w:val="0"/>
              <w:jc w:val="center"/>
              <w:rPr>
                <w:b/>
                <w:color w:val="auto"/>
                <w:kern w:val="0"/>
                <w:sz w:val="24"/>
              </w:rPr>
            </w:pPr>
            <w:r>
              <w:rPr>
                <w:b/>
                <w:color w:val="auto"/>
                <w:kern w:val="0"/>
                <w:sz w:val="24"/>
              </w:rPr>
              <w:t>表2-2 项目产品方案一览表</w:t>
            </w:r>
          </w:p>
          <w:tbl>
            <w:tblPr>
              <w:tblStyle w:val="88"/>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0" w:type="dxa"/>
                <w:bottom w:w="0" w:type="dxa"/>
                <w:right w:w="0" w:type="dxa"/>
              </w:tblCellMar>
            </w:tblPr>
            <w:tblGrid>
              <w:gridCol w:w="555"/>
              <w:gridCol w:w="2498"/>
              <w:gridCol w:w="1684"/>
              <w:gridCol w:w="2249"/>
              <w:gridCol w:w="1415"/>
            </w:tblGrid>
            <w:tr w14:paraId="1738208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330" w:type="pct"/>
                  <w:vAlign w:val="center"/>
                </w:tcPr>
                <w:p w14:paraId="17382086">
                  <w:pPr>
                    <w:jc w:val="center"/>
                    <w:rPr>
                      <w:b/>
                      <w:bCs/>
                      <w:color w:val="auto"/>
                      <w:szCs w:val="21"/>
                    </w:rPr>
                  </w:pPr>
                  <w:r>
                    <w:rPr>
                      <w:b/>
                      <w:bCs/>
                      <w:color w:val="auto"/>
                      <w:szCs w:val="21"/>
                    </w:rPr>
                    <w:t>序号</w:t>
                  </w:r>
                </w:p>
              </w:tc>
              <w:tc>
                <w:tcPr>
                  <w:tcW w:w="1486" w:type="pct"/>
                  <w:vAlign w:val="center"/>
                </w:tcPr>
                <w:p w14:paraId="17382087">
                  <w:pPr>
                    <w:jc w:val="center"/>
                    <w:rPr>
                      <w:b/>
                      <w:bCs/>
                      <w:color w:val="auto"/>
                      <w:szCs w:val="21"/>
                    </w:rPr>
                  </w:pPr>
                  <w:r>
                    <w:rPr>
                      <w:b/>
                      <w:bCs/>
                      <w:color w:val="auto"/>
                      <w:szCs w:val="21"/>
                    </w:rPr>
                    <w:t>产品名称</w:t>
                  </w:r>
                </w:p>
              </w:tc>
              <w:tc>
                <w:tcPr>
                  <w:tcW w:w="1002" w:type="pct"/>
                  <w:vAlign w:val="center"/>
                </w:tcPr>
                <w:p w14:paraId="17382088">
                  <w:pPr>
                    <w:widowControl/>
                    <w:jc w:val="center"/>
                    <w:rPr>
                      <w:b/>
                      <w:bCs/>
                      <w:color w:val="auto"/>
                      <w:szCs w:val="21"/>
                    </w:rPr>
                  </w:pPr>
                  <w:r>
                    <w:rPr>
                      <w:b/>
                      <w:bCs/>
                      <w:color w:val="auto"/>
                      <w:szCs w:val="21"/>
                    </w:rPr>
                    <w:t>产品规格</w:t>
                  </w:r>
                </w:p>
              </w:tc>
              <w:tc>
                <w:tcPr>
                  <w:tcW w:w="1338" w:type="pct"/>
                  <w:vAlign w:val="center"/>
                </w:tcPr>
                <w:p w14:paraId="17382089">
                  <w:pPr>
                    <w:widowControl/>
                    <w:jc w:val="center"/>
                    <w:textAlignment w:val="center"/>
                    <w:rPr>
                      <w:b/>
                      <w:bCs/>
                      <w:color w:val="auto"/>
                      <w:szCs w:val="21"/>
                    </w:rPr>
                  </w:pPr>
                  <w:r>
                    <w:rPr>
                      <w:b/>
                      <w:bCs/>
                      <w:color w:val="auto"/>
                      <w:szCs w:val="21"/>
                    </w:rPr>
                    <w:t>设计能力（支/年）</w:t>
                  </w:r>
                </w:p>
              </w:tc>
              <w:tc>
                <w:tcPr>
                  <w:tcW w:w="842" w:type="pct"/>
                  <w:vAlign w:val="center"/>
                </w:tcPr>
                <w:p w14:paraId="1738208A">
                  <w:pPr>
                    <w:widowControl/>
                    <w:jc w:val="center"/>
                    <w:rPr>
                      <w:b/>
                      <w:bCs/>
                      <w:color w:val="auto"/>
                      <w:szCs w:val="21"/>
                    </w:rPr>
                  </w:pPr>
                  <w:r>
                    <w:rPr>
                      <w:b/>
                      <w:bCs/>
                      <w:color w:val="auto"/>
                      <w:szCs w:val="21"/>
                    </w:rPr>
                    <w:t>工作时间（h/a）</w:t>
                  </w:r>
                </w:p>
              </w:tc>
            </w:tr>
            <w:tr w14:paraId="1738209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330" w:type="pct"/>
                  <w:vAlign w:val="center"/>
                </w:tcPr>
                <w:p w14:paraId="1738208C">
                  <w:pPr>
                    <w:jc w:val="center"/>
                    <w:rPr>
                      <w:color w:val="auto"/>
                      <w:szCs w:val="21"/>
                    </w:rPr>
                  </w:pPr>
                  <w:r>
                    <w:rPr>
                      <w:color w:val="auto"/>
                      <w:szCs w:val="21"/>
                    </w:rPr>
                    <w:t>1</w:t>
                  </w:r>
                </w:p>
              </w:tc>
              <w:tc>
                <w:tcPr>
                  <w:tcW w:w="1486" w:type="pct"/>
                  <w:vAlign w:val="center"/>
                </w:tcPr>
                <w:p w14:paraId="1738208D">
                  <w:pPr>
                    <w:pStyle w:val="4047"/>
                    <w:rPr>
                      <w:color w:val="auto"/>
                    </w:rPr>
                  </w:pPr>
                  <w:r>
                    <w:rPr>
                      <w:color w:val="auto"/>
                    </w:rPr>
                    <w:t>锤子</w:t>
                  </w:r>
                </w:p>
              </w:tc>
              <w:tc>
                <w:tcPr>
                  <w:tcW w:w="1684" w:type="dxa"/>
                  <w:vAlign w:val="center"/>
                </w:tcPr>
                <w:p w14:paraId="1738208E">
                  <w:pPr>
                    <w:pStyle w:val="4047"/>
                    <w:rPr>
                      <w:color w:val="auto"/>
                    </w:rPr>
                  </w:pPr>
                  <w:r>
                    <w:rPr>
                      <w:rFonts w:hint="eastAsia"/>
                      <w:color w:val="auto"/>
                    </w:rPr>
                    <w:t>0.227kg</w:t>
                  </w:r>
                  <w:r>
                    <w:rPr>
                      <w:color w:val="auto"/>
                    </w:rPr>
                    <w:t>到20kg</w:t>
                  </w:r>
                </w:p>
              </w:tc>
              <w:tc>
                <w:tcPr>
                  <w:tcW w:w="1338" w:type="pct"/>
                  <w:vAlign w:val="center"/>
                </w:tcPr>
                <w:p w14:paraId="1738208F">
                  <w:pPr>
                    <w:pStyle w:val="4047"/>
                    <w:rPr>
                      <w:color w:val="auto"/>
                    </w:rPr>
                  </w:pPr>
                  <w:r>
                    <w:rPr>
                      <w:color w:val="auto"/>
                    </w:rPr>
                    <w:t>60万</w:t>
                  </w:r>
                </w:p>
              </w:tc>
              <w:tc>
                <w:tcPr>
                  <w:tcW w:w="842" w:type="pct"/>
                  <w:vMerge w:val="restart"/>
                  <w:vAlign w:val="center"/>
                </w:tcPr>
                <w:p w14:paraId="17382090">
                  <w:pPr>
                    <w:widowControl/>
                    <w:jc w:val="center"/>
                    <w:rPr>
                      <w:color w:val="auto"/>
                      <w:kern w:val="0"/>
                      <w:szCs w:val="21"/>
                    </w:rPr>
                  </w:pPr>
                  <w:r>
                    <w:rPr>
                      <w:color w:val="auto"/>
                      <w:kern w:val="0"/>
                      <w:szCs w:val="21"/>
                    </w:rPr>
                    <w:t>2400</w:t>
                  </w:r>
                </w:p>
              </w:tc>
            </w:tr>
            <w:tr w14:paraId="173820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330" w:type="pct"/>
                  <w:vAlign w:val="center"/>
                </w:tcPr>
                <w:p w14:paraId="17382092">
                  <w:pPr>
                    <w:jc w:val="center"/>
                    <w:rPr>
                      <w:color w:val="auto"/>
                      <w:szCs w:val="21"/>
                    </w:rPr>
                  </w:pPr>
                  <w:r>
                    <w:rPr>
                      <w:color w:val="auto"/>
                      <w:szCs w:val="21"/>
                    </w:rPr>
                    <w:t>2</w:t>
                  </w:r>
                </w:p>
              </w:tc>
              <w:tc>
                <w:tcPr>
                  <w:tcW w:w="1486" w:type="pct"/>
                  <w:vAlign w:val="center"/>
                </w:tcPr>
                <w:p w14:paraId="17382093">
                  <w:pPr>
                    <w:pStyle w:val="4047"/>
                    <w:rPr>
                      <w:color w:val="auto"/>
                    </w:rPr>
                  </w:pPr>
                  <w:r>
                    <w:rPr>
                      <w:color w:val="auto"/>
                    </w:rPr>
                    <w:t>农用及花园工具斧头、锹等</w:t>
                  </w:r>
                </w:p>
              </w:tc>
              <w:tc>
                <w:tcPr>
                  <w:tcW w:w="1684" w:type="dxa"/>
                  <w:vAlign w:val="center"/>
                </w:tcPr>
                <w:p w14:paraId="17382094">
                  <w:pPr>
                    <w:pStyle w:val="4047"/>
                    <w:rPr>
                      <w:color w:val="auto"/>
                    </w:rPr>
                  </w:pPr>
                  <w:r>
                    <w:rPr>
                      <w:rFonts w:hint="eastAsia"/>
                      <w:color w:val="auto"/>
                    </w:rPr>
                    <w:t>0.454kg</w:t>
                  </w:r>
                  <w:r>
                    <w:rPr>
                      <w:color w:val="auto"/>
                    </w:rPr>
                    <w:t>到3kg</w:t>
                  </w:r>
                </w:p>
              </w:tc>
              <w:tc>
                <w:tcPr>
                  <w:tcW w:w="1338" w:type="pct"/>
                  <w:vAlign w:val="center"/>
                </w:tcPr>
                <w:p w14:paraId="17382095">
                  <w:pPr>
                    <w:jc w:val="center"/>
                    <w:rPr>
                      <w:color w:val="auto"/>
                      <w:szCs w:val="21"/>
                    </w:rPr>
                  </w:pPr>
                  <w:r>
                    <w:rPr>
                      <w:color w:val="auto"/>
                      <w:szCs w:val="21"/>
                    </w:rPr>
                    <w:t>10万</w:t>
                  </w:r>
                </w:p>
              </w:tc>
              <w:tc>
                <w:tcPr>
                  <w:tcW w:w="842" w:type="pct"/>
                  <w:vMerge w:val="continue"/>
                  <w:vAlign w:val="center"/>
                </w:tcPr>
                <w:p w14:paraId="17382096">
                  <w:pPr>
                    <w:widowControl/>
                    <w:jc w:val="center"/>
                    <w:rPr>
                      <w:color w:val="auto"/>
                      <w:kern w:val="0"/>
                      <w:szCs w:val="21"/>
                    </w:rPr>
                  </w:pPr>
                </w:p>
              </w:tc>
            </w:tr>
          </w:tbl>
          <w:p w14:paraId="17382098">
            <w:pPr>
              <w:autoSpaceDE w:val="0"/>
              <w:autoSpaceDN w:val="0"/>
              <w:adjustRightInd w:val="0"/>
              <w:snapToGrid w:val="0"/>
              <w:spacing w:line="360" w:lineRule="auto"/>
              <w:ind w:firstLine="482" w:firstLineChars="200"/>
              <w:rPr>
                <w:b/>
                <w:bCs/>
                <w:color w:val="auto"/>
                <w:sz w:val="24"/>
              </w:rPr>
            </w:pPr>
            <w:r>
              <w:rPr>
                <w:b/>
                <w:bCs/>
                <w:color w:val="auto"/>
                <w:sz w:val="24"/>
              </w:rPr>
              <w:t>3</w:t>
            </w:r>
            <w:r>
              <w:rPr>
                <w:rFonts w:hint="eastAsia"/>
                <w:b/>
                <w:bCs/>
                <w:color w:val="auto"/>
                <w:sz w:val="24"/>
              </w:rPr>
              <w:t>、</w:t>
            </w:r>
            <w:r>
              <w:rPr>
                <w:b/>
                <w:bCs/>
                <w:color w:val="auto"/>
                <w:sz w:val="24"/>
              </w:rPr>
              <w:t>公用工程及</w:t>
            </w:r>
            <w:r>
              <w:rPr>
                <w:rFonts w:hint="eastAsia"/>
                <w:b/>
                <w:bCs/>
                <w:color w:val="auto"/>
                <w:sz w:val="24"/>
              </w:rPr>
              <w:t>辅</w:t>
            </w:r>
            <w:r>
              <w:rPr>
                <w:b/>
                <w:bCs/>
                <w:color w:val="auto"/>
                <w:sz w:val="24"/>
              </w:rPr>
              <w:t>助工程</w:t>
            </w:r>
          </w:p>
          <w:p w14:paraId="17382099">
            <w:pPr>
              <w:widowControl/>
              <w:adjustRightInd w:val="0"/>
              <w:snapToGrid w:val="0"/>
              <w:spacing w:line="360" w:lineRule="auto"/>
              <w:ind w:firstLine="480" w:firstLineChars="200"/>
              <w:jc w:val="left"/>
              <w:rPr>
                <w:color w:val="auto"/>
                <w:sz w:val="24"/>
              </w:rPr>
            </w:pPr>
            <w:r>
              <w:rPr>
                <w:rFonts w:hint="eastAsia"/>
                <w:color w:val="auto"/>
                <w:sz w:val="24"/>
              </w:rPr>
              <w:t>项目公用及辅助工程见表2-3。</w:t>
            </w:r>
          </w:p>
          <w:p w14:paraId="1738209A">
            <w:pPr>
              <w:widowControl/>
              <w:adjustRightInd w:val="0"/>
              <w:snapToGrid w:val="0"/>
              <w:jc w:val="center"/>
              <w:rPr>
                <w:b/>
                <w:color w:val="auto"/>
                <w:kern w:val="0"/>
                <w:sz w:val="24"/>
                <w:lang w:val="zh-CN"/>
              </w:rPr>
            </w:pPr>
            <w:r>
              <w:rPr>
                <w:b/>
                <w:color w:val="auto"/>
                <w:kern w:val="0"/>
                <w:sz w:val="24"/>
                <w:lang w:val="zh-CN"/>
              </w:rPr>
              <w:t>表2-</w:t>
            </w:r>
            <w:r>
              <w:rPr>
                <w:b/>
                <w:color w:val="auto"/>
                <w:kern w:val="0"/>
                <w:sz w:val="24"/>
              </w:rPr>
              <w:t>3</w:t>
            </w:r>
            <w:r>
              <w:rPr>
                <w:b/>
                <w:color w:val="auto"/>
                <w:kern w:val="0"/>
                <w:sz w:val="24"/>
                <w:lang w:val="zh-CN"/>
              </w:rPr>
              <w:t xml:space="preserve"> 建设项目</w:t>
            </w:r>
            <w:r>
              <w:rPr>
                <w:rFonts w:hint="eastAsia"/>
                <w:b/>
                <w:color w:val="auto"/>
                <w:kern w:val="0"/>
                <w:sz w:val="24"/>
              </w:rPr>
              <w:t>主体工程及</w:t>
            </w:r>
            <w:r>
              <w:rPr>
                <w:b/>
                <w:color w:val="auto"/>
                <w:kern w:val="0"/>
                <w:sz w:val="24"/>
                <w:lang w:val="zh-CN"/>
              </w:rPr>
              <w:t>公辅工程一览表</w:t>
            </w:r>
          </w:p>
          <w:tbl>
            <w:tblPr>
              <w:tblStyle w:val="88"/>
              <w:tblW w:w="4998" w:type="pct"/>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autofit"/>
              <w:tblCellMar>
                <w:top w:w="0" w:type="dxa"/>
                <w:left w:w="28" w:type="dxa"/>
                <w:bottom w:w="0" w:type="dxa"/>
                <w:right w:w="28" w:type="dxa"/>
              </w:tblCellMar>
            </w:tblPr>
            <w:tblGrid>
              <w:gridCol w:w="615"/>
              <w:gridCol w:w="501"/>
              <w:gridCol w:w="1598"/>
              <w:gridCol w:w="2646"/>
              <w:gridCol w:w="1341"/>
              <w:gridCol w:w="1700"/>
            </w:tblGrid>
            <w:tr w14:paraId="1738209F">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shd w:val="clear" w:color="auto" w:fill="auto"/>
                  <w:vAlign w:val="center"/>
                </w:tcPr>
                <w:p w14:paraId="1738209B">
                  <w:pPr>
                    <w:adjustRightInd w:val="0"/>
                    <w:snapToGrid w:val="0"/>
                    <w:jc w:val="center"/>
                    <w:rPr>
                      <w:b/>
                      <w:color w:val="auto"/>
                      <w:szCs w:val="21"/>
                    </w:rPr>
                  </w:pPr>
                  <w:r>
                    <w:rPr>
                      <w:b/>
                      <w:color w:val="auto"/>
                      <w:szCs w:val="21"/>
                    </w:rPr>
                    <w:t>工程类别</w:t>
                  </w:r>
                </w:p>
              </w:tc>
              <w:tc>
                <w:tcPr>
                  <w:tcW w:w="1249" w:type="pct"/>
                  <w:gridSpan w:val="2"/>
                  <w:shd w:val="clear" w:color="auto" w:fill="auto"/>
                  <w:vAlign w:val="center"/>
                </w:tcPr>
                <w:p w14:paraId="1738209C">
                  <w:pPr>
                    <w:adjustRightInd w:val="0"/>
                    <w:snapToGrid w:val="0"/>
                    <w:jc w:val="center"/>
                    <w:rPr>
                      <w:b/>
                      <w:color w:val="auto"/>
                      <w:szCs w:val="21"/>
                    </w:rPr>
                  </w:pPr>
                  <w:r>
                    <w:rPr>
                      <w:b/>
                      <w:color w:val="auto"/>
                      <w:szCs w:val="21"/>
                    </w:rPr>
                    <w:t>建设名称</w:t>
                  </w:r>
                </w:p>
              </w:tc>
              <w:tc>
                <w:tcPr>
                  <w:tcW w:w="2372" w:type="pct"/>
                  <w:gridSpan w:val="2"/>
                  <w:shd w:val="clear" w:color="auto" w:fill="auto"/>
                  <w:vAlign w:val="center"/>
                </w:tcPr>
                <w:p w14:paraId="1738209D">
                  <w:pPr>
                    <w:adjustRightInd w:val="0"/>
                    <w:snapToGrid w:val="0"/>
                    <w:jc w:val="center"/>
                    <w:rPr>
                      <w:b/>
                      <w:color w:val="auto"/>
                      <w:szCs w:val="21"/>
                    </w:rPr>
                  </w:pPr>
                  <w:r>
                    <w:rPr>
                      <w:b/>
                      <w:color w:val="auto"/>
                      <w:szCs w:val="21"/>
                    </w:rPr>
                    <w:t>工程内容及规模</w:t>
                  </w:r>
                </w:p>
              </w:tc>
              <w:tc>
                <w:tcPr>
                  <w:tcW w:w="1011" w:type="pct"/>
                  <w:shd w:val="clear" w:color="auto" w:fill="auto"/>
                  <w:vAlign w:val="center"/>
                </w:tcPr>
                <w:p w14:paraId="1738209E">
                  <w:pPr>
                    <w:adjustRightInd w:val="0"/>
                    <w:snapToGrid w:val="0"/>
                    <w:jc w:val="center"/>
                    <w:rPr>
                      <w:b/>
                      <w:color w:val="auto"/>
                      <w:szCs w:val="21"/>
                    </w:rPr>
                  </w:pPr>
                  <w:r>
                    <w:rPr>
                      <w:b/>
                      <w:color w:val="auto"/>
                      <w:szCs w:val="21"/>
                    </w:rPr>
                    <w:t>备注</w:t>
                  </w:r>
                </w:p>
              </w:tc>
            </w:tr>
            <w:tr w14:paraId="173820A4">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restart"/>
                  <w:shd w:val="clear" w:color="auto" w:fill="auto"/>
                  <w:vAlign w:val="center"/>
                </w:tcPr>
                <w:p w14:paraId="173820A0">
                  <w:pPr>
                    <w:adjustRightInd w:val="0"/>
                    <w:snapToGrid w:val="0"/>
                    <w:jc w:val="center"/>
                    <w:rPr>
                      <w:color w:val="auto"/>
                      <w:szCs w:val="21"/>
                    </w:rPr>
                  </w:pPr>
                  <w:r>
                    <w:rPr>
                      <w:color w:val="auto"/>
                      <w:szCs w:val="21"/>
                    </w:rPr>
                    <w:t>主体工程</w:t>
                  </w:r>
                </w:p>
              </w:tc>
              <w:tc>
                <w:tcPr>
                  <w:tcW w:w="1249" w:type="pct"/>
                  <w:gridSpan w:val="2"/>
                  <w:shd w:val="clear" w:color="auto" w:fill="auto"/>
                  <w:vAlign w:val="center"/>
                </w:tcPr>
                <w:p w14:paraId="173820A1">
                  <w:pPr>
                    <w:adjustRightInd w:val="0"/>
                    <w:snapToGrid w:val="0"/>
                    <w:jc w:val="center"/>
                    <w:rPr>
                      <w:color w:val="auto"/>
                      <w:szCs w:val="21"/>
                    </w:rPr>
                  </w:pPr>
                  <w:r>
                    <w:rPr>
                      <w:rFonts w:hint="eastAsia"/>
                      <w:color w:val="auto"/>
                      <w:szCs w:val="21"/>
                    </w:rPr>
                    <w:t>生产车间一</w:t>
                  </w:r>
                </w:p>
              </w:tc>
              <w:tc>
                <w:tcPr>
                  <w:tcW w:w="2372" w:type="pct"/>
                  <w:gridSpan w:val="2"/>
                  <w:shd w:val="clear" w:color="auto" w:fill="auto"/>
                  <w:vAlign w:val="center"/>
                </w:tcPr>
                <w:p w14:paraId="173820A2">
                  <w:pPr>
                    <w:adjustRightInd w:val="0"/>
                    <w:snapToGrid w:val="0"/>
                    <w:jc w:val="center"/>
                    <w:rPr>
                      <w:bCs/>
                      <w:color w:val="auto"/>
                      <w:szCs w:val="21"/>
                    </w:rPr>
                  </w:pPr>
                  <w:r>
                    <w:rPr>
                      <w:rFonts w:hint="eastAsia"/>
                      <w:bCs/>
                      <w:color w:val="auto"/>
                      <w:szCs w:val="21"/>
                    </w:rPr>
                    <w:t>建筑面积480</w:t>
                  </w:r>
                  <w:r>
                    <w:rPr>
                      <w:bCs/>
                      <w:color w:val="auto"/>
                      <w:szCs w:val="21"/>
                    </w:rPr>
                    <w:t>m</w:t>
                  </w:r>
                  <w:r>
                    <w:rPr>
                      <w:bCs/>
                      <w:color w:val="auto"/>
                      <w:szCs w:val="21"/>
                      <w:vertAlign w:val="superscript"/>
                    </w:rPr>
                    <w:t>2</w:t>
                  </w:r>
                  <w:r>
                    <w:rPr>
                      <w:rFonts w:hint="eastAsia"/>
                      <w:bCs/>
                      <w:color w:val="auto"/>
                      <w:szCs w:val="21"/>
                    </w:rPr>
                    <w:t>，位于厂房西侧，包含玻璃纤维杆生产区、注塑区、金属加工区</w:t>
                  </w:r>
                </w:p>
              </w:tc>
              <w:tc>
                <w:tcPr>
                  <w:tcW w:w="1011" w:type="pct"/>
                  <w:vMerge w:val="restart"/>
                  <w:shd w:val="clear" w:color="auto" w:fill="auto"/>
                  <w:vAlign w:val="center"/>
                </w:tcPr>
                <w:p w14:paraId="173820A3">
                  <w:pPr>
                    <w:adjustRightInd w:val="0"/>
                    <w:snapToGrid w:val="0"/>
                    <w:jc w:val="center"/>
                    <w:rPr>
                      <w:color w:val="auto"/>
                      <w:szCs w:val="21"/>
                    </w:rPr>
                  </w:pPr>
                  <w:r>
                    <w:rPr>
                      <w:rFonts w:hint="eastAsia"/>
                      <w:bCs/>
                      <w:color w:val="auto"/>
                      <w:szCs w:val="21"/>
                    </w:rPr>
                    <w:t>1F，依托江苏德斯特实业有限公司现有厂房</w:t>
                  </w:r>
                </w:p>
              </w:tc>
            </w:tr>
            <w:tr w14:paraId="173820A9">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A5">
                  <w:pPr>
                    <w:adjustRightInd w:val="0"/>
                    <w:snapToGrid w:val="0"/>
                    <w:jc w:val="center"/>
                    <w:rPr>
                      <w:color w:val="auto"/>
                      <w:szCs w:val="21"/>
                    </w:rPr>
                  </w:pPr>
                </w:p>
              </w:tc>
              <w:tc>
                <w:tcPr>
                  <w:tcW w:w="1249" w:type="pct"/>
                  <w:gridSpan w:val="2"/>
                  <w:shd w:val="clear" w:color="auto" w:fill="auto"/>
                  <w:vAlign w:val="center"/>
                </w:tcPr>
                <w:p w14:paraId="173820A6">
                  <w:pPr>
                    <w:adjustRightInd w:val="0"/>
                    <w:snapToGrid w:val="0"/>
                    <w:jc w:val="center"/>
                    <w:rPr>
                      <w:color w:val="auto"/>
                      <w:szCs w:val="21"/>
                    </w:rPr>
                  </w:pPr>
                  <w:r>
                    <w:rPr>
                      <w:rFonts w:hint="eastAsia"/>
                      <w:color w:val="auto"/>
                      <w:szCs w:val="21"/>
                    </w:rPr>
                    <w:t>生产车间二</w:t>
                  </w:r>
                </w:p>
              </w:tc>
              <w:tc>
                <w:tcPr>
                  <w:tcW w:w="2372" w:type="pct"/>
                  <w:gridSpan w:val="2"/>
                  <w:shd w:val="clear" w:color="auto" w:fill="auto"/>
                  <w:vAlign w:val="center"/>
                </w:tcPr>
                <w:p w14:paraId="173820A7">
                  <w:pPr>
                    <w:adjustRightInd w:val="0"/>
                    <w:snapToGrid w:val="0"/>
                    <w:jc w:val="center"/>
                    <w:rPr>
                      <w:bCs/>
                      <w:color w:val="auto"/>
                      <w:szCs w:val="21"/>
                    </w:rPr>
                  </w:pPr>
                  <w:r>
                    <w:rPr>
                      <w:rFonts w:hint="eastAsia"/>
                      <w:bCs/>
                      <w:color w:val="auto"/>
                      <w:szCs w:val="21"/>
                    </w:rPr>
                    <w:t>建筑面积520</w:t>
                  </w:r>
                  <w:r>
                    <w:rPr>
                      <w:bCs/>
                      <w:color w:val="auto"/>
                      <w:szCs w:val="21"/>
                    </w:rPr>
                    <w:t>m</w:t>
                  </w:r>
                  <w:r>
                    <w:rPr>
                      <w:bCs/>
                      <w:color w:val="auto"/>
                      <w:szCs w:val="21"/>
                      <w:vertAlign w:val="superscript"/>
                    </w:rPr>
                    <w:t>2</w:t>
                  </w:r>
                  <w:r>
                    <w:rPr>
                      <w:rFonts w:hint="eastAsia"/>
                      <w:bCs/>
                      <w:color w:val="auto"/>
                      <w:szCs w:val="21"/>
                    </w:rPr>
                    <w:t>，位于厂房中间，包含热处理区、清洗组装区</w:t>
                  </w:r>
                </w:p>
              </w:tc>
              <w:tc>
                <w:tcPr>
                  <w:tcW w:w="1011" w:type="pct"/>
                  <w:vMerge w:val="continue"/>
                  <w:shd w:val="clear" w:color="auto" w:fill="auto"/>
                  <w:vAlign w:val="center"/>
                </w:tcPr>
                <w:p w14:paraId="173820A8">
                  <w:pPr>
                    <w:adjustRightInd w:val="0"/>
                    <w:snapToGrid w:val="0"/>
                    <w:jc w:val="center"/>
                    <w:rPr>
                      <w:color w:val="auto"/>
                      <w:szCs w:val="21"/>
                    </w:rPr>
                  </w:pPr>
                </w:p>
              </w:tc>
            </w:tr>
            <w:tr w14:paraId="173820AE">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restart"/>
                  <w:shd w:val="clear" w:color="auto" w:fill="auto"/>
                  <w:vAlign w:val="center"/>
                </w:tcPr>
                <w:p w14:paraId="173820AA">
                  <w:pPr>
                    <w:adjustRightInd w:val="0"/>
                    <w:snapToGrid w:val="0"/>
                    <w:jc w:val="center"/>
                    <w:rPr>
                      <w:color w:val="auto"/>
                      <w:szCs w:val="21"/>
                    </w:rPr>
                  </w:pPr>
                  <w:r>
                    <w:rPr>
                      <w:rFonts w:hint="eastAsia"/>
                      <w:color w:val="auto"/>
                      <w:szCs w:val="21"/>
                    </w:rPr>
                    <w:t>贮运</w:t>
                  </w:r>
                  <w:r>
                    <w:rPr>
                      <w:color w:val="auto"/>
                      <w:szCs w:val="21"/>
                    </w:rPr>
                    <w:t>工程</w:t>
                  </w:r>
                </w:p>
              </w:tc>
              <w:tc>
                <w:tcPr>
                  <w:tcW w:w="1249" w:type="pct"/>
                  <w:gridSpan w:val="2"/>
                  <w:shd w:val="clear" w:color="auto" w:fill="auto"/>
                  <w:vAlign w:val="center"/>
                </w:tcPr>
                <w:p w14:paraId="173820AB">
                  <w:pPr>
                    <w:adjustRightInd w:val="0"/>
                    <w:snapToGrid w:val="0"/>
                    <w:jc w:val="center"/>
                    <w:rPr>
                      <w:color w:val="auto"/>
                      <w:szCs w:val="21"/>
                    </w:rPr>
                  </w:pPr>
                  <w:r>
                    <w:rPr>
                      <w:rFonts w:hint="eastAsia"/>
                      <w:color w:val="auto"/>
                      <w:szCs w:val="21"/>
                    </w:rPr>
                    <w:t>原料仓库</w:t>
                  </w:r>
                </w:p>
              </w:tc>
              <w:tc>
                <w:tcPr>
                  <w:tcW w:w="2372" w:type="pct"/>
                  <w:gridSpan w:val="2"/>
                  <w:shd w:val="clear" w:color="auto" w:fill="auto"/>
                  <w:vAlign w:val="center"/>
                </w:tcPr>
                <w:p w14:paraId="173820AC">
                  <w:pPr>
                    <w:adjustRightInd w:val="0"/>
                    <w:snapToGrid w:val="0"/>
                    <w:jc w:val="center"/>
                    <w:rPr>
                      <w:color w:val="auto"/>
                      <w:szCs w:val="21"/>
                    </w:rPr>
                  </w:pPr>
                  <w:r>
                    <w:rPr>
                      <w:rFonts w:hint="eastAsia"/>
                      <w:color w:val="auto"/>
                      <w:szCs w:val="21"/>
                    </w:rPr>
                    <w:t>建筑面积140m</w:t>
                  </w:r>
                  <w:r>
                    <w:rPr>
                      <w:rFonts w:hint="eastAsia"/>
                      <w:color w:val="auto"/>
                      <w:szCs w:val="21"/>
                      <w:vertAlign w:val="superscript"/>
                    </w:rPr>
                    <w:t>2</w:t>
                  </w:r>
                  <w:r>
                    <w:rPr>
                      <w:rFonts w:hint="eastAsia"/>
                      <w:color w:val="auto"/>
                      <w:szCs w:val="21"/>
                    </w:rPr>
                    <w:t>，位于生产车间二东侧</w:t>
                  </w:r>
                </w:p>
              </w:tc>
              <w:tc>
                <w:tcPr>
                  <w:tcW w:w="1011" w:type="pct"/>
                  <w:shd w:val="clear" w:color="auto" w:fill="auto"/>
                  <w:vAlign w:val="center"/>
                </w:tcPr>
                <w:p w14:paraId="173820AD">
                  <w:pPr>
                    <w:adjustRightInd w:val="0"/>
                    <w:snapToGrid w:val="0"/>
                    <w:jc w:val="center"/>
                    <w:rPr>
                      <w:color w:val="auto"/>
                      <w:szCs w:val="21"/>
                    </w:rPr>
                  </w:pPr>
                  <w:r>
                    <w:rPr>
                      <w:rFonts w:hint="eastAsia"/>
                      <w:color w:val="auto"/>
                      <w:szCs w:val="21"/>
                    </w:rPr>
                    <w:t>/</w:t>
                  </w:r>
                </w:p>
              </w:tc>
            </w:tr>
            <w:tr w14:paraId="173820B3">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AF">
                  <w:pPr>
                    <w:adjustRightInd w:val="0"/>
                    <w:snapToGrid w:val="0"/>
                    <w:jc w:val="center"/>
                    <w:rPr>
                      <w:color w:val="auto"/>
                      <w:szCs w:val="21"/>
                    </w:rPr>
                  </w:pPr>
                </w:p>
              </w:tc>
              <w:tc>
                <w:tcPr>
                  <w:tcW w:w="1249" w:type="pct"/>
                  <w:gridSpan w:val="2"/>
                  <w:shd w:val="clear" w:color="auto" w:fill="auto"/>
                  <w:vAlign w:val="center"/>
                </w:tcPr>
                <w:p w14:paraId="173820B0">
                  <w:pPr>
                    <w:adjustRightInd w:val="0"/>
                    <w:snapToGrid w:val="0"/>
                    <w:jc w:val="center"/>
                    <w:rPr>
                      <w:color w:val="auto"/>
                      <w:szCs w:val="21"/>
                    </w:rPr>
                  </w:pPr>
                  <w:r>
                    <w:rPr>
                      <w:rFonts w:hint="eastAsia"/>
                      <w:color w:val="auto"/>
                      <w:szCs w:val="21"/>
                    </w:rPr>
                    <w:t>成品仓库</w:t>
                  </w:r>
                </w:p>
              </w:tc>
              <w:tc>
                <w:tcPr>
                  <w:tcW w:w="2372" w:type="pct"/>
                  <w:gridSpan w:val="2"/>
                  <w:shd w:val="clear" w:color="auto" w:fill="auto"/>
                  <w:vAlign w:val="center"/>
                </w:tcPr>
                <w:p w14:paraId="173820B1">
                  <w:pPr>
                    <w:adjustRightInd w:val="0"/>
                    <w:snapToGrid w:val="0"/>
                    <w:jc w:val="center"/>
                    <w:rPr>
                      <w:color w:val="auto"/>
                      <w:szCs w:val="21"/>
                    </w:rPr>
                  </w:pPr>
                  <w:r>
                    <w:rPr>
                      <w:rFonts w:hint="eastAsia"/>
                      <w:color w:val="auto"/>
                      <w:szCs w:val="21"/>
                    </w:rPr>
                    <w:t>建筑面积200m</w:t>
                  </w:r>
                  <w:r>
                    <w:rPr>
                      <w:rFonts w:hint="eastAsia"/>
                      <w:color w:val="auto"/>
                      <w:szCs w:val="21"/>
                      <w:vertAlign w:val="superscript"/>
                    </w:rPr>
                    <w:t>2</w:t>
                  </w:r>
                  <w:r>
                    <w:rPr>
                      <w:rFonts w:hint="eastAsia"/>
                      <w:color w:val="auto"/>
                      <w:szCs w:val="21"/>
                    </w:rPr>
                    <w:t>，位于原料仓库南侧</w:t>
                  </w:r>
                </w:p>
              </w:tc>
              <w:tc>
                <w:tcPr>
                  <w:tcW w:w="1011" w:type="pct"/>
                  <w:shd w:val="clear" w:color="auto" w:fill="auto"/>
                  <w:vAlign w:val="center"/>
                </w:tcPr>
                <w:p w14:paraId="173820B2">
                  <w:pPr>
                    <w:adjustRightInd w:val="0"/>
                    <w:snapToGrid w:val="0"/>
                    <w:jc w:val="center"/>
                    <w:rPr>
                      <w:bCs/>
                      <w:color w:val="auto"/>
                      <w:szCs w:val="21"/>
                    </w:rPr>
                  </w:pPr>
                  <w:r>
                    <w:rPr>
                      <w:rFonts w:hint="eastAsia"/>
                      <w:bCs/>
                      <w:color w:val="auto"/>
                      <w:szCs w:val="21"/>
                    </w:rPr>
                    <w:t>/</w:t>
                  </w:r>
                </w:p>
              </w:tc>
            </w:tr>
            <w:tr w14:paraId="173820B8">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restart"/>
                  <w:shd w:val="clear" w:color="auto" w:fill="auto"/>
                  <w:vAlign w:val="center"/>
                </w:tcPr>
                <w:p w14:paraId="173820B4">
                  <w:pPr>
                    <w:adjustRightInd w:val="0"/>
                    <w:snapToGrid w:val="0"/>
                    <w:jc w:val="center"/>
                    <w:rPr>
                      <w:color w:val="auto"/>
                      <w:szCs w:val="21"/>
                    </w:rPr>
                  </w:pPr>
                  <w:r>
                    <w:rPr>
                      <w:color w:val="auto"/>
                      <w:szCs w:val="21"/>
                    </w:rPr>
                    <w:t>公用工程</w:t>
                  </w:r>
                </w:p>
              </w:tc>
              <w:tc>
                <w:tcPr>
                  <w:tcW w:w="1249" w:type="pct"/>
                  <w:gridSpan w:val="2"/>
                  <w:shd w:val="clear" w:color="auto" w:fill="auto"/>
                  <w:vAlign w:val="center"/>
                </w:tcPr>
                <w:p w14:paraId="173820B5">
                  <w:pPr>
                    <w:adjustRightInd w:val="0"/>
                    <w:snapToGrid w:val="0"/>
                    <w:jc w:val="center"/>
                    <w:rPr>
                      <w:color w:val="auto"/>
                      <w:szCs w:val="21"/>
                    </w:rPr>
                  </w:pPr>
                  <w:r>
                    <w:rPr>
                      <w:color w:val="auto"/>
                      <w:szCs w:val="21"/>
                    </w:rPr>
                    <w:t>给水系统</w:t>
                  </w:r>
                </w:p>
              </w:tc>
              <w:tc>
                <w:tcPr>
                  <w:tcW w:w="2372" w:type="pct"/>
                  <w:gridSpan w:val="2"/>
                  <w:shd w:val="clear" w:color="auto" w:fill="auto"/>
                  <w:vAlign w:val="center"/>
                </w:tcPr>
                <w:p w14:paraId="173820B6">
                  <w:pPr>
                    <w:adjustRightInd w:val="0"/>
                    <w:snapToGrid w:val="0"/>
                    <w:jc w:val="center"/>
                    <w:rPr>
                      <w:color w:val="auto"/>
                      <w:szCs w:val="21"/>
                    </w:rPr>
                  </w:pPr>
                  <w:r>
                    <w:rPr>
                      <w:rFonts w:hint="eastAsia"/>
                      <w:color w:val="auto"/>
                      <w:szCs w:val="21"/>
                      <w:lang w:val="en-US" w:eastAsia="zh-CN"/>
                    </w:rPr>
                    <w:t>761.72</w:t>
                  </w:r>
                  <w:r>
                    <w:rPr>
                      <w:color w:val="auto"/>
                      <w:szCs w:val="21"/>
                    </w:rPr>
                    <w:t>t/a</w:t>
                  </w:r>
                </w:p>
              </w:tc>
              <w:tc>
                <w:tcPr>
                  <w:tcW w:w="1011" w:type="pct"/>
                  <w:shd w:val="clear" w:color="auto" w:fill="auto"/>
                  <w:vAlign w:val="center"/>
                </w:tcPr>
                <w:p w14:paraId="173820B7">
                  <w:pPr>
                    <w:adjustRightInd w:val="0"/>
                    <w:snapToGrid w:val="0"/>
                    <w:jc w:val="center"/>
                    <w:rPr>
                      <w:color w:val="auto"/>
                      <w:szCs w:val="21"/>
                    </w:rPr>
                  </w:pPr>
                  <w:r>
                    <w:rPr>
                      <w:rFonts w:hint="eastAsia"/>
                      <w:color w:val="auto"/>
                      <w:szCs w:val="21"/>
                    </w:rPr>
                    <w:t>市政供水</w:t>
                  </w:r>
                  <w:r>
                    <w:rPr>
                      <w:color w:val="auto"/>
                      <w:szCs w:val="21"/>
                    </w:rPr>
                    <w:t>管网</w:t>
                  </w:r>
                </w:p>
              </w:tc>
            </w:tr>
            <w:tr w14:paraId="173820BD">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B9">
                  <w:pPr>
                    <w:adjustRightInd w:val="0"/>
                    <w:snapToGrid w:val="0"/>
                    <w:jc w:val="center"/>
                    <w:rPr>
                      <w:color w:val="auto"/>
                      <w:szCs w:val="21"/>
                    </w:rPr>
                  </w:pPr>
                </w:p>
              </w:tc>
              <w:tc>
                <w:tcPr>
                  <w:tcW w:w="1249" w:type="pct"/>
                  <w:gridSpan w:val="2"/>
                  <w:shd w:val="clear" w:color="auto" w:fill="auto"/>
                  <w:vAlign w:val="center"/>
                </w:tcPr>
                <w:p w14:paraId="173820BA">
                  <w:pPr>
                    <w:adjustRightInd w:val="0"/>
                    <w:snapToGrid w:val="0"/>
                    <w:jc w:val="center"/>
                    <w:rPr>
                      <w:color w:val="auto"/>
                      <w:szCs w:val="21"/>
                    </w:rPr>
                  </w:pPr>
                  <w:r>
                    <w:rPr>
                      <w:color w:val="auto"/>
                      <w:szCs w:val="21"/>
                    </w:rPr>
                    <w:t>排水系统</w:t>
                  </w:r>
                </w:p>
              </w:tc>
              <w:tc>
                <w:tcPr>
                  <w:tcW w:w="2372" w:type="pct"/>
                  <w:gridSpan w:val="2"/>
                  <w:shd w:val="clear" w:color="auto" w:fill="auto"/>
                  <w:vAlign w:val="center"/>
                </w:tcPr>
                <w:p w14:paraId="173820BB">
                  <w:pPr>
                    <w:adjustRightInd w:val="0"/>
                    <w:snapToGrid w:val="0"/>
                    <w:jc w:val="center"/>
                    <w:rPr>
                      <w:color w:val="auto"/>
                      <w:szCs w:val="21"/>
                    </w:rPr>
                  </w:pPr>
                  <w:r>
                    <w:rPr>
                      <w:rFonts w:hint="eastAsia"/>
                      <w:color w:val="auto"/>
                      <w:szCs w:val="21"/>
                    </w:rPr>
                    <w:t>144</w:t>
                  </w:r>
                  <w:r>
                    <w:rPr>
                      <w:color w:val="auto"/>
                      <w:szCs w:val="21"/>
                    </w:rPr>
                    <w:t>t/a</w:t>
                  </w:r>
                </w:p>
              </w:tc>
              <w:tc>
                <w:tcPr>
                  <w:tcW w:w="1011" w:type="pct"/>
                  <w:shd w:val="clear" w:color="auto" w:fill="auto"/>
                  <w:vAlign w:val="center"/>
                </w:tcPr>
                <w:p w14:paraId="173820BC">
                  <w:pPr>
                    <w:jc w:val="center"/>
                    <w:rPr>
                      <w:color w:val="auto"/>
                      <w:szCs w:val="21"/>
                    </w:rPr>
                  </w:pPr>
                  <w:r>
                    <w:rPr>
                      <w:rFonts w:hint="eastAsia"/>
                      <w:bCs/>
                      <w:color w:val="auto"/>
                      <w:szCs w:val="21"/>
                    </w:rPr>
                    <w:t>生活污水经化粪池预处理后用作</w:t>
                  </w:r>
                  <w:r>
                    <w:rPr>
                      <w:rFonts w:hint="eastAsia"/>
                      <w:bCs/>
                      <w:color w:val="auto"/>
                      <w:szCs w:val="21"/>
                      <w:lang w:val="en-US" w:eastAsia="zh-CN"/>
                    </w:rPr>
                    <w:t>农田灌溉</w:t>
                  </w:r>
                  <w:r>
                    <w:rPr>
                      <w:rFonts w:hint="eastAsia"/>
                      <w:bCs/>
                      <w:color w:val="auto"/>
                      <w:szCs w:val="21"/>
                    </w:rPr>
                    <w:t>，不外排</w:t>
                  </w:r>
                </w:p>
              </w:tc>
            </w:tr>
            <w:tr w14:paraId="173820C2">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BE">
                  <w:pPr>
                    <w:adjustRightInd w:val="0"/>
                    <w:snapToGrid w:val="0"/>
                    <w:jc w:val="center"/>
                    <w:rPr>
                      <w:color w:val="auto"/>
                      <w:szCs w:val="21"/>
                    </w:rPr>
                  </w:pPr>
                </w:p>
              </w:tc>
              <w:tc>
                <w:tcPr>
                  <w:tcW w:w="1249" w:type="pct"/>
                  <w:gridSpan w:val="2"/>
                  <w:shd w:val="clear" w:color="auto" w:fill="auto"/>
                  <w:vAlign w:val="center"/>
                </w:tcPr>
                <w:p w14:paraId="173820BF">
                  <w:pPr>
                    <w:adjustRightInd w:val="0"/>
                    <w:snapToGrid w:val="0"/>
                    <w:jc w:val="center"/>
                    <w:rPr>
                      <w:color w:val="auto"/>
                      <w:szCs w:val="21"/>
                    </w:rPr>
                  </w:pPr>
                  <w:r>
                    <w:rPr>
                      <w:color w:val="auto"/>
                      <w:szCs w:val="21"/>
                    </w:rPr>
                    <w:t>供电系统</w:t>
                  </w:r>
                </w:p>
              </w:tc>
              <w:tc>
                <w:tcPr>
                  <w:tcW w:w="2372" w:type="pct"/>
                  <w:gridSpan w:val="2"/>
                  <w:tcBorders>
                    <w:bottom w:val="single" w:color="auto" w:sz="2" w:space="0"/>
                  </w:tcBorders>
                  <w:shd w:val="clear" w:color="auto" w:fill="auto"/>
                  <w:vAlign w:val="center"/>
                </w:tcPr>
                <w:p w14:paraId="173820C0">
                  <w:pPr>
                    <w:adjustRightInd w:val="0"/>
                    <w:snapToGrid w:val="0"/>
                    <w:jc w:val="center"/>
                    <w:rPr>
                      <w:color w:val="auto"/>
                      <w:szCs w:val="21"/>
                    </w:rPr>
                  </w:pPr>
                  <w:r>
                    <w:rPr>
                      <w:rFonts w:hint="eastAsia"/>
                      <w:color w:val="auto"/>
                      <w:szCs w:val="21"/>
                    </w:rPr>
                    <w:t>40</w:t>
                  </w:r>
                  <w:r>
                    <w:rPr>
                      <w:color w:val="auto"/>
                      <w:szCs w:val="21"/>
                    </w:rPr>
                    <w:t>万kWh/a</w:t>
                  </w:r>
                </w:p>
              </w:tc>
              <w:tc>
                <w:tcPr>
                  <w:tcW w:w="1011" w:type="pct"/>
                  <w:tcBorders>
                    <w:bottom w:val="single" w:color="auto" w:sz="2" w:space="0"/>
                  </w:tcBorders>
                  <w:shd w:val="clear" w:color="auto" w:fill="auto"/>
                  <w:vAlign w:val="center"/>
                </w:tcPr>
                <w:p w14:paraId="173820C1">
                  <w:pPr>
                    <w:adjustRightInd w:val="0"/>
                    <w:snapToGrid w:val="0"/>
                    <w:jc w:val="center"/>
                    <w:rPr>
                      <w:color w:val="auto"/>
                      <w:szCs w:val="21"/>
                    </w:rPr>
                  </w:pPr>
                  <w:r>
                    <w:rPr>
                      <w:color w:val="auto"/>
                      <w:szCs w:val="21"/>
                    </w:rPr>
                    <w:t>市政供电管网</w:t>
                  </w:r>
                </w:p>
              </w:tc>
            </w:tr>
            <w:tr w14:paraId="173820C7">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shd w:val="clear" w:color="auto" w:fill="auto"/>
                  <w:vAlign w:val="center"/>
                </w:tcPr>
                <w:p w14:paraId="173820C3">
                  <w:pPr>
                    <w:adjustRightInd w:val="0"/>
                    <w:snapToGrid w:val="0"/>
                    <w:jc w:val="center"/>
                    <w:rPr>
                      <w:color w:val="auto"/>
                      <w:szCs w:val="21"/>
                    </w:rPr>
                  </w:pPr>
                  <w:r>
                    <w:rPr>
                      <w:rFonts w:hint="eastAsia"/>
                      <w:color w:val="auto"/>
                      <w:szCs w:val="21"/>
                    </w:rPr>
                    <w:t>辅助工程</w:t>
                  </w:r>
                </w:p>
              </w:tc>
              <w:tc>
                <w:tcPr>
                  <w:tcW w:w="1249" w:type="pct"/>
                  <w:gridSpan w:val="2"/>
                  <w:shd w:val="clear" w:color="auto" w:fill="auto"/>
                  <w:vAlign w:val="center"/>
                </w:tcPr>
                <w:p w14:paraId="173820C4">
                  <w:pPr>
                    <w:adjustRightInd w:val="0"/>
                    <w:snapToGrid w:val="0"/>
                    <w:jc w:val="center"/>
                    <w:rPr>
                      <w:color w:val="auto"/>
                      <w:szCs w:val="21"/>
                    </w:rPr>
                  </w:pPr>
                  <w:r>
                    <w:rPr>
                      <w:rFonts w:hint="eastAsia"/>
                      <w:color w:val="auto"/>
                      <w:szCs w:val="21"/>
                    </w:rPr>
                    <w:t>办公室</w:t>
                  </w:r>
                </w:p>
              </w:tc>
              <w:tc>
                <w:tcPr>
                  <w:tcW w:w="2372" w:type="pct"/>
                  <w:gridSpan w:val="2"/>
                  <w:tcBorders>
                    <w:bottom w:val="single" w:color="auto" w:sz="2" w:space="0"/>
                  </w:tcBorders>
                  <w:shd w:val="clear" w:color="auto" w:fill="auto"/>
                  <w:vAlign w:val="center"/>
                </w:tcPr>
                <w:p w14:paraId="173820C5">
                  <w:pPr>
                    <w:adjustRightInd w:val="0"/>
                    <w:snapToGrid w:val="0"/>
                    <w:jc w:val="center"/>
                    <w:rPr>
                      <w:color w:val="auto"/>
                      <w:szCs w:val="21"/>
                    </w:rPr>
                  </w:pPr>
                  <w:r>
                    <w:rPr>
                      <w:rFonts w:hint="eastAsia"/>
                      <w:color w:val="auto"/>
                      <w:szCs w:val="21"/>
                    </w:rPr>
                    <w:t>建筑面积88</w:t>
                  </w:r>
                  <w:r>
                    <w:rPr>
                      <w:bCs/>
                      <w:color w:val="auto"/>
                      <w:szCs w:val="21"/>
                    </w:rPr>
                    <w:t>m</w:t>
                  </w:r>
                  <w:r>
                    <w:rPr>
                      <w:bCs/>
                      <w:color w:val="auto"/>
                      <w:szCs w:val="21"/>
                      <w:vertAlign w:val="superscript"/>
                    </w:rPr>
                    <w:t>2</w:t>
                  </w:r>
                  <w:r>
                    <w:rPr>
                      <w:rFonts w:hint="eastAsia"/>
                      <w:bCs/>
                      <w:color w:val="auto"/>
                      <w:szCs w:val="21"/>
                    </w:rPr>
                    <w:t>，位于原料仓库南侧</w:t>
                  </w:r>
                </w:p>
              </w:tc>
              <w:tc>
                <w:tcPr>
                  <w:tcW w:w="1011" w:type="pct"/>
                  <w:tcBorders>
                    <w:bottom w:val="single" w:color="auto" w:sz="2" w:space="0"/>
                  </w:tcBorders>
                  <w:shd w:val="clear" w:color="auto" w:fill="auto"/>
                  <w:vAlign w:val="center"/>
                </w:tcPr>
                <w:p w14:paraId="173820C6">
                  <w:pPr>
                    <w:jc w:val="center"/>
                    <w:rPr>
                      <w:bCs/>
                      <w:color w:val="auto"/>
                      <w:szCs w:val="21"/>
                    </w:rPr>
                  </w:pPr>
                  <w:r>
                    <w:rPr>
                      <w:rFonts w:hint="eastAsia"/>
                      <w:bCs/>
                      <w:color w:val="auto"/>
                      <w:szCs w:val="21"/>
                    </w:rPr>
                    <w:t>/</w:t>
                  </w:r>
                </w:p>
              </w:tc>
            </w:tr>
            <w:tr w14:paraId="173820CF">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restart"/>
                  <w:shd w:val="clear" w:color="auto" w:fill="auto"/>
                  <w:vAlign w:val="center"/>
                </w:tcPr>
                <w:p w14:paraId="173820C8">
                  <w:pPr>
                    <w:adjustRightInd w:val="0"/>
                    <w:snapToGrid w:val="0"/>
                    <w:jc w:val="center"/>
                    <w:rPr>
                      <w:color w:val="auto"/>
                      <w:szCs w:val="21"/>
                    </w:rPr>
                  </w:pPr>
                  <w:r>
                    <w:rPr>
                      <w:color w:val="auto"/>
                      <w:szCs w:val="21"/>
                    </w:rPr>
                    <w:t>环保工程</w:t>
                  </w:r>
                </w:p>
              </w:tc>
              <w:tc>
                <w:tcPr>
                  <w:tcW w:w="298" w:type="pct"/>
                  <w:vMerge w:val="restart"/>
                  <w:shd w:val="clear" w:color="auto" w:fill="auto"/>
                  <w:vAlign w:val="center"/>
                </w:tcPr>
                <w:p w14:paraId="173820C9">
                  <w:pPr>
                    <w:adjustRightInd w:val="0"/>
                    <w:snapToGrid w:val="0"/>
                    <w:jc w:val="center"/>
                    <w:rPr>
                      <w:bCs/>
                      <w:color w:val="auto"/>
                      <w:szCs w:val="21"/>
                    </w:rPr>
                  </w:pPr>
                  <w:r>
                    <w:rPr>
                      <w:bCs/>
                      <w:color w:val="auto"/>
                      <w:szCs w:val="21"/>
                    </w:rPr>
                    <w:t>废气</w:t>
                  </w:r>
                </w:p>
                <w:p w14:paraId="173820CA">
                  <w:pPr>
                    <w:adjustRightInd w:val="0"/>
                    <w:snapToGrid w:val="0"/>
                    <w:jc w:val="center"/>
                    <w:rPr>
                      <w:color w:val="auto"/>
                      <w:szCs w:val="21"/>
                    </w:rPr>
                  </w:pPr>
                  <w:r>
                    <w:rPr>
                      <w:bCs/>
                      <w:color w:val="auto"/>
                      <w:szCs w:val="21"/>
                    </w:rPr>
                    <w:t>处理</w:t>
                  </w:r>
                </w:p>
              </w:tc>
              <w:tc>
                <w:tcPr>
                  <w:tcW w:w="951" w:type="pct"/>
                  <w:shd w:val="clear" w:color="auto" w:fill="auto"/>
                  <w:vAlign w:val="center"/>
                </w:tcPr>
                <w:p w14:paraId="173820CB">
                  <w:pPr>
                    <w:adjustRightInd w:val="0"/>
                    <w:snapToGrid w:val="0"/>
                    <w:jc w:val="center"/>
                    <w:rPr>
                      <w:bCs/>
                      <w:color w:val="auto"/>
                      <w:szCs w:val="21"/>
                    </w:rPr>
                  </w:pPr>
                  <w:r>
                    <w:rPr>
                      <w:rFonts w:hint="eastAsia"/>
                      <w:bCs/>
                      <w:color w:val="auto"/>
                      <w:szCs w:val="21"/>
                    </w:rPr>
                    <w:t>投料粉尘、搅拌废气、浸纱废气、固化废气</w:t>
                  </w:r>
                </w:p>
              </w:tc>
              <w:tc>
                <w:tcPr>
                  <w:tcW w:w="1574" w:type="pct"/>
                  <w:shd w:val="clear" w:color="auto" w:fill="auto"/>
                  <w:vAlign w:val="center"/>
                </w:tcPr>
                <w:p w14:paraId="173820CC">
                  <w:pPr>
                    <w:adjustRightInd w:val="0"/>
                    <w:snapToGrid w:val="0"/>
                    <w:jc w:val="center"/>
                    <w:rPr>
                      <w:color w:val="auto"/>
                      <w:szCs w:val="21"/>
                    </w:rPr>
                  </w:pPr>
                  <w:r>
                    <w:rPr>
                      <w:rFonts w:hint="eastAsia"/>
                      <w:color w:val="auto"/>
                      <w:szCs w:val="21"/>
                    </w:rPr>
                    <w:t>密闭车间+管道负压收集</w:t>
                  </w:r>
                </w:p>
              </w:tc>
              <w:tc>
                <w:tcPr>
                  <w:tcW w:w="798" w:type="pct"/>
                  <w:vMerge w:val="restart"/>
                  <w:shd w:val="clear" w:color="auto" w:fill="auto"/>
                  <w:vAlign w:val="center"/>
                </w:tcPr>
                <w:p w14:paraId="173820CD">
                  <w:pPr>
                    <w:adjustRightInd w:val="0"/>
                    <w:snapToGrid w:val="0"/>
                    <w:jc w:val="center"/>
                    <w:rPr>
                      <w:color w:val="auto"/>
                      <w:szCs w:val="21"/>
                    </w:rPr>
                  </w:pPr>
                  <w:r>
                    <w:rPr>
                      <w:rFonts w:hint="eastAsia"/>
                      <w:color w:val="auto"/>
                      <w:szCs w:val="21"/>
                    </w:rPr>
                    <w:t>二级活性炭+15米高排气筒</w:t>
                  </w:r>
                  <w:r>
                    <w:rPr>
                      <w:rFonts w:hint="eastAsia"/>
                      <w:color w:val="auto"/>
                    </w:rPr>
                    <w:t>（DA001），风量9000m</w:t>
                  </w:r>
                  <w:r>
                    <w:rPr>
                      <w:rFonts w:hint="eastAsia"/>
                      <w:color w:val="auto"/>
                      <w:vertAlign w:val="superscript"/>
                    </w:rPr>
                    <w:t>3</w:t>
                  </w:r>
                  <w:r>
                    <w:rPr>
                      <w:rFonts w:hint="eastAsia"/>
                      <w:color w:val="auto"/>
                    </w:rPr>
                    <w:t>/h</w:t>
                  </w:r>
                </w:p>
              </w:tc>
              <w:tc>
                <w:tcPr>
                  <w:tcW w:w="1011" w:type="pct"/>
                  <w:vMerge w:val="restart"/>
                  <w:shd w:val="clear" w:color="auto" w:fill="auto"/>
                  <w:vAlign w:val="center"/>
                </w:tcPr>
                <w:p w14:paraId="173820CE">
                  <w:pPr>
                    <w:jc w:val="center"/>
                    <w:rPr>
                      <w:bCs/>
                      <w:color w:val="auto"/>
                      <w:szCs w:val="21"/>
                    </w:rPr>
                  </w:pPr>
                  <w:r>
                    <w:rPr>
                      <w:rFonts w:hint="eastAsia"/>
                      <w:bCs/>
                      <w:color w:val="auto"/>
                      <w:szCs w:val="21"/>
                    </w:rPr>
                    <w:t>新建</w:t>
                  </w:r>
                </w:p>
              </w:tc>
            </w:tr>
            <w:tr w14:paraId="173820D6">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D0">
                  <w:pPr>
                    <w:adjustRightInd w:val="0"/>
                    <w:snapToGrid w:val="0"/>
                    <w:jc w:val="center"/>
                    <w:rPr>
                      <w:color w:val="auto"/>
                      <w:szCs w:val="21"/>
                    </w:rPr>
                  </w:pPr>
                </w:p>
              </w:tc>
              <w:tc>
                <w:tcPr>
                  <w:tcW w:w="298" w:type="pct"/>
                  <w:vMerge w:val="continue"/>
                  <w:shd w:val="clear" w:color="auto" w:fill="auto"/>
                  <w:vAlign w:val="center"/>
                </w:tcPr>
                <w:p w14:paraId="173820D1">
                  <w:pPr>
                    <w:adjustRightInd w:val="0"/>
                    <w:snapToGrid w:val="0"/>
                    <w:jc w:val="center"/>
                    <w:rPr>
                      <w:bCs/>
                      <w:color w:val="auto"/>
                      <w:szCs w:val="21"/>
                    </w:rPr>
                  </w:pPr>
                </w:p>
              </w:tc>
              <w:tc>
                <w:tcPr>
                  <w:tcW w:w="951" w:type="pct"/>
                  <w:shd w:val="clear" w:color="auto" w:fill="auto"/>
                  <w:vAlign w:val="center"/>
                </w:tcPr>
                <w:p w14:paraId="173820D2">
                  <w:pPr>
                    <w:adjustRightInd w:val="0"/>
                    <w:snapToGrid w:val="0"/>
                    <w:jc w:val="center"/>
                    <w:rPr>
                      <w:bCs/>
                      <w:color w:val="auto"/>
                      <w:szCs w:val="21"/>
                    </w:rPr>
                  </w:pPr>
                  <w:r>
                    <w:rPr>
                      <w:rFonts w:hint="eastAsia"/>
                      <w:bCs/>
                      <w:color w:val="auto"/>
                      <w:szCs w:val="21"/>
                    </w:rPr>
                    <w:t>注塑废气</w:t>
                  </w:r>
                </w:p>
              </w:tc>
              <w:tc>
                <w:tcPr>
                  <w:tcW w:w="1574" w:type="pct"/>
                  <w:shd w:val="clear" w:color="auto" w:fill="auto"/>
                  <w:vAlign w:val="center"/>
                </w:tcPr>
                <w:p w14:paraId="173820D3">
                  <w:pPr>
                    <w:adjustRightInd w:val="0"/>
                    <w:snapToGrid w:val="0"/>
                    <w:jc w:val="center"/>
                    <w:rPr>
                      <w:color w:val="auto"/>
                      <w:szCs w:val="21"/>
                    </w:rPr>
                  </w:pPr>
                  <w:r>
                    <w:rPr>
                      <w:rFonts w:hint="eastAsia"/>
                      <w:color w:val="auto"/>
                      <w:szCs w:val="21"/>
                      <w:lang w:val="en-US" w:eastAsia="zh-CN"/>
                    </w:rPr>
                    <w:t>密闭车间+</w:t>
                  </w:r>
                  <w:r>
                    <w:rPr>
                      <w:rFonts w:hint="eastAsia"/>
                      <w:color w:val="auto"/>
                      <w:szCs w:val="21"/>
                    </w:rPr>
                    <w:t>集气罩收集</w:t>
                  </w:r>
                </w:p>
              </w:tc>
              <w:tc>
                <w:tcPr>
                  <w:tcW w:w="798" w:type="pct"/>
                  <w:vMerge w:val="continue"/>
                  <w:shd w:val="clear" w:color="auto" w:fill="auto"/>
                  <w:vAlign w:val="center"/>
                </w:tcPr>
                <w:p w14:paraId="173820D4">
                  <w:pPr>
                    <w:adjustRightInd w:val="0"/>
                    <w:snapToGrid w:val="0"/>
                    <w:jc w:val="center"/>
                    <w:rPr>
                      <w:color w:val="auto"/>
                      <w:szCs w:val="21"/>
                    </w:rPr>
                  </w:pPr>
                </w:p>
              </w:tc>
              <w:tc>
                <w:tcPr>
                  <w:tcW w:w="1011" w:type="pct"/>
                  <w:vMerge w:val="continue"/>
                  <w:shd w:val="clear" w:color="auto" w:fill="auto"/>
                  <w:vAlign w:val="center"/>
                </w:tcPr>
                <w:p w14:paraId="173820D5">
                  <w:pPr>
                    <w:jc w:val="center"/>
                    <w:rPr>
                      <w:bCs/>
                      <w:color w:val="auto"/>
                      <w:szCs w:val="21"/>
                    </w:rPr>
                  </w:pPr>
                </w:p>
              </w:tc>
            </w:tr>
            <w:tr w14:paraId="173820DD">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D7">
                  <w:pPr>
                    <w:adjustRightInd w:val="0"/>
                    <w:snapToGrid w:val="0"/>
                    <w:jc w:val="center"/>
                    <w:rPr>
                      <w:color w:val="auto"/>
                      <w:szCs w:val="21"/>
                    </w:rPr>
                  </w:pPr>
                </w:p>
              </w:tc>
              <w:tc>
                <w:tcPr>
                  <w:tcW w:w="298" w:type="pct"/>
                  <w:vMerge w:val="continue"/>
                  <w:shd w:val="clear" w:color="auto" w:fill="auto"/>
                  <w:vAlign w:val="center"/>
                </w:tcPr>
                <w:p w14:paraId="173820D8">
                  <w:pPr>
                    <w:adjustRightInd w:val="0"/>
                    <w:snapToGrid w:val="0"/>
                    <w:jc w:val="center"/>
                    <w:rPr>
                      <w:bCs/>
                      <w:color w:val="auto"/>
                      <w:szCs w:val="21"/>
                    </w:rPr>
                  </w:pPr>
                </w:p>
              </w:tc>
              <w:tc>
                <w:tcPr>
                  <w:tcW w:w="951" w:type="pct"/>
                  <w:shd w:val="clear" w:color="auto" w:fill="auto"/>
                  <w:vAlign w:val="center"/>
                </w:tcPr>
                <w:p w14:paraId="173820D9">
                  <w:pPr>
                    <w:adjustRightInd w:val="0"/>
                    <w:snapToGrid w:val="0"/>
                    <w:jc w:val="center"/>
                    <w:rPr>
                      <w:bCs/>
                      <w:color w:val="auto"/>
                      <w:szCs w:val="21"/>
                    </w:rPr>
                  </w:pPr>
                  <w:r>
                    <w:rPr>
                      <w:rFonts w:hint="eastAsia"/>
                      <w:bCs/>
                      <w:color w:val="auto"/>
                      <w:szCs w:val="21"/>
                    </w:rPr>
                    <w:t>固化废气</w:t>
                  </w:r>
                </w:p>
              </w:tc>
              <w:tc>
                <w:tcPr>
                  <w:tcW w:w="1574" w:type="pct"/>
                  <w:shd w:val="clear" w:color="auto" w:fill="auto"/>
                  <w:vAlign w:val="center"/>
                </w:tcPr>
                <w:p w14:paraId="173820DA">
                  <w:pPr>
                    <w:adjustRightInd w:val="0"/>
                    <w:snapToGrid w:val="0"/>
                    <w:jc w:val="center"/>
                    <w:rPr>
                      <w:color w:val="auto"/>
                      <w:szCs w:val="21"/>
                    </w:rPr>
                  </w:pPr>
                  <w:r>
                    <w:rPr>
                      <w:rFonts w:hint="eastAsia"/>
                      <w:color w:val="auto"/>
                      <w:szCs w:val="21"/>
                      <w:lang w:val="en-US" w:eastAsia="zh-CN"/>
                    </w:rPr>
                    <w:t>密闭车间+</w:t>
                  </w:r>
                  <w:r>
                    <w:rPr>
                      <w:rFonts w:hint="eastAsia"/>
                      <w:color w:val="auto"/>
                      <w:szCs w:val="21"/>
                    </w:rPr>
                    <w:t>集气罩收集</w:t>
                  </w:r>
                </w:p>
              </w:tc>
              <w:tc>
                <w:tcPr>
                  <w:tcW w:w="798" w:type="pct"/>
                  <w:vMerge w:val="continue"/>
                  <w:shd w:val="clear" w:color="auto" w:fill="auto"/>
                  <w:vAlign w:val="center"/>
                </w:tcPr>
                <w:p w14:paraId="173820DB">
                  <w:pPr>
                    <w:adjustRightInd w:val="0"/>
                    <w:snapToGrid w:val="0"/>
                    <w:jc w:val="center"/>
                    <w:rPr>
                      <w:color w:val="auto"/>
                      <w:szCs w:val="21"/>
                    </w:rPr>
                  </w:pPr>
                </w:p>
              </w:tc>
              <w:tc>
                <w:tcPr>
                  <w:tcW w:w="1011" w:type="pct"/>
                  <w:vMerge w:val="continue"/>
                  <w:shd w:val="clear" w:color="auto" w:fill="auto"/>
                  <w:vAlign w:val="center"/>
                </w:tcPr>
                <w:p w14:paraId="173820DC">
                  <w:pPr>
                    <w:jc w:val="center"/>
                    <w:rPr>
                      <w:bCs/>
                      <w:color w:val="auto"/>
                      <w:szCs w:val="21"/>
                    </w:rPr>
                  </w:pPr>
                </w:p>
              </w:tc>
            </w:tr>
            <w:tr w14:paraId="173820E4">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DE">
                  <w:pPr>
                    <w:adjustRightInd w:val="0"/>
                    <w:snapToGrid w:val="0"/>
                    <w:jc w:val="center"/>
                    <w:rPr>
                      <w:color w:val="auto"/>
                      <w:szCs w:val="21"/>
                    </w:rPr>
                  </w:pPr>
                </w:p>
              </w:tc>
              <w:tc>
                <w:tcPr>
                  <w:tcW w:w="298" w:type="pct"/>
                  <w:vMerge w:val="continue"/>
                  <w:shd w:val="clear" w:color="auto" w:fill="auto"/>
                  <w:vAlign w:val="center"/>
                </w:tcPr>
                <w:p w14:paraId="173820DF">
                  <w:pPr>
                    <w:adjustRightInd w:val="0"/>
                    <w:snapToGrid w:val="0"/>
                    <w:jc w:val="center"/>
                    <w:rPr>
                      <w:bCs/>
                      <w:color w:val="auto"/>
                      <w:szCs w:val="21"/>
                    </w:rPr>
                  </w:pPr>
                </w:p>
              </w:tc>
              <w:tc>
                <w:tcPr>
                  <w:tcW w:w="951" w:type="pct"/>
                  <w:shd w:val="clear" w:color="auto" w:fill="auto"/>
                  <w:vAlign w:val="center"/>
                </w:tcPr>
                <w:p w14:paraId="173820E0">
                  <w:pPr>
                    <w:adjustRightInd w:val="0"/>
                    <w:snapToGrid w:val="0"/>
                    <w:jc w:val="center"/>
                    <w:rPr>
                      <w:bCs/>
                      <w:color w:val="auto"/>
                      <w:szCs w:val="21"/>
                    </w:rPr>
                  </w:pPr>
                  <w:r>
                    <w:rPr>
                      <w:rFonts w:hint="eastAsia"/>
                      <w:bCs/>
                      <w:color w:val="auto"/>
                      <w:szCs w:val="21"/>
                    </w:rPr>
                    <w:t>抛丸废气</w:t>
                  </w:r>
                </w:p>
              </w:tc>
              <w:tc>
                <w:tcPr>
                  <w:tcW w:w="1574" w:type="pct"/>
                  <w:shd w:val="clear" w:color="auto" w:fill="auto"/>
                  <w:vAlign w:val="center"/>
                </w:tcPr>
                <w:p w14:paraId="173820E1">
                  <w:pPr>
                    <w:adjustRightInd w:val="0"/>
                    <w:snapToGrid w:val="0"/>
                    <w:jc w:val="center"/>
                    <w:rPr>
                      <w:color w:val="auto"/>
                      <w:szCs w:val="21"/>
                    </w:rPr>
                  </w:pPr>
                  <w:r>
                    <w:rPr>
                      <w:rFonts w:hint="eastAsia"/>
                      <w:color w:val="auto"/>
                      <w:szCs w:val="21"/>
                    </w:rPr>
                    <w:t>管道负压收集+布袋除尘器（系统自带）</w:t>
                  </w:r>
                </w:p>
              </w:tc>
              <w:tc>
                <w:tcPr>
                  <w:tcW w:w="798" w:type="pct"/>
                  <w:vMerge w:val="restart"/>
                  <w:shd w:val="clear" w:color="auto" w:fill="auto"/>
                  <w:vAlign w:val="center"/>
                </w:tcPr>
                <w:p w14:paraId="173820E2">
                  <w:pPr>
                    <w:adjustRightInd w:val="0"/>
                    <w:snapToGrid w:val="0"/>
                    <w:jc w:val="center"/>
                    <w:rPr>
                      <w:color w:val="auto"/>
                      <w:szCs w:val="21"/>
                    </w:rPr>
                  </w:pPr>
                  <w:r>
                    <w:rPr>
                      <w:rFonts w:hint="eastAsia"/>
                      <w:color w:val="auto"/>
                      <w:szCs w:val="21"/>
                    </w:rPr>
                    <w:t>15米高排气筒（DA002），风量10000</w:t>
                  </w:r>
                  <w:r>
                    <w:rPr>
                      <w:rFonts w:hint="eastAsia"/>
                      <w:color w:val="auto"/>
                    </w:rPr>
                    <w:t>m</w:t>
                  </w:r>
                  <w:r>
                    <w:rPr>
                      <w:rFonts w:hint="eastAsia"/>
                      <w:color w:val="auto"/>
                      <w:vertAlign w:val="superscript"/>
                    </w:rPr>
                    <w:t>3</w:t>
                  </w:r>
                  <w:r>
                    <w:rPr>
                      <w:rFonts w:hint="eastAsia"/>
                      <w:color w:val="auto"/>
                    </w:rPr>
                    <w:t>/h</w:t>
                  </w:r>
                </w:p>
              </w:tc>
              <w:tc>
                <w:tcPr>
                  <w:tcW w:w="1011" w:type="pct"/>
                  <w:vMerge w:val="restart"/>
                  <w:shd w:val="clear" w:color="auto" w:fill="auto"/>
                  <w:vAlign w:val="center"/>
                </w:tcPr>
                <w:p w14:paraId="173820E3">
                  <w:pPr>
                    <w:jc w:val="center"/>
                    <w:rPr>
                      <w:bCs/>
                      <w:color w:val="auto"/>
                      <w:szCs w:val="21"/>
                    </w:rPr>
                  </w:pPr>
                  <w:r>
                    <w:rPr>
                      <w:rFonts w:hint="eastAsia"/>
                      <w:bCs/>
                      <w:color w:val="auto"/>
                      <w:szCs w:val="21"/>
                    </w:rPr>
                    <w:t>新建</w:t>
                  </w:r>
                </w:p>
              </w:tc>
            </w:tr>
            <w:tr w14:paraId="173820EB">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E5">
                  <w:pPr>
                    <w:adjustRightInd w:val="0"/>
                    <w:snapToGrid w:val="0"/>
                    <w:jc w:val="center"/>
                    <w:rPr>
                      <w:color w:val="auto"/>
                      <w:szCs w:val="21"/>
                    </w:rPr>
                  </w:pPr>
                </w:p>
              </w:tc>
              <w:tc>
                <w:tcPr>
                  <w:tcW w:w="298" w:type="pct"/>
                  <w:vMerge w:val="continue"/>
                  <w:shd w:val="clear" w:color="auto" w:fill="auto"/>
                  <w:vAlign w:val="center"/>
                </w:tcPr>
                <w:p w14:paraId="173820E6">
                  <w:pPr>
                    <w:adjustRightInd w:val="0"/>
                    <w:snapToGrid w:val="0"/>
                    <w:jc w:val="center"/>
                    <w:rPr>
                      <w:bCs/>
                      <w:color w:val="auto"/>
                      <w:szCs w:val="21"/>
                    </w:rPr>
                  </w:pPr>
                </w:p>
              </w:tc>
              <w:tc>
                <w:tcPr>
                  <w:tcW w:w="951" w:type="pct"/>
                  <w:shd w:val="clear" w:color="auto" w:fill="auto"/>
                  <w:vAlign w:val="center"/>
                </w:tcPr>
                <w:p w14:paraId="173820E7">
                  <w:pPr>
                    <w:adjustRightInd w:val="0"/>
                    <w:snapToGrid w:val="0"/>
                    <w:jc w:val="center"/>
                    <w:rPr>
                      <w:bCs/>
                      <w:color w:val="auto"/>
                      <w:szCs w:val="21"/>
                    </w:rPr>
                  </w:pPr>
                  <w:r>
                    <w:rPr>
                      <w:rFonts w:hint="eastAsia"/>
                      <w:bCs/>
                      <w:color w:val="auto"/>
                      <w:szCs w:val="21"/>
                    </w:rPr>
                    <w:t>喷塑废气</w:t>
                  </w:r>
                </w:p>
              </w:tc>
              <w:tc>
                <w:tcPr>
                  <w:tcW w:w="1574" w:type="pct"/>
                  <w:shd w:val="clear" w:color="auto" w:fill="auto"/>
                  <w:vAlign w:val="center"/>
                </w:tcPr>
                <w:p w14:paraId="173820E8">
                  <w:pPr>
                    <w:adjustRightInd w:val="0"/>
                    <w:snapToGrid w:val="0"/>
                    <w:jc w:val="center"/>
                    <w:rPr>
                      <w:color w:val="auto"/>
                      <w:szCs w:val="21"/>
                    </w:rPr>
                  </w:pPr>
                  <w:r>
                    <w:rPr>
                      <w:rFonts w:hint="eastAsia"/>
                      <w:color w:val="auto"/>
                      <w:szCs w:val="21"/>
                    </w:rPr>
                    <w:t>管道负压收集+旋风+脉冲滤芯除尘器（系统自带）</w:t>
                  </w:r>
                </w:p>
              </w:tc>
              <w:tc>
                <w:tcPr>
                  <w:tcW w:w="798" w:type="pct"/>
                  <w:vMerge w:val="continue"/>
                  <w:shd w:val="clear" w:color="auto" w:fill="auto"/>
                  <w:vAlign w:val="center"/>
                </w:tcPr>
                <w:p w14:paraId="173820E9">
                  <w:pPr>
                    <w:adjustRightInd w:val="0"/>
                    <w:snapToGrid w:val="0"/>
                    <w:jc w:val="center"/>
                    <w:rPr>
                      <w:color w:val="auto"/>
                      <w:szCs w:val="21"/>
                    </w:rPr>
                  </w:pPr>
                </w:p>
              </w:tc>
              <w:tc>
                <w:tcPr>
                  <w:tcW w:w="1011" w:type="pct"/>
                  <w:vMerge w:val="continue"/>
                  <w:shd w:val="clear" w:color="auto" w:fill="auto"/>
                  <w:vAlign w:val="center"/>
                </w:tcPr>
                <w:p w14:paraId="173820EA">
                  <w:pPr>
                    <w:jc w:val="center"/>
                    <w:rPr>
                      <w:bCs/>
                      <w:color w:val="auto"/>
                      <w:szCs w:val="21"/>
                    </w:rPr>
                  </w:pPr>
                </w:p>
              </w:tc>
            </w:tr>
            <w:tr w14:paraId="173820F1">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EC">
                  <w:pPr>
                    <w:adjustRightInd w:val="0"/>
                    <w:snapToGrid w:val="0"/>
                    <w:jc w:val="center"/>
                    <w:rPr>
                      <w:color w:val="auto"/>
                      <w:szCs w:val="21"/>
                    </w:rPr>
                  </w:pPr>
                </w:p>
              </w:tc>
              <w:tc>
                <w:tcPr>
                  <w:tcW w:w="298" w:type="pct"/>
                  <w:vMerge w:val="continue"/>
                  <w:shd w:val="clear" w:color="auto" w:fill="auto"/>
                  <w:vAlign w:val="center"/>
                </w:tcPr>
                <w:p w14:paraId="173820ED">
                  <w:pPr>
                    <w:adjustRightInd w:val="0"/>
                    <w:snapToGrid w:val="0"/>
                    <w:jc w:val="center"/>
                    <w:rPr>
                      <w:bCs/>
                      <w:color w:val="auto"/>
                      <w:szCs w:val="21"/>
                    </w:rPr>
                  </w:pPr>
                </w:p>
              </w:tc>
              <w:tc>
                <w:tcPr>
                  <w:tcW w:w="951" w:type="pct"/>
                  <w:shd w:val="clear" w:color="auto" w:fill="auto"/>
                  <w:vAlign w:val="center"/>
                </w:tcPr>
                <w:p w14:paraId="173820EE">
                  <w:pPr>
                    <w:adjustRightInd w:val="0"/>
                    <w:snapToGrid w:val="0"/>
                    <w:jc w:val="center"/>
                    <w:rPr>
                      <w:bCs/>
                      <w:color w:val="auto"/>
                      <w:szCs w:val="21"/>
                    </w:rPr>
                  </w:pPr>
                  <w:r>
                    <w:rPr>
                      <w:rFonts w:hint="eastAsia"/>
                      <w:bCs/>
                      <w:color w:val="auto"/>
                      <w:szCs w:val="21"/>
                    </w:rPr>
                    <w:t>抛光废气</w:t>
                  </w:r>
                </w:p>
              </w:tc>
              <w:tc>
                <w:tcPr>
                  <w:tcW w:w="2372" w:type="pct"/>
                  <w:gridSpan w:val="2"/>
                  <w:shd w:val="clear" w:color="auto" w:fill="auto"/>
                  <w:vAlign w:val="center"/>
                </w:tcPr>
                <w:p w14:paraId="173820EF">
                  <w:pPr>
                    <w:adjustRightInd w:val="0"/>
                    <w:snapToGrid w:val="0"/>
                    <w:jc w:val="center"/>
                    <w:rPr>
                      <w:color w:val="auto"/>
                      <w:szCs w:val="21"/>
                    </w:rPr>
                  </w:pPr>
                  <w:r>
                    <w:rPr>
                      <w:rFonts w:hint="eastAsia"/>
                      <w:color w:val="auto"/>
                      <w:szCs w:val="21"/>
                    </w:rPr>
                    <w:t>集气罩收集+布袋除尘器+15米高排气筒（DA003），风量3000</w:t>
                  </w:r>
                  <w:r>
                    <w:rPr>
                      <w:rFonts w:hint="eastAsia"/>
                      <w:color w:val="auto"/>
                    </w:rPr>
                    <w:t>m</w:t>
                  </w:r>
                  <w:r>
                    <w:rPr>
                      <w:rFonts w:hint="eastAsia"/>
                      <w:color w:val="auto"/>
                      <w:vertAlign w:val="superscript"/>
                    </w:rPr>
                    <w:t>3</w:t>
                  </w:r>
                  <w:r>
                    <w:rPr>
                      <w:rFonts w:hint="eastAsia"/>
                      <w:color w:val="auto"/>
                    </w:rPr>
                    <w:t>/h</w:t>
                  </w:r>
                </w:p>
              </w:tc>
              <w:tc>
                <w:tcPr>
                  <w:tcW w:w="1011" w:type="pct"/>
                  <w:shd w:val="clear" w:color="auto" w:fill="auto"/>
                  <w:vAlign w:val="center"/>
                </w:tcPr>
                <w:p w14:paraId="173820F0">
                  <w:pPr>
                    <w:jc w:val="center"/>
                    <w:rPr>
                      <w:bCs/>
                      <w:color w:val="auto"/>
                      <w:szCs w:val="21"/>
                    </w:rPr>
                  </w:pPr>
                  <w:r>
                    <w:rPr>
                      <w:rFonts w:hint="eastAsia"/>
                      <w:bCs/>
                      <w:color w:val="auto"/>
                      <w:szCs w:val="21"/>
                    </w:rPr>
                    <w:t>新建</w:t>
                  </w:r>
                </w:p>
              </w:tc>
            </w:tr>
            <w:tr w14:paraId="173820F7">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F2">
                  <w:pPr>
                    <w:adjustRightInd w:val="0"/>
                    <w:snapToGrid w:val="0"/>
                    <w:jc w:val="center"/>
                    <w:rPr>
                      <w:color w:val="auto"/>
                      <w:szCs w:val="21"/>
                    </w:rPr>
                  </w:pPr>
                </w:p>
              </w:tc>
              <w:tc>
                <w:tcPr>
                  <w:tcW w:w="298" w:type="pct"/>
                  <w:shd w:val="clear" w:color="auto" w:fill="auto"/>
                  <w:vAlign w:val="center"/>
                </w:tcPr>
                <w:p w14:paraId="173820F3">
                  <w:pPr>
                    <w:adjustRightInd w:val="0"/>
                    <w:snapToGrid w:val="0"/>
                    <w:jc w:val="center"/>
                    <w:rPr>
                      <w:color w:val="auto"/>
                      <w:szCs w:val="21"/>
                    </w:rPr>
                  </w:pPr>
                  <w:r>
                    <w:rPr>
                      <w:color w:val="auto"/>
                      <w:szCs w:val="21"/>
                    </w:rPr>
                    <w:t>废水处理</w:t>
                  </w:r>
                </w:p>
              </w:tc>
              <w:tc>
                <w:tcPr>
                  <w:tcW w:w="951" w:type="pct"/>
                  <w:shd w:val="clear" w:color="auto" w:fill="auto"/>
                  <w:vAlign w:val="center"/>
                </w:tcPr>
                <w:p w14:paraId="173820F4">
                  <w:pPr>
                    <w:adjustRightInd w:val="0"/>
                    <w:snapToGrid w:val="0"/>
                    <w:jc w:val="center"/>
                    <w:rPr>
                      <w:color w:val="auto"/>
                      <w:szCs w:val="21"/>
                    </w:rPr>
                  </w:pPr>
                  <w:r>
                    <w:rPr>
                      <w:rFonts w:hint="eastAsia"/>
                      <w:color w:val="auto"/>
                      <w:szCs w:val="21"/>
                    </w:rPr>
                    <w:t>生活污水</w:t>
                  </w:r>
                </w:p>
              </w:tc>
              <w:tc>
                <w:tcPr>
                  <w:tcW w:w="2372" w:type="pct"/>
                  <w:gridSpan w:val="2"/>
                  <w:shd w:val="clear" w:color="auto" w:fill="auto"/>
                  <w:vAlign w:val="center"/>
                </w:tcPr>
                <w:p w14:paraId="173820F5">
                  <w:pPr>
                    <w:adjustRightInd w:val="0"/>
                    <w:snapToGrid w:val="0"/>
                    <w:jc w:val="center"/>
                    <w:rPr>
                      <w:color w:val="auto"/>
                      <w:szCs w:val="21"/>
                    </w:rPr>
                  </w:pPr>
                  <w:r>
                    <w:rPr>
                      <w:color w:val="auto"/>
                      <w:szCs w:val="21"/>
                    </w:rPr>
                    <w:t>化粪池</w:t>
                  </w:r>
                  <w:r>
                    <w:rPr>
                      <w:rFonts w:hint="eastAsia"/>
                      <w:color w:val="auto"/>
                    </w:rPr>
                    <w:t>5m</w:t>
                  </w:r>
                  <w:r>
                    <w:rPr>
                      <w:rFonts w:hint="eastAsia"/>
                      <w:color w:val="auto"/>
                      <w:vertAlign w:val="superscript"/>
                    </w:rPr>
                    <w:t>3</w:t>
                  </w:r>
                </w:p>
              </w:tc>
              <w:tc>
                <w:tcPr>
                  <w:tcW w:w="1011" w:type="pct"/>
                  <w:shd w:val="clear" w:color="auto" w:fill="auto"/>
                  <w:vAlign w:val="center"/>
                </w:tcPr>
                <w:p w14:paraId="173820F6">
                  <w:pPr>
                    <w:adjustRightInd w:val="0"/>
                    <w:snapToGrid w:val="0"/>
                    <w:jc w:val="center"/>
                    <w:rPr>
                      <w:color w:val="auto"/>
                      <w:szCs w:val="21"/>
                    </w:rPr>
                  </w:pPr>
                  <w:r>
                    <w:rPr>
                      <w:rFonts w:hint="eastAsia"/>
                      <w:color w:val="auto"/>
                      <w:szCs w:val="21"/>
                    </w:rPr>
                    <w:t>新建</w:t>
                  </w:r>
                </w:p>
              </w:tc>
            </w:tr>
            <w:tr w14:paraId="173820FC">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F8">
                  <w:pPr>
                    <w:adjustRightInd w:val="0"/>
                    <w:snapToGrid w:val="0"/>
                    <w:jc w:val="center"/>
                    <w:rPr>
                      <w:color w:val="auto"/>
                      <w:szCs w:val="21"/>
                    </w:rPr>
                  </w:pPr>
                </w:p>
              </w:tc>
              <w:tc>
                <w:tcPr>
                  <w:tcW w:w="1249" w:type="pct"/>
                  <w:gridSpan w:val="2"/>
                  <w:shd w:val="clear" w:color="auto" w:fill="auto"/>
                  <w:vAlign w:val="center"/>
                </w:tcPr>
                <w:p w14:paraId="173820F9">
                  <w:pPr>
                    <w:adjustRightInd w:val="0"/>
                    <w:snapToGrid w:val="0"/>
                    <w:jc w:val="center"/>
                    <w:rPr>
                      <w:color w:val="auto"/>
                      <w:szCs w:val="21"/>
                    </w:rPr>
                  </w:pPr>
                  <w:r>
                    <w:rPr>
                      <w:color w:val="auto"/>
                      <w:szCs w:val="21"/>
                    </w:rPr>
                    <w:t>噪声治理</w:t>
                  </w:r>
                </w:p>
              </w:tc>
              <w:tc>
                <w:tcPr>
                  <w:tcW w:w="2372" w:type="pct"/>
                  <w:gridSpan w:val="2"/>
                  <w:shd w:val="clear" w:color="auto" w:fill="auto"/>
                  <w:vAlign w:val="center"/>
                </w:tcPr>
                <w:p w14:paraId="173820FA">
                  <w:pPr>
                    <w:adjustRightInd w:val="0"/>
                    <w:snapToGrid w:val="0"/>
                    <w:jc w:val="center"/>
                    <w:rPr>
                      <w:color w:val="auto"/>
                      <w:szCs w:val="21"/>
                    </w:rPr>
                  </w:pPr>
                  <w:r>
                    <w:rPr>
                      <w:rFonts w:hint="eastAsia"/>
                      <w:color w:val="FF0000"/>
                      <w:szCs w:val="21"/>
                      <w:lang w:val="en-US" w:eastAsia="zh-CN"/>
                    </w:rPr>
                    <w:t>选用低噪声设备、加装减震基座、风机等配套阻性消声器、合理布局、定期维护设备、</w:t>
                  </w:r>
                  <w:r>
                    <w:rPr>
                      <w:color w:val="FF0000"/>
                      <w:szCs w:val="21"/>
                    </w:rPr>
                    <w:t>建筑隔声、</w:t>
                  </w:r>
                  <w:r>
                    <w:rPr>
                      <w:rFonts w:hint="eastAsia"/>
                      <w:color w:val="FF0000"/>
                      <w:szCs w:val="21"/>
                      <w:lang w:val="en-US" w:eastAsia="zh-CN"/>
                    </w:rPr>
                    <w:t>加高厂界围墙并种植绿化、车间采用岩棉夹芯彩钢板隔断降噪</w:t>
                  </w:r>
                  <w:r>
                    <w:rPr>
                      <w:color w:val="FF0000"/>
                      <w:szCs w:val="21"/>
                    </w:rPr>
                    <w:t>等</w:t>
                  </w:r>
                </w:p>
              </w:tc>
              <w:tc>
                <w:tcPr>
                  <w:tcW w:w="1011" w:type="pct"/>
                  <w:shd w:val="clear" w:color="auto" w:fill="auto"/>
                  <w:vAlign w:val="center"/>
                </w:tcPr>
                <w:p w14:paraId="173820FB">
                  <w:pPr>
                    <w:adjustRightInd w:val="0"/>
                    <w:snapToGrid w:val="0"/>
                    <w:jc w:val="center"/>
                    <w:rPr>
                      <w:color w:val="auto"/>
                      <w:szCs w:val="21"/>
                    </w:rPr>
                  </w:pPr>
                  <w:r>
                    <w:rPr>
                      <w:color w:val="auto"/>
                      <w:szCs w:val="21"/>
                    </w:rPr>
                    <w:t>厂界达标排放</w:t>
                  </w:r>
                </w:p>
              </w:tc>
            </w:tr>
            <w:tr w14:paraId="17382101">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0FD">
                  <w:pPr>
                    <w:adjustRightInd w:val="0"/>
                    <w:snapToGrid w:val="0"/>
                    <w:jc w:val="center"/>
                    <w:rPr>
                      <w:color w:val="auto"/>
                      <w:szCs w:val="21"/>
                    </w:rPr>
                  </w:pPr>
                </w:p>
              </w:tc>
              <w:tc>
                <w:tcPr>
                  <w:tcW w:w="1249" w:type="pct"/>
                  <w:gridSpan w:val="2"/>
                  <w:shd w:val="clear" w:color="auto" w:fill="auto"/>
                  <w:vAlign w:val="center"/>
                </w:tcPr>
                <w:p w14:paraId="173820FE">
                  <w:pPr>
                    <w:adjustRightInd w:val="0"/>
                    <w:snapToGrid w:val="0"/>
                    <w:jc w:val="center"/>
                    <w:rPr>
                      <w:color w:val="auto"/>
                      <w:szCs w:val="21"/>
                    </w:rPr>
                  </w:pPr>
                  <w:r>
                    <w:rPr>
                      <w:color w:val="auto"/>
                      <w:szCs w:val="21"/>
                    </w:rPr>
                    <w:t>一般工业固废</w:t>
                  </w:r>
                  <w:r>
                    <w:rPr>
                      <w:rFonts w:hint="eastAsia"/>
                      <w:color w:val="auto"/>
                      <w:szCs w:val="21"/>
                    </w:rPr>
                    <w:t>仓库</w:t>
                  </w:r>
                </w:p>
              </w:tc>
              <w:tc>
                <w:tcPr>
                  <w:tcW w:w="2372" w:type="pct"/>
                  <w:gridSpan w:val="2"/>
                  <w:shd w:val="clear" w:color="auto" w:fill="auto"/>
                  <w:vAlign w:val="center"/>
                </w:tcPr>
                <w:p w14:paraId="173820FF">
                  <w:pPr>
                    <w:adjustRightInd w:val="0"/>
                    <w:snapToGrid w:val="0"/>
                    <w:jc w:val="center"/>
                    <w:rPr>
                      <w:color w:val="auto"/>
                      <w:szCs w:val="21"/>
                    </w:rPr>
                  </w:pPr>
                  <w:r>
                    <w:rPr>
                      <w:rFonts w:hint="eastAsia"/>
                      <w:color w:val="auto"/>
                      <w:szCs w:val="21"/>
                    </w:rPr>
                    <w:t>建筑面积约20</w:t>
                  </w:r>
                  <w:r>
                    <w:rPr>
                      <w:bCs/>
                      <w:color w:val="auto"/>
                      <w:szCs w:val="21"/>
                    </w:rPr>
                    <w:t>m</w:t>
                  </w:r>
                  <w:r>
                    <w:rPr>
                      <w:bCs/>
                      <w:color w:val="auto"/>
                      <w:szCs w:val="21"/>
                      <w:vertAlign w:val="superscript"/>
                    </w:rPr>
                    <w:t>2</w:t>
                  </w:r>
                  <w:r>
                    <w:rPr>
                      <w:rFonts w:hint="eastAsia"/>
                      <w:bCs/>
                      <w:color w:val="auto"/>
                      <w:szCs w:val="21"/>
                    </w:rPr>
                    <w:t>，位于生产车间</w:t>
                  </w:r>
                  <w:r>
                    <w:rPr>
                      <w:rFonts w:hint="eastAsia"/>
                      <w:bCs/>
                      <w:color w:val="auto"/>
                      <w:szCs w:val="21"/>
                      <w:lang w:eastAsia="zh-CN"/>
                    </w:rPr>
                    <w:t>二</w:t>
                  </w:r>
                  <w:r>
                    <w:rPr>
                      <w:rFonts w:hint="eastAsia"/>
                      <w:bCs/>
                      <w:color w:val="auto"/>
                      <w:szCs w:val="21"/>
                    </w:rPr>
                    <w:t>东侧</w:t>
                  </w:r>
                </w:p>
              </w:tc>
              <w:tc>
                <w:tcPr>
                  <w:tcW w:w="1011" w:type="pct"/>
                  <w:shd w:val="clear" w:color="auto" w:fill="auto"/>
                  <w:vAlign w:val="center"/>
                </w:tcPr>
                <w:p w14:paraId="17382100">
                  <w:pPr>
                    <w:adjustRightInd w:val="0"/>
                    <w:snapToGrid w:val="0"/>
                    <w:jc w:val="center"/>
                    <w:rPr>
                      <w:color w:val="auto"/>
                      <w:szCs w:val="21"/>
                    </w:rPr>
                  </w:pPr>
                  <w:r>
                    <w:rPr>
                      <w:rFonts w:hint="eastAsia"/>
                      <w:color w:val="auto"/>
                      <w:szCs w:val="21"/>
                    </w:rPr>
                    <w:t>/</w:t>
                  </w:r>
                </w:p>
              </w:tc>
            </w:tr>
            <w:tr w14:paraId="17382106">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366" w:type="pct"/>
                  <w:vMerge w:val="continue"/>
                  <w:shd w:val="clear" w:color="auto" w:fill="auto"/>
                  <w:vAlign w:val="center"/>
                </w:tcPr>
                <w:p w14:paraId="17382102">
                  <w:pPr>
                    <w:adjustRightInd w:val="0"/>
                    <w:snapToGrid w:val="0"/>
                    <w:jc w:val="center"/>
                    <w:rPr>
                      <w:color w:val="auto"/>
                      <w:szCs w:val="21"/>
                    </w:rPr>
                  </w:pPr>
                </w:p>
              </w:tc>
              <w:tc>
                <w:tcPr>
                  <w:tcW w:w="1249" w:type="pct"/>
                  <w:gridSpan w:val="2"/>
                  <w:shd w:val="clear" w:color="auto" w:fill="auto"/>
                  <w:vAlign w:val="center"/>
                </w:tcPr>
                <w:p w14:paraId="17382103">
                  <w:pPr>
                    <w:adjustRightInd w:val="0"/>
                    <w:snapToGrid w:val="0"/>
                    <w:jc w:val="center"/>
                    <w:rPr>
                      <w:color w:val="auto"/>
                      <w:szCs w:val="21"/>
                    </w:rPr>
                  </w:pPr>
                  <w:r>
                    <w:rPr>
                      <w:rFonts w:hint="eastAsia"/>
                      <w:color w:val="auto"/>
                      <w:szCs w:val="21"/>
                    </w:rPr>
                    <w:t>危险废物仓库</w:t>
                  </w:r>
                </w:p>
              </w:tc>
              <w:tc>
                <w:tcPr>
                  <w:tcW w:w="2372" w:type="pct"/>
                  <w:gridSpan w:val="2"/>
                  <w:shd w:val="clear" w:color="auto" w:fill="auto"/>
                  <w:vAlign w:val="center"/>
                </w:tcPr>
                <w:p w14:paraId="17382104">
                  <w:pPr>
                    <w:adjustRightInd w:val="0"/>
                    <w:snapToGrid w:val="0"/>
                    <w:jc w:val="center"/>
                    <w:rPr>
                      <w:color w:val="auto"/>
                      <w:szCs w:val="21"/>
                    </w:rPr>
                  </w:pPr>
                  <w:r>
                    <w:rPr>
                      <w:rFonts w:hint="eastAsia"/>
                      <w:color w:val="auto"/>
                      <w:szCs w:val="21"/>
                    </w:rPr>
                    <w:t>建筑面积约20</w:t>
                  </w:r>
                  <w:r>
                    <w:rPr>
                      <w:bCs/>
                      <w:color w:val="auto"/>
                      <w:szCs w:val="21"/>
                    </w:rPr>
                    <w:t>m</w:t>
                  </w:r>
                  <w:r>
                    <w:rPr>
                      <w:bCs/>
                      <w:color w:val="auto"/>
                      <w:szCs w:val="21"/>
                      <w:vertAlign w:val="superscript"/>
                    </w:rPr>
                    <w:t>2</w:t>
                  </w:r>
                  <w:r>
                    <w:rPr>
                      <w:rFonts w:hint="eastAsia"/>
                      <w:bCs/>
                      <w:color w:val="auto"/>
                      <w:szCs w:val="21"/>
                    </w:rPr>
                    <w:t>，位于生产车间</w:t>
                  </w:r>
                  <w:r>
                    <w:rPr>
                      <w:rFonts w:hint="eastAsia"/>
                      <w:bCs/>
                      <w:color w:val="auto"/>
                      <w:szCs w:val="21"/>
                      <w:lang w:eastAsia="zh-CN"/>
                    </w:rPr>
                    <w:t>二</w:t>
                  </w:r>
                  <w:r>
                    <w:rPr>
                      <w:rFonts w:hint="eastAsia"/>
                      <w:bCs/>
                      <w:color w:val="auto"/>
                      <w:szCs w:val="21"/>
                    </w:rPr>
                    <w:t>东侧</w:t>
                  </w:r>
                </w:p>
              </w:tc>
              <w:tc>
                <w:tcPr>
                  <w:tcW w:w="1011" w:type="pct"/>
                  <w:shd w:val="clear" w:color="auto" w:fill="auto"/>
                  <w:vAlign w:val="center"/>
                </w:tcPr>
                <w:p w14:paraId="17382105">
                  <w:pPr>
                    <w:adjustRightInd w:val="0"/>
                    <w:snapToGrid w:val="0"/>
                    <w:jc w:val="center"/>
                    <w:rPr>
                      <w:color w:val="auto"/>
                      <w:szCs w:val="21"/>
                    </w:rPr>
                  </w:pPr>
                  <w:r>
                    <w:rPr>
                      <w:rFonts w:hint="eastAsia"/>
                      <w:color w:val="auto"/>
                      <w:szCs w:val="21"/>
                    </w:rPr>
                    <w:t>/</w:t>
                  </w:r>
                </w:p>
              </w:tc>
            </w:tr>
          </w:tbl>
          <w:p w14:paraId="17382107">
            <w:pPr>
              <w:autoSpaceDE w:val="0"/>
              <w:autoSpaceDN w:val="0"/>
              <w:adjustRightInd w:val="0"/>
              <w:snapToGrid w:val="0"/>
              <w:spacing w:line="360" w:lineRule="auto"/>
              <w:ind w:firstLine="482" w:firstLineChars="200"/>
              <w:rPr>
                <w:b/>
                <w:bCs/>
                <w:color w:val="auto"/>
                <w:sz w:val="24"/>
              </w:rPr>
            </w:pPr>
            <w:r>
              <w:rPr>
                <w:b/>
                <w:bCs/>
                <w:color w:val="auto"/>
                <w:sz w:val="24"/>
              </w:rPr>
              <w:t>4</w:t>
            </w:r>
            <w:r>
              <w:rPr>
                <w:rFonts w:hint="eastAsia"/>
                <w:b/>
                <w:bCs/>
                <w:color w:val="auto"/>
                <w:sz w:val="24"/>
              </w:rPr>
              <w:t>、</w:t>
            </w:r>
            <w:r>
              <w:rPr>
                <w:b/>
                <w:bCs/>
                <w:color w:val="auto"/>
                <w:sz w:val="24"/>
              </w:rPr>
              <w:t>建设项目原辅材料</w:t>
            </w:r>
          </w:p>
          <w:p w14:paraId="17382108">
            <w:pPr>
              <w:widowControl/>
              <w:adjustRightInd w:val="0"/>
              <w:snapToGrid w:val="0"/>
              <w:spacing w:line="360" w:lineRule="auto"/>
              <w:ind w:firstLine="480" w:firstLineChars="200"/>
              <w:jc w:val="left"/>
              <w:rPr>
                <w:color w:val="auto"/>
                <w:sz w:val="24"/>
                <w:lang w:val="zh-CN"/>
              </w:rPr>
            </w:pPr>
            <w:r>
              <w:rPr>
                <w:rFonts w:hint="eastAsia"/>
                <w:color w:val="auto"/>
                <w:sz w:val="24"/>
              </w:rPr>
              <w:t>本项目主要原辅材料见表2-4。</w:t>
            </w:r>
          </w:p>
          <w:p w14:paraId="17382109">
            <w:pPr>
              <w:widowControl/>
              <w:adjustRightInd w:val="0"/>
              <w:snapToGrid w:val="0"/>
              <w:jc w:val="center"/>
              <w:rPr>
                <w:b/>
                <w:color w:val="auto"/>
                <w:kern w:val="0"/>
                <w:sz w:val="24"/>
                <w:lang w:val="zh-CN"/>
              </w:rPr>
            </w:pPr>
            <w:r>
              <w:rPr>
                <w:b/>
                <w:color w:val="auto"/>
                <w:kern w:val="0"/>
                <w:sz w:val="24"/>
                <w:lang w:val="zh-CN"/>
              </w:rPr>
              <w:t>表2-4 主要原辅材料用量表</w:t>
            </w:r>
          </w:p>
          <w:tbl>
            <w:tblPr>
              <w:tblStyle w:val="88"/>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720"/>
              <w:gridCol w:w="1445"/>
              <w:gridCol w:w="2156"/>
              <w:gridCol w:w="1199"/>
              <w:gridCol w:w="1560"/>
              <w:gridCol w:w="1308"/>
            </w:tblGrid>
            <w:tr w14:paraId="1738211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20" w:type="dxa"/>
                  <w:tcBorders>
                    <w:top w:val="single" w:color="auto" w:sz="12" w:space="0"/>
                    <w:bottom w:val="single" w:color="auto" w:sz="4" w:space="0"/>
                  </w:tcBorders>
                  <w:vAlign w:val="center"/>
                </w:tcPr>
                <w:p w14:paraId="1738210A">
                  <w:pPr>
                    <w:widowControl/>
                    <w:snapToGrid w:val="0"/>
                    <w:jc w:val="center"/>
                    <w:rPr>
                      <w:b/>
                      <w:bCs/>
                      <w:color w:val="auto"/>
                      <w:szCs w:val="21"/>
                    </w:rPr>
                  </w:pPr>
                  <w:r>
                    <w:rPr>
                      <w:b/>
                      <w:bCs/>
                      <w:color w:val="auto"/>
                      <w:szCs w:val="21"/>
                    </w:rPr>
                    <w:t>序号</w:t>
                  </w:r>
                </w:p>
              </w:tc>
              <w:tc>
                <w:tcPr>
                  <w:tcW w:w="1445" w:type="dxa"/>
                  <w:tcBorders>
                    <w:top w:val="single" w:color="auto" w:sz="12" w:space="0"/>
                    <w:bottom w:val="single" w:color="auto" w:sz="4" w:space="0"/>
                  </w:tcBorders>
                  <w:vAlign w:val="center"/>
                </w:tcPr>
                <w:p w14:paraId="1738210B">
                  <w:pPr>
                    <w:widowControl/>
                    <w:snapToGrid w:val="0"/>
                    <w:jc w:val="center"/>
                    <w:rPr>
                      <w:b/>
                      <w:bCs/>
                      <w:color w:val="auto"/>
                      <w:szCs w:val="21"/>
                    </w:rPr>
                  </w:pPr>
                  <w:r>
                    <w:rPr>
                      <w:b/>
                      <w:bCs/>
                      <w:color w:val="auto"/>
                      <w:szCs w:val="21"/>
                    </w:rPr>
                    <w:t>原料名称</w:t>
                  </w:r>
                </w:p>
              </w:tc>
              <w:tc>
                <w:tcPr>
                  <w:tcW w:w="2156" w:type="dxa"/>
                  <w:tcBorders>
                    <w:top w:val="single" w:color="auto" w:sz="12" w:space="0"/>
                    <w:bottom w:val="single" w:color="auto" w:sz="4" w:space="0"/>
                  </w:tcBorders>
                  <w:vAlign w:val="center"/>
                </w:tcPr>
                <w:p w14:paraId="1738210C">
                  <w:pPr>
                    <w:widowControl/>
                    <w:snapToGrid w:val="0"/>
                    <w:jc w:val="center"/>
                    <w:rPr>
                      <w:b/>
                      <w:bCs/>
                      <w:color w:val="auto"/>
                      <w:szCs w:val="21"/>
                    </w:rPr>
                  </w:pPr>
                  <w:r>
                    <w:rPr>
                      <w:rFonts w:hint="eastAsia"/>
                      <w:b/>
                      <w:bCs/>
                      <w:color w:val="auto"/>
                      <w:szCs w:val="21"/>
                    </w:rPr>
                    <w:t>主要成分</w:t>
                  </w:r>
                </w:p>
              </w:tc>
              <w:tc>
                <w:tcPr>
                  <w:tcW w:w="1199" w:type="dxa"/>
                  <w:tcBorders>
                    <w:top w:val="single" w:color="auto" w:sz="12" w:space="0"/>
                    <w:bottom w:val="single" w:color="auto" w:sz="4" w:space="0"/>
                  </w:tcBorders>
                  <w:vAlign w:val="center"/>
                </w:tcPr>
                <w:p w14:paraId="1738210D">
                  <w:pPr>
                    <w:widowControl/>
                    <w:snapToGrid w:val="0"/>
                    <w:jc w:val="center"/>
                    <w:rPr>
                      <w:b/>
                      <w:bCs/>
                      <w:color w:val="auto"/>
                      <w:szCs w:val="21"/>
                    </w:rPr>
                  </w:pPr>
                  <w:r>
                    <w:rPr>
                      <w:rFonts w:hint="eastAsia"/>
                      <w:b/>
                      <w:bCs/>
                      <w:color w:val="auto"/>
                      <w:szCs w:val="21"/>
                    </w:rPr>
                    <w:t>年消耗量</w:t>
                  </w:r>
                </w:p>
              </w:tc>
              <w:tc>
                <w:tcPr>
                  <w:tcW w:w="1560" w:type="dxa"/>
                  <w:tcBorders>
                    <w:top w:val="single" w:color="auto" w:sz="12" w:space="0"/>
                    <w:bottom w:val="single" w:color="auto" w:sz="4" w:space="0"/>
                  </w:tcBorders>
                  <w:vAlign w:val="center"/>
                </w:tcPr>
                <w:p w14:paraId="1738210E">
                  <w:pPr>
                    <w:widowControl/>
                    <w:jc w:val="center"/>
                    <w:rPr>
                      <w:b/>
                      <w:bCs/>
                      <w:color w:val="auto"/>
                      <w:szCs w:val="21"/>
                    </w:rPr>
                  </w:pPr>
                  <w:r>
                    <w:rPr>
                      <w:rFonts w:hint="eastAsia"/>
                      <w:b/>
                      <w:bCs/>
                      <w:color w:val="auto"/>
                      <w:szCs w:val="21"/>
                    </w:rPr>
                    <w:t>最大储存量</w:t>
                  </w:r>
                </w:p>
              </w:tc>
              <w:tc>
                <w:tcPr>
                  <w:tcW w:w="1308" w:type="dxa"/>
                  <w:tcBorders>
                    <w:top w:val="single" w:color="auto" w:sz="12" w:space="0"/>
                    <w:bottom w:val="single" w:color="auto" w:sz="4" w:space="0"/>
                  </w:tcBorders>
                  <w:vAlign w:val="center"/>
                </w:tcPr>
                <w:p w14:paraId="1738210F">
                  <w:pPr>
                    <w:widowControl/>
                    <w:jc w:val="center"/>
                    <w:rPr>
                      <w:b/>
                      <w:bCs/>
                      <w:color w:val="auto"/>
                      <w:szCs w:val="21"/>
                    </w:rPr>
                  </w:pPr>
                  <w:r>
                    <w:rPr>
                      <w:rFonts w:hint="eastAsia"/>
                      <w:b/>
                      <w:bCs/>
                      <w:color w:val="auto"/>
                      <w:szCs w:val="21"/>
                    </w:rPr>
                    <w:t>来源及运输</w:t>
                  </w:r>
                </w:p>
              </w:tc>
            </w:tr>
            <w:tr w14:paraId="1738211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tcBorders>
                    <w:top w:val="single" w:color="auto" w:sz="4" w:space="0"/>
                  </w:tcBorders>
                  <w:vAlign w:val="center"/>
                </w:tcPr>
                <w:p w14:paraId="17382111">
                  <w:pPr>
                    <w:widowControl/>
                    <w:snapToGrid w:val="0"/>
                    <w:jc w:val="center"/>
                    <w:rPr>
                      <w:b/>
                      <w:bCs/>
                      <w:color w:val="auto"/>
                      <w:szCs w:val="21"/>
                    </w:rPr>
                  </w:pPr>
                  <w:bookmarkStart w:id="2" w:name="OLE_LINK12" w:colFirst="2" w:colLast="3"/>
                  <w:bookmarkStart w:id="3" w:name="OLE_LINK13" w:colFirst="2" w:colLast="3"/>
                  <w:bookmarkStart w:id="4" w:name="_Hlk49780314"/>
                  <w:r>
                    <w:rPr>
                      <w:color w:val="auto"/>
                      <w:kern w:val="0"/>
                      <w:szCs w:val="21"/>
                    </w:rPr>
                    <w:t>1</w:t>
                  </w:r>
                </w:p>
              </w:tc>
              <w:tc>
                <w:tcPr>
                  <w:tcW w:w="1445" w:type="dxa"/>
                  <w:tcBorders>
                    <w:top w:val="single" w:color="auto" w:sz="4" w:space="0"/>
                  </w:tcBorders>
                  <w:vAlign w:val="center"/>
                </w:tcPr>
                <w:p w14:paraId="17382112">
                  <w:pPr>
                    <w:widowControl/>
                    <w:snapToGrid w:val="0"/>
                    <w:jc w:val="center"/>
                    <w:rPr>
                      <w:b/>
                      <w:bCs/>
                      <w:color w:val="auto"/>
                      <w:szCs w:val="21"/>
                    </w:rPr>
                  </w:pPr>
                  <w:r>
                    <w:rPr>
                      <w:rFonts w:hint="eastAsia"/>
                      <w:color w:val="auto"/>
                      <w:szCs w:val="21"/>
                    </w:rPr>
                    <w:t>玻璃纤维纱</w:t>
                  </w:r>
                </w:p>
              </w:tc>
              <w:tc>
                <w:tcPr>
                  <w:tcW w:w="2156" w:type="dxa"/>
                  <w:tcBorders>
                    <w:top w:val="single" w:color="auto" w:sz="4" w:space="0"/>
                  </w:tcBorders>
                  <w:vAlign w:val="center"/>
                </w:tcPr>
                <w:p w14:paraId="17382113">
                  <w:pPr>
                    <w:widowControl/>
                    <w:snapToGrid w:val="0"/>
                    <w:jc w:val="center"/>
                    <w:rPr>
                      <w:color w:val="auto"/>
                      <w:szCs w:val="21"/>
                    </w:rPr>
                  </w:pPr>
                  <w:r>
                    <w:rPr>
                      <w:rFonts w:hint="eastAsia"/>
                      <w:color w:val="auto"/>
                      <w:szCs w:val="21"/>
                    </w:rPr>
                    <w:t>纤维纱</w:t>
                  </w:r>
                </w:p>
              </w:tc>
              <w:tc>
                <w:tcPr>
                  <w:tcW w:w="1199" w:type="dxa"/>
                  <w:tcBorders>
                    <w:top w:val="single" w:color="auto" w:sz="4" w:space="0"/>
                  </w:tcBorders>
                  <w:vAlign w:val="center"/>
                </w:tcPr>
                <w:p w14:paraId="17382114">
                  <w:pPr>
                    <w:widowControl/>
                    <w:snapToGrid w:val="0"/>
                    <w:jc w:val="center"/>
                    <w:rPr>
                      <w:color w:val="auto"/>
                      <w:szCs w:val="21"/>
                    </w:rPr>
                  </w:pPr>
                  <w:r>
                    <w:rPr>
                      <w:rFonts w:hint="eastAsia"/>
                      <w:color w:val="auto"/>
                      <w:szCs w:val="21"/>
                    </w:rPr>
                    <w:t>20t</w:t>
                  </w:r>
                </w:p>
              </w:tc>
              <w:tc>
                <w:tcPr>
                  <w:tcW w:w="1560" w:type="dxa"/>
                  <w:tcBorders>
                    <w:top w:val="single" w:color="auto" w:sz="4" w:space="0"/>
                  </w:tcBorders>
                  <w:shd w:val="clear" w:color="auto" w:fill="auto"/>
                  <w:vAlign w:val="center"/>
                </w:tcPr>
                <w:p w14:paraId="17382115">
                  <w:pPr>
                    <w:widowControl/>
                    <w:snapToGrid w:val="0"/>
                    <w:jc w:val="center"/>
                    <w:rPr>
                      <w:color w:val="auto"/>
                      <w:szCs w:val="21"/>
                    </w:rPr>
                  </w:pPr>
                  <w:r>
                    <w:rPr>
                      <w:rFonts w:hint="eastAsia"/>
                      <w:color w:val="auto"/>
                      <w:szCs w:val="21"/>
                    </w:rPr>
                    <w:t>10t</w:t>
                  </w:r>
                </w:p>
              </w:tc>
              <w:tc>
                <w:tcPr>
                  <w:tcW w:w="1308" w:type="dxa"/>
                  <w:tcBorders>
                    <w:top w:val="single" w:color="auto" w:sz="4" w:space="0"/>
                  </w:tcBorders>
                  <w:vAlign w:val="center"/>
                </w:tcPr>
                <w:p w14:paraId="17382116">
                  <w:pPr>
                    <w:widowControl/>
                    <w:snapToGrid w:val="0"/>
                    <w:jc w:val="center"/>
                    <w:rPr>
                      <w:color w:val="auto"/>
                      <w:szCs w:val="21"/>
                    </w:rPr>
                  </w:pPr>
                  <w:r>
                    <w:rPr>
                      <w:rFonts w:hint="eastAsia"/>
                      <w:color w:val="auto"/>
                      <w:szCs w:val="21"/>
                    </w:rPr>
                    <w:t>外购，汽运</w:t>
                  </w:r>
                </w:p>
              </w:tc>
            </w:tr>
            <w:tr w14:paraId="1738211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vAlign w:val="center"/>
                </w:tcPr>
                <w:p w14:paraId="17382118">
                  <w:pPr>
                    <w:widowControl/>
                    <w:snapToGrid w:val="0"/>
                    <w:jc w:val="center"/>
                    <w:rPr>
                      <w:color w:val="auto"/>
                      <w:szCs w:val="21"/>
                    </w:rPr>
                  </w:pPr>
                  <w:r>
                    <w:rPr>
                      <w:color w:val="auto"/>
                      <w:kern w:val="0"/>
                      <w:szCs w:val="21"/>
                    </w:rPr>
                    <w:t>2</w:t>
                  </w:r>
                </w:p>
              </w:tc>
              <w:tc>
                <w:tcPr>
                  <w:tcW w:w="1445" w:type="dxa"/>
                  <w:vAlign w:val="center"/>
                </w:tcPr>
                <w:p w14:paraId="17382119">
                  <w:pPr>
                    <w:widowControl/>
                    <w:snapToGrid w:val="0"/>
                    <w:jc w:val="center"/>
                    <w:rPr>
                      <w:color w:val="auto"/>
                      <w:szCs w:val="21"/>
                    </w:rPr>
                  </w:pPr>
                  <w:r>
                    <w:rPr>
                      <w:rFonts w:hint="eastAsia"/>
                      <w:color w:val="auto"/>
                      <w:szCs w:val="21"/>
                    </w:rPr>
                    <w:t>不饱和聚酯</w:t>
                  </w:r>
                  <w:r>
                    <w:rPr>
                      <w:color w:val="auto"/>
                      <w:szCs w:val="21"/>
                    </w:rPr>
                    <w:t>树脂</w:t>
                  </w:r>
                </w:p>
              </w:tc>
              <w:tc>
                <w:tcPr>
                  <w:tcW w:w="2156" w:type="dxa"/>
                  <w:vAlign w:val="center"/>
                </w:tcPr>
                <w:p w14:paraId="1738211A">
                  <w:pPr>
                    <w:widowControl/>
                    <w:snapToGrid w:val="0"/>
                    <w:jc w:val="center"/>
                    <w:rPr>
                      <w:color w:val="auto"/>
                      <w:szCs w:val="21"/>
                    </w:rPr>
                  </w:pPr>
                  <w:r>
                    <w:rPr>
                      <w:rFonts w:hint="eastAsia"/>
                      <w:color w:val="auto"/>
                      <w:szCs w:val="21"/>
                    </w:rPr>
                    <w:t>聚酯树</w:t>
                  </w:r>
                  <w:r>
                    <w:rPr>
                      <w:color w:val="auto"/>
                      <w:szCs w:val="21"/>
                    </w:rPr>
                    <w:t>60%~67%</w:t>
                  </w:r>
                  <w:r>
                    <w:rPr>
                      <w:rFonts w:hint="eastAsia"/>
                      <w:color w:val="auto"/>
                      <w:szCs w:val="21"/>
                    </w:rPr>
                    <w:t xml:space="preserve">、苯乙烯 </w:t>
                  </w:r>
                  <w:r>
                    <w:rPr>
                      <w:color w:val="auto"/>
                      <w:szCs w:val="21"/>
                    </w:rPr>
                    <w:t>33%~40%</w:t>
                  </w:r>
                </w:p>
              </w:tc>
              <w:tc>
                <w:tcPr>
                  <w:tcW w:w="1199" w:type="dxa"/>
                  <w:vAlign w:val="center"/>
                </w:tcPr>
                <w:p w14:paraId="1738211B">
                  <w:pPr>
                    <w:widowControl/>
                    <w:snapToGrid w:val="0"/>
                    <w:jc w:val="center"/>
                    <w:rPr>
                      <w:color w:val="auto"/>
                      <w:szCs w:val="21"/>
                    </w:rPr>
                  </w:pPr>
                  <w:r>
                    <w:rPr>
                      <w:rFonts w:hint="eastAsia"/>
                      <w:color w:val="auto"/>
                      <w:kern w:val="0"/>
                      <w:szCs w:val="21"/>
                    </w:rPr>
                    <w:t>10</w:t>
                  </w:r>
                  <w:r>
                    <w:rPr>
                      <w:snapToGrid w:val="0"/>
                      <w:color w:val="auto"/>
                      <w:kern w:val="0"/>
                      <w:szCs w:val="21"/>
                    </w:rPr>
                    <w:t>t</w:t>
                  </w:r>
                </w:p>
              </w:tc>
              <w:tc>
                <w:tcPr>
                  <w:tcW w:w="1560" w:type="dxa"/>
                  <w:shd w:val="clear" w:color="auto" w:fill="auto"/>
                  <w:vAlign w:val="center"/>
                </w:tcPr>
                <w:p w14:paraId="1738211C">
                  <w:pPr>
                    <w:widowControl/>
                    <w:snapToGrid w:val="0"/>
                    <w:jc w:val="center"/>
                    <w:rPr>
                      <w:color w:val="auto"/>
                      <w:szCs w:val="21"/>
                    </w:rPr>
                  </w:pPr>
                  <w:r>
                    <w:rPr>
                      <w:rFonts w:hint="eastAsia"/>
                      <w:color w:val="auto"/>
                      <w:kern w:val="0"/>
                      <w:szCs w:val="21"/>
                    </w:rPr>
                    <w:t>5</w:t>
                  </w:r>
                  <w:r>
                    <w:rPr>
                      <w:snapToGrid w:val="0"/>
                      <w:color w:val="auto"/>
                      <w:kern w:val="0"/>
                      <w:szCs w:val="21"/>
                    </w:rPr>
                    <w:t>t</w:t>
                  </w:r>
                </w:p>
              </w:tc>
              <w:tc>
                <w:tcPr>
                  <w:tcW w:w="1308" w:type="dxa"/>
                  <w:vAlign w:val="center"/>
                </w:tcPr>
                <w:p w14:paraId="1738211D">
                  <w:pPr>
                    <w:adjustRightInd w:val="0"/>
                    <w:snapToGrid w:val="0"/>
                    <w:jc w:val="center"/>
                    <w:rPr>
                      <w:color w:val="auto"/>
                      <w:szCs w:val="21"/>
                    </w:rPr>
                  </w:pPr>
                  <w:r>
                    <w:rPr>
                      <w:rFonts w:hint="eastAsia"/>
                      <w:color w:val="auto"/>
                      <w:szCs w:val="21"/>
                    </w:rPr>
                    <w:t>外购，汽运</w:t>
                  </w:r>
                </w:p>
              </w:tc>
            </w:tr>
            <w:tr w14:paraId="1738212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shd w:val="clear" w:color="auto" w:fill="auto"/>
                  <w:vAlign w:val="center"/>
                </w:tcPr>
                <w:p w14:paraId="1738211F">
                  <w:pPr>
                    <w:widowControl/>
                    <w:snapToGrid w:val="0"/>
                    <w:jc w:val="center"/>
                    <w:rPr>
                      <w:color w:val="auto"/>
                      <w:szCs w:val="21"/>
                    </w:rPr>
                  </w:pPr>
                  <w:r>
                    <w:rPr>
                      <w:color w:val="auto"/>
                      <w:kern w:val="0"/>
                      <w:szCs w:val="21"/>
                    </w:rPr>
                    <w:t>3</w:t>
                  </w:r>
                </w:p>
              </w:tc>
              <w:tc>
                <w:tcPr>
                  <w:tcW w:w="1445" w:type="dxa"/>
                  <w:vAlign w:val="center"/>
                </w:tcPr>
                <w:p w14:paraId="17382120">
                  <w:pPr>
                    <w:widowControl/>
                    <w:snapToGrid w:val="0"/>
                    <w:jc w:val="center"/>
                    <w:rPr>
                      <w:color w:val="auto"/>
                      <w:szCs w:val="21"/>
                    </w:rPr>
                  </w:pPr>
                  <w:r>
                    <w:rPr>
                      <w:rFonts w:hint="eastAsia"/>
                      <w:color w:val="auto"/>
                      <w:szCs w:val="21"/>
                    </w:rPr>
                    <w:t>固化剂</w:t>
                  </w:r>
                </w:p>
              </w:tc>
              <w:tc>
                <w:tcPr>
                  <w:tcW w:w="2156" w:type="dxa"/>
                  <w:vAlign w:val="center"/>
                </w:tcPr>
                <w:p w14:paraId="17382121">
                  <w:pPr>
                    <w:widowControl/>
                    <w:snapToGrid w:val="0"/>
                    <w:jc w:val="center"/>
                    <w:rPr>
                      <w:color w:val="auto"/>
                      <w:szCs w:val="21"/>
                    </w:rPr>
                  </w:pPr>
                  <w:r>
                    <w:rPr>
                      <w:rFonts w:hint="eastAsia"/>
                      <w:color w:val="auto"/>
                      <w:szCs w:val="21"/>
                    </w:rPr>
                    <w:t>过氧化二苯甲酰、过氧化苯甲酸叔丁酯等</w:t>
                  </w:r>
                </w:p>
              </w:tc>
              <w:tc>
                <w:tcPr>
                  <w:tcW w:w="1199" w:type="dxa"/>
                  <w:vAlign w:val="center"/>
                </w:tcPr>
                <w:p w14:paraId="17382122">
                  <w:pPr>
                    <w:widowControl/>
                    <w:snapToGrid w:val="0"/>
                    <w:jc w:val="center"/>
                    <w:rPr>
                      <w:color w:val="auto"/>
                      <w:kern w:val="0"/>
                      <w:szCs w:val="21"/>
                    </w:rPr>
                  </w:pPr>
                  <w:r>
                    <w:rPr>
                      <w:rFonts w:hint="eastAsia"/>
                      <w:color w:val="auto"/>
                      <w:kern w:val="0"/>
                      <w:szCs w:val="21"/>
                    </w:rPr>
                    <w:t>2.5t</w:t>
                  </w:r>
                </w:p>
              </w:tc>
              <w:tc>
                <w:tcPr>
                  <w:tcW w:w="1560" w:type="dxa"/>
                  <w:shd w:val="clear" w:color="auto" w:fill="auto"/>
                  <w:vAlign w:val="center"/>
                </w:tcPr>
                <w:p w14:paraId="17382123">
                  <w:pPr>
                    <w:widowControl/>
                    <w:snapToGrid w:val="0"/>
                    <w:jc w:val="center"/>
                    <w:rPr>
                      <w:color w:val="auto"/>
                      <w:szCs w:val="21"/>
                    </w:rPr>
                  </w:pPr>
                  <w:r>
                    <w:rPr>
                      <w:rFonts w:hint="eastAsia"/>
                      <w:color w:val="auto"/>
                      <w:kern w:val="0"/>
                      <w:szCs w:val="21"/>
                    </w:rPr>
                    <w:t>1.5t</w:t>
                  </w:r>
                </w:p>
              </w:tc>
              <w:tc>
                <w:tcPr>
                  <w:tcW w:w="1308" w:type="dxa"/>
                  <w:vAlign w:val="center"/>
                </w:tcPr>
                <w:p w14:paraId="17382124">
                  <w:pPr>
                    <w:adjustRightInd w:val="0"/>
                    <w:snapToGrid w:val="0"/>
                    <w:jc w:val="center"/>
                    <w:rPr>
                      <w:color w:val="auto"/>
                      <w:szCs w:val="21"/>
                    </w:rPr>
                  </w:pPr>
                  <w:r>
                    <w:rPr>
                      <w:rFonts w:hint="eastAsia"/>
                      <w:color w:val="auto"/>
                      <w:szCs w:val="21"/>
                    </w:rPr>
                    <w:t>外购，汽运</w:t>
                  </w:r>
                </w:p>
              </w:tc>
            </w:tr>
            <w:tr w14:paraId="1738212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shd w:val="clear" w:color="auto" w:fill="auto"/>
                  <w:vAlign w:val="center"/>
                </w:tcPr>
                <w:p w14:paraId="17382126">
                  <w:pPr>
                    <w:widowControl/>
                    <w:snapToGrid w:val="0"/>
                    <w:jc w:val="center"/>
                    <w:rPr>
                      <w:color w:val="auto"/>
                      <w:szCs w:val="21"/>
                    </w:rPr>
                  </w:pPr>
                  <w:r>
                    <w:rPr>
                      <w:color w:val="auto"/>
                      <w:kern w:val="0"/>
                      <w:szCs w:val="21"/>
                    </w:rPr>
                    <w:t>4</w:t>
                  </w:r>
                </w:p>
              </w:tc>
              <w:tc>
                <w:tcPr>
                  <w:tcW w:w="1445" w:type="dxa"/>
                  <w:vAlign w:val="center"/>
                </w:tcPr>
                <w:p w14:paraId="17382127">
                  <w:pPr>
                    <w:widowControl/>
                    <w:snapToGrid w:val="0"/>
                    <w:jc w:val="center"/>
                    <w:rPr>
                      <w:color w:val="auto"/>
                      <w:szCs w:val="21"/>
                    </w:rPr>
                  </w:pPr>
                  <w:r>
                    <w:rPr>
                      <w:rFonts w:hint="eastAsia"/>
                      <w:color w:val="auto"/>
                      <w:szCs w:val="21"/>
                    </w:rPr>
                    <w:t>碳酸钙</w:t>
                  </w:r>
                </w:p>
              </w:tc>
              <w:tc>
                <w:tcPr>
                  <w:tcW w:w="2156" w:type="dxa"/>
                  <w:vAlign w:val="center"/>
                </w:tcPr>
                <w:p w14:paraId="17382128">
                  <w:pPr>
                    <w:widowControl/>
                    <w:snapToGrid w:val="0"/>
                    <w:jc w:val="center"/>
                    <w:rPr>
                      <w:color w:val="auto"/>
                      <w:kern w:val="0"/>
                      <w:szCs w:val="21"/>
                    </w:rPr>
                  </w:pPr>
                  <w:r>
                    <w:rPr>
                      <w:rFonts w:hint="eastAsia"/>
                      <w:color w:val="auto"/>
                      <w:kern w:val="0"/>
                      <w:szCs w:val="21"/>
                    </w:rPr>
                    <w:t>碳酸钙</w:t>
                  </w:r>
                </w:p>
              </w:tc>
              <w:tc>
                <w:tcPr>
                  <w:tcW w:w="1199" w:type="dxa"/>
                  <w:vAlign w:val="center"/>
                </w:tcPr>
                <w:p w14:paraId="17382129">
                  <w:pPr>
                    <w:widowControl/>
                    <w:snapToGrid w:val="0"/>
                    <w:jc w:val="center"/>
                    <w:rPr>
                      <w:color w:val="auto"/>
                      <w:kern w:val="0"/>
                      <w:szCs w:val="21"/>
                    </w:rPr>
                  </w:pPr>
                  <w:r>
                    <w:rPr>
                      <w:rFonts w:hint="eastAsia"/>
                      <w:color w:val="auto"/>
                      <w:kern w:val="0"/>
                      <w:szCs w:val="21"/>
                    </w:rPr>
                    <w:t>2.5t</w:t>
                  </w:r>
                </w:p>
              </w:tc>
              <w:tc>
                <w:tcPr>
                  <w:tcW w:w="1560" w:type="dxa"/>
                  <w:shd w:val="clear" w:color="auto" w:fill="auto"/>
                  <w:vAlign w:val="center"/>
                </w:tcPr>
                <w:p w14:paraId="1738212A">
                  <w:pPr>
                    <w:widowControl/>
                    <w:snapToGrid w:val="0"/>
                    <w:jc w:val="center"/>
                    <w:rPr>
                      <w:color w:val="auto"/>
                      <w:szCs w:val="21"/>
                    </w:rPr>
                  </w:pPr>
                  <w:r>
                    <w:rPr>
                      <w:rFonts w:hint="eastAsia"/>
                      <w:color w:val="auto"/>
                      <w:kern w:val="0"/>
                      <w:szCs w:val="21"/>
                    </w:rPr>
                    <w:t>1.5t</w:t>
                  </w:r>
                </w:p>
              </w:tc>
              <w:tc>
                <w:tcPr>
                  <w:tcW w:w="1308" w:type="dxa"/>
                  <w:vAlign w:val="center"/>
                </w:tcPr>
                <w:p w14:paraId="1738212B">
                  <w:pPr>
                    <w:adjustRightInd w:val="0"/>
                    <w:snapToGrid w:val="0"/>
                    <w:jc w:val="center"/>
                    <w:rPr>
                      <w:color w:val="auto"/>
                      <w:szCs w:val="21"/>
                    </w:rPr>
                  </w:pPr>
                  <w:r>
                    <w:rPr>
                      <w:rFonts w:hint="eastAsia"/>
                      <w:color w:val="auto"/>
                      <w:szCs w:val="21"/>
                    </w:rPr>
                    <w:t>外购，汽运</w:t>
                  </w:r>
                </w:p>
              </w:tc>
            </w:tr>
            <w:tr w14:paraId="1738213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shd w:val="clear" w:color="auto" w:fill="auto"/>
                  <w:vAlign w:val="center"/>
                </w:tcPr>
                <w:p w14:paraId="1738212D">
                  <w:pPr>
                    <w:widowControl/>
                    <w:snapToGrid w:val="0"/>
                    <w:jc w:val="center"/>
                    <w:rPr>
                      <w:color w:val="auto"/>
                      <w:szCs w:val="21"/>
                    </w:rPr>
                  </w:pPr>
                  <w:r>
                    <w:rPr>
                      <w:rFonts w:hint="eastAsia"/>
                      <w:color w:val="auto"/>
                      <w:kern w:val="0"/>
                      <w:szCs w:val="21"/>
                    </w:rPr>
                    <w:t>5</w:t>
                  </w:r>
                </w:p>
              </w:tc>
              <w:tc>
                <w:tcPr>
                  <w:tcW w:w="1445" w:type="dxa"/>
                  <w:vAlign w:val="center"/>
                </w:tcPr>
                <w:p w14:paraId="1738212E">
                  <w:pPr>
                    <w:widowControl/>
                    <w:snapToGrid w:val="0"/>
                    <w:jc w:val="center"/>
                    <w:rPr>
                      <w:color w:val="auto"/>
                      <w:szCs w:val="21"/>
                    </w:rPr>
                  </w:pPr>
                  <w:r>
                    <w:rPr>
                      <w:rFonts w:hint="eastAsia"/>
                      <w:color w:val="auto"/>
                      <w:szCs w:val="21"/>
                    </w:rPr>
                    <w:t>塑料PP</w:t>
                  </w:r>
                </w:p>
              </w:tc>
              <w:tc>
                <w:tcPr>
                  <w:tcW w:w="2156" w:type="dxa"/>
                  <w:vAlign w:val="center"/>
                </w:tcPr>
                <w:p w14:paraId="1738212F">
                  <w:pPr>
                    <w:widowControl/>
                    <w:snapToGrid w:val="0"/>
                    <w:jc w:val="center"/>
                    <w:rPr>
                      <w:color w:val="auto"/>
                      <w:szCs w:val="21"/>
                    </w:rPr>
                  </w:pPr>
                  <w:r>
                    <w:rPr>
                      <w:rFonts w:hint="eastAsia"/>
                      <w:color w:val="auto"/>
                      <w:szCs w:val="21"/>
                    </w:rPr>
                    <w:t>聚丙烯树脂</w:t>
                  </w:r>
                </w:p>
              </w:tc>
              <w:tc>
                <w:tcPr>
                  <w:tcW w:w="1199" w:type="dxa"/>
                  <w:vAlign w:val="center"/>
                </w:tcPr>
                <w:p w14:paraId="17382130">
                  <w:pPr>
                    <w:widowControl/>
                    <w:snapToGrid w:val="0"/>
                    <w:jc w:val="center"/>
                    <w:rPr>
                      <w:color w:val="auto"/>
                      <w:szCs w:val="21"/>
                    </w:rPr>
                  </w:pPr>
                  <w:r>
                    <w:rPr>
                      <w:rFonts w:hint="eastAsia"/>
                      <w:color w:val="auto"/>
                      <w:szCs w:val="21"/>
                    </w:rPr>
                    <w:t>40t</w:t>
                  </w:r>
                </w:p>
              </w:tc>
              <w:tc>
                <w:tcPr>
                  <w:tcW w:w="1560" w:type="dxa"/>
                  <w:shd w:val="clear" w:color="auto" w:fill="auto"/>
                  <w:vAlign w:val="center"/>
                </w:tcPr>
                <w:p w14:paraId="17382131">
                  <w:pPr>
                    <w:widowControl/>
                    <w:snapToGrid w:val="0"/>
                    <w:jc w:val="center"/>
                    <w:rPr>
                      <w:color w:val="auto"/>
                      <w:szCs w:val="21"/>
                    </w:rPr>
                  </w:pPr>
                  <w:r>
                    <w:rPr>
                      <w:rFonts w:hint="eastAsia"/>
                      <w:color w:val="auto"/>
                      <w:szCs w:val="21"/>
                    </w:rPr>
                    <w:t>20t</w:t>
                  </w:r>
                </w:p>
              </w:tc>
              <w:tc>
                <w:tcPr>
                  <w:tcW w:w="1308" w:type="dxa"/>
                  <w:vAlign w:val="center"/>
                </w:tcPr>
                <w:p w14:paraId="17382132">
                  <w:pPr>
                    <w:adjustRightInd w:val="0"/>
                    <w:snapToGrid w:val="0"/>
                    <w:jc w:val="center"/>
                    <w:rPr>
                      <w:color w:val="auto"/>
                      <w:szCs w:val="21"/>
                    </w:rPr>
                  </w:pPr>
                  <w:r>
                    <w:rPr>
                      <w:rFonts w:hint="eastAsia"/>
                      <w:color w:val="auto"/>
                      <w:szCs w:val="21"/>
                    </w:rPr>
                    <w:t>外购，汽运</w:t>
                  </w:r>
                </w:p>
              </w:tc>
            </w:tr>
            <w:tr w14:paraId="1738213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shd w:val="clear" w:color="auto" w:fill="auto"/>
                  <w:vAlign w:val="center"/>
                </w:tcPr>
                <w:p w14:paraId="17382134">
                  <w:pPr>
                    <w:widowControl/>
                    <w:snapToGrid w:val="0"/>
                    <w:jc w:val="center"/>
                    <w:rPr>
                      <w:color w:val="auto"/>
                      <w:szCs w:val="21"/>
                    </w:rPr>
                  </w:pPr>
                  <w:r>
                    <w:rPr>
                      <w:rFonts w:hint="eastAsia"/>
                      <w:color w:val="auto"/>
                      <w:kern w:val="0"/>
                      <w:szCs w:val="21"/>
                    </w:rPr>
                    <w:t>6</w:t>
                  </w:r>
                </w:p>
              </w:tc>
              <w:tc>
                <w:tcPr>
                  <w:tcW w:w="1445" w:type="dxa"/>
                  <w:vAlign w:val="center"/>
                </w:tcPr>
                <w:p w14:paraId="17382135">
                  <w:pPr>
                    <w:widowControl/>
                    <w:snapToGrid w:val="0"/>
                    <w:jc w:val="center"/>
                    <w:rPr>
                      <w:color w:val="auto"/>
                      <w:szCs w:val="21"/>
                    </w:rPr>
                  </w:pPr>
                  <w:r>
                    <w:rPr>
                      <w:rFonts w:hint="eastAsia"/>
                      <w:color w:val="auto"/>
                      <w:szCs w:val="21"/>
                    </w:rPr>
                    <w:t>塑料PE</w:t>
                  </w:r>
                </w:p>
              </w:tc>
              <w:tc>
                <w:tcPr>
                  <w:tcW w:w="2156" w:type="dxa"/>
                  <w:vAlign w:val="center"/>
                </w:tcPr>
                <w:p w14:paraId="17382136">
                  <w:pPr>
                    <w:widowControl/>
                    <w:snapToGrid w:val="0"/>
                    <w:jc w:val="center"/>
                    <w:rPr>
                      <w:color w:val="auto"/>
                      <w:szCs w:val="21"/>
                    </w:rPr>
                  </w:pPr>
                  <w:r>
                    <w:rPr>
                      <w:rFonts w:hint="eastAsia"/>
                      <w:color w:val="auto"/>
                      <w:szCs w:val="21"/>
                    </w:rPr>
                    <w:t>聚乙烯树脂</w:t>
                  </w:r>
                </w:p>
              </w:tc>
              <w:tc>
                <w:tcPr>
                  <w:tcW w:w="1199" w:type="dxa"/>
                  <w:vAlign w:val="center"/>
                </w:tcPr>
                <w:p w14:paraId="17382137">
                  <w:pPr>
                    <w:widowControl/>
                    <w:snapToGrid w:val="0"/>
                    <w:jc w:val="center"/>
                    <w:rPr>
                      <w:color w:val="auto"/>
                      <w:szCs w:val="21"/>
                    </w:rPr>
                  </w:pPr>
                  <w:r>
                    <w:rPr>
                      <w:rFonts w:hint="eastAsia"/>
                      <w:color w:val="auto"/>
                      <w:szCs w:val="21"/>
                    </w:rPr>
                    <w:t>10t</w:t>
                  </w:r>
                </w:p>
              </w:tc>
              <w:tc>
                <w:tcPr>
                  <w:tcW w:w="1560" w:type="dxa"/>
                  <w:vAlign w:val="center"/>
                </w:tcPr>
                <w:p w14:paraId="17382138">
                  <w:pPr>
                    <w:widowControl/>
                    <w:snapToGrid w:val="0"/>
                    <w:jc w:val="center"/>
                    <w:rPr>
                      <w:color w:val="auto"/>
                      <w:szCs w:val="21"/>
                    </w:rPr>
                  </w:pPr>
                  <w:r>
                    <w:rPr>
                      <w:rFonts w:hint="eastAsia"/>
                      <w:color w:val="auto"/>
                      <w:szCs w:val="21"/>
                    </w:rPr>
                    <w:t>5t</w:t>
                  </w:r>
                </w:p>
              </w:tc>
              <w:tc>
                <w:tcPr>
                  <w:tcW w:w="1308" w:type="dxa"/>
                  <w:shd w:val="clear" w:color="auto" w:fill="auto"/>
                  <w:vAlign w:val="center"/>
                </w:tcPr>
                <w:p w14:paraId="17382139">
                  <w:pPr>
                    <w:adjustRightInd w:val="0"/>
                    <w:snapToGrid w:val="0"/>
                    <w:jc w:val="center"/>
                    <w:rPr>
                      <w:color w:val="auto"/>
                      <w:szCs w:val="21"/>
                    </w:rPr>
                  </w:pPr>
                  <w:r>
                    <w:rPr>
                      <w:rFonts w:hint="eastAsia"/>
                      <w:color w:val="auto"/>
                      <w:szCs w:val="21"/>
                    </w:rPr>
                    <w:t>外购，汽运</w:t>
                  </w:r>
                </w:p>
              </w:tc>
            </w:tr>
            <w:tr w14:paraId="1738214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shd w:val="clear" w:color="auto" w:fill="auto"/>
                  <w:vAlign w:val="center"/>
                </w:tcPr>
                <w:p w14:paraId="1738213B">
                  <w:pPr>
                    <w:widowControl/>
                    <w:snapToGrid w:val="0"/>
                    <w:jc w:val="center"/>
                    <w:rPr>
                      <w:color w:val="auto"/>
                      <w:szCs w:val="21"/>
                    </w:rPr>
                  </w:pPr>
                  <w:r>
                    <w:rPr>
                      <w:rFonts w:hint="eastAsia"/>
                      <w:color w:val="auto"/>
                      <w:kern w:val="0"/>
                      <w:szCs w:val="21"/>
                    </w:rPr>
                    <w:t>7</w:t>
                  </w:r>
                </w:p>
              </w:tc>
              <w:tc>
                <w:tcPr>
                  <w:tcW w:w="1445" w:type="dxa"/>
                  <w:shd w:val="clear" w:color="auto" w:fill="auto"/>
                  <w:vAlign w:val="center"/>
                </w:tcPr>
                <w:p w14:paraId="1738213C">
                  <w:pPr>
                    <w:widowControl/>
                    <w:snapToGrid w:val="0"/>
                    <w:jc w:val="center"/>
                    <w:rPr>
                      <w:color w:val="auto"/>
                      <w:szCs w:val="21"/>
                    </w:rPr>
                  </w:pPr>
                  <w:r>
                    <w:rPr>
                      <w:rFonts w:hint="eastAsia"/>
                      <w:color w:val="auto"/>
                      <w:szCs w:val="21"/>
                    </w:rPr>
                    <w:t>各种锤头</w:t>
                  </w:r>
                </w:p>
              </w:tc>
              <w:tc>
                <w:tcPr>
                  <w:tcW w:w="2156" w:type="dxa"/>
                  <w:shd w:val="clear" w:color="auto" w:fill="auto"/>
                  <w:vAlign w:val="center"/>
                </w:tcPr>
                <w:p w14:paraId="1738213D">
                  <w:pPr>
                    <w:widowControl/>
                    <w:snapToGrid w:val="0"/>
                    <w:jc w:val="center"/>
                    <w:rPr>
                      <w:color w:val="auto"/>
                      <w:szCs w:val="21"/>
                    </w:rPr>
                  </w:pPr>
                  <w:r>
                    <w:rPr>
                      <w:rFonts w:hint="eastAsia"/>
                      <w:color w:val="auto"/>
                      <w:kern w:val="0"/>
                      <w:szCs w:val="21"/>
                      <w:lang w:val="en-US" w:eastAsia="zh-CN"/>
                    </w:rPr>
                    <w:t>0.227kg</w:t>
                  </w:r>
                  <w:r>
                    <w:rPr>
                      <w:color w:val="auto"/>
                      <w:kern w:val="0"/>
                      <w:szCs w:val="21"/>
                    </w:rPr>
                    <w:t>–</w:t>
                  </w:r>
                  <w:r>
                    <w:rPr>
                      <w:rFonts w:hint="eastAsia"/>
                      <w:color w:val="auto"/>
                      <w:kern w:val="0"/>
                      <w:szCs w:val="21"/>
                    </w:rPr>
                    <w:t xml:space="preserve"> 20kg</w:t>
                  </w:r>
                </w:p>
              </w:tc>
              <w:tc>
                <w:tcPr>
                  <w:tcW w:w="1199" w:type="dxa"/>
                  <w:shd w:val="clear" w:color="auto" w:fill="auto"/>
                  <w:vAlign w:val="center"/>
                </w:tcPr>
                <w:p w14:paraId="1738213E">
                  <w:pPr>
                    <w:widowControl/>
                    <w:snapToGrid w:val="0"/>
                    <w:jc w:val="center"/>
                    <w:rPr>
                      <w:color w:val="auto"/>
                      <w:szCs w:val="21"/>
                    </w:rPr>
                  </w:pPr>
                  <w:r>
                    <w:rPr>
                      <w:rFonts w:hint="eastAsia"/>
                      <w:color w:val="auto"/>
                      <w:szCs w:val="21"/>
                    </w:rPr>
                    <w:t>400t</w:t>
                  </w:r>
                </w:p>
              </w:tc>
              <w:tc>
                <w:tcPr>
                  <w:tcW w:w="1560" w:type="dxa"/>
                  <w:vAlign w:val="center"/>
                </w:tcPr>
                <w:p w14:paraId="1738213F">
                  <w:pPr>
                    <w:widowControl/>
                    <w:snapToGrid w:val="0"/>
                    <w:jc w:val="center"/>
                    <w:rPr>
                      <w:color w:val="auto"/>
                      <w:szCs w:val="21"/>
                    </w:rPr>
                  </w:pPr>
                  <w:r>
                    <w:rPr>
                      <w:rFonts w:hint="eastAsia"/>
                      <w:color w:val="auto"/>
                      <w:szCs w:val="21"/>
                    </w:rPr>
                    <w:t>150t</w:t>
                  </w:r>
                </w:p>
              </w:tc>
              <w:tc>
                <w:tcPr>
                  <w:tcW w:w="1308" w:type="dxa"/>
                  <w:shd w:val="clear" w:color="auto" w:fill="auto"/>
                  <w:vAlign w:val="center"/>
                </w:tcPr>
                <w:p w14:paraId="17382140">
                  <w:pPr>
                    <w:adjustRightInd w:val="0"/>
                    <w:snapToGrid w:val="0"/>
                    <w:jc w:val="center"/>
                    <w:rPr>
                      <w:color w:val="auto"/>
                      <w:szCs w:val="21"/>
                    </w:rPr>
                  </w:pPr>
                  <w:r>
                    <w:rPr>
                      <w:rFonts w:hint="eastAsia"/>
                      <w:color w:val="auto"/>
                      <w:szCs w:val="21"/>
                    </w:rPr>
                    <w:t>外购，汽运</w:t>
                  </w:r>
                </w:p>
              </w:tc>
            </w:tr>
            <w:tr w14:paraId="1738214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vAlign w:val="center"/>
                </w:tcPr>
                <w:p w14:paraId="17382142">
                  <w:pPr>
                    <w:widowControl/>
                    <w:snapToGrid w:val="0"/>
                    <w:jc w:val="center"/>
                    <w:rPr>
                      <w:color w:val="auto"/>
                      <w:kern w:val="0"/>
                      <w:szCs w:val="21"/>
                    </w:rPr>
                  </w:pPr>
                  <w:r>
                    <w:rPr>
                      <w:rFonts w:hint="eastAsia"/>
                      <w:color w:val="auto"/>
                      <w:kern w:val="0"/>
                      <w:szCs w:val="21"/>
                    </w:rPr>
                    <w:t>8</w:t>
                  </w:r>
                </w:p>
              </w:tc>
              <w:tc>
                <w:tcPr>
                  <w:tcW w:w="1445" w:type="dxa"/>
                  <w:shd w:val="clear" w:color="auto" w:fill="auto"/>
                  <w:vAlign w:val="center"/>
                </w:tcPr>
                <w:p w14:paraId="17382143">
                  <w:pPr>
                    <w:widowControl/>
                    <w:snapToGrid w:val="0"/>
                    <w:jc w:val="center"/>
                    <w:rPr>
                      <w:color w:val="auto"/>
                      <w:szCs w:val="21"/>
                    </w:rPr>
                  </w:pPr>
                  <w:r>
                    <w:rPr>
                      <w:rFonts w:hint="eastAsia"/>
                      <w:color w:val="auto"/>
                      <w:szCs w:val="21"/>
                    </w:rPr>
                    <w:t>各种斧头等</w:t>
                  </w:r>
                </w:p>
              </w:tc>
              <w:tc>
                <w:tcPr>
                  <w:tcW w:w="2156" w:type="dxa"/>
                  <w:shd w:val="clear" w:color="auto" w:fill="auto"/>
                  <w:vAlign w:val="center"/>
                </w:tcPr>
                <w:p w14:paraId="17382144">
                  <w:pPr>
                    <w:widowControl/>
                    <w:snapToGrid w:val="0"/>
                    <w:jc w:val="center"/>
                    <w:rPr>
                      <w:color w:val="auto"/>
                      <w:szCs w:val="21"/>
                    </w:rPr>
                  </w:pPr>
                  <w:r>
                    <w:rPr>
                      <w:rFonts w:hint="eastAsia"/>
                      <w:color w:val="auto"/>
                      <w:kern w:val="0"/>
                      <w:szCs w:val="21"/>
                    </w:rPr>
                    <w:t>1LB-6LB</w:t>
                  </w:r>
                </w:p>
              </w:tc>
              <w:tc>
                <w:tcPr>
                  <w:tcW w:w="1199" w:type="dxa"/>
                  <w:shd w:val="clear" w:color="auto" w:fill="auto"/>
                  <w:vAlign w:val="center"/>
                </w:tcPr>
                <w:p w14:paraId="17382145">
                  <w:pPr>
                    <w:widowControl/>
                    <w:snapToGrid w:val="0"/>
                    <w:jc w:val="center"/>
                    <w:rPr>
                      <w:color w:val="auto"/>
                      <w:szCs w:val="21"/>
                    </w:rPr>
                  </w:pPr>
                  <w:r>
                    <w:rPr>
                      <w:rFonts w:hint="eastAsia"/>
                      <w:color w:val="auto"/>
                      <w:szCs w:val="21"/>
                    </w:rPr>
                    <w:t>100t</w:t>
                  </w:r>
                </w:p>
              </w:tc>
              <w:tc>
                <w:tcPr>
                  <w:tcW w:w="1560" w:type="dxa"/>
                  <w:vAlign w:val="center"/>
                </w:tcPr>
                <w:p w14:paraId="17382146">
                  <w:pPr>
                    <w:widowControl/>
                    <w:snapToGrid w:val="0"/>
                    <w:jc w:val="center"/>
                    <w:rPr>
                      <w:color w:val="auto"/>
                      <w:szCs w:val="21"/>
                    </w:rPr>
                  </w:pPr>
                  <w:r>
                    <w:rPr>
                      <w:rFonts w:hint="eastAsia"/>
                      <w:color w:val="auto"/>
                      <w:szCs w:val="21"/>
                    </w:rPr>
                    <w:t>50t</w:t>
                  </w:r>
                </w:p>
              </w:tc>
              <w:tc>
                <w:tcPr>
                  <w:tcW w:w="1308" w:type="dxa"/>
                  <w:shd w:val="clear" w:color="auto" w:fill="auto"/>
                  <w:vAlign w:val="center"/>
                </w:tcPr>
                <w:p w14:paraId="17382147">
                  <w:pPr>
                    <w:adjustRightInd w:val="0"/>
                    <w:snapToGrid w:val="0"/>
                    <w:jc w:val="center"/>
                    <w:rPr>
                      <w:color w:val="auto"/>
                      <w:szCs w:val="21"/>
                    </w:rPr>
                  </w:pPr>
                  <w:r>
                    <w:rPr>
                      <w:rFonts w:hint="eastAsia"/>
                      <w:color w:val="auto"/>
                      <w:szCs w:val="21"/>
                    </w:rPr>
                    <w:t>外购，汽运</w:t>
                  </w:r>
                </w:p>
              </w:tc>
            </w:tr>
            <w:tr w14:paraId="1738214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vAlign w:val="center"/>
                </w:tcPr>
                <w:p w14:paraId="17382149">
                  <w:pPr>
                    <w:widowControl/>
                    <w:snapToGrid w:val="0"/>
                    <w:jc w:val="center"/>
                    <w:rPr>
                      <w:color w:val="auto"/>
                      <w:szCs w:val="21"/>
                    </w:rPr>
                  </w:pPr>
                  <w:r>
                    <w:rPr>
                      <w:rFonts w:hint="eastAsia"/>
                      <w:color w:val="auto"/>
                      <w:szCs w:val="21"/>
                    </w:rPr>
                    <w:t>9</w:t>
                  </w:r>
                </w:p>
              </w:tc>
              <w:tc>
                <w:tcPr>
                  <w:tcW w:w="1445" w:type="dxa"/>
                  <w:vAlign w:val="center"/>
                </w:tcPr>
                <w:p w14:paraId="1738214A">
                  <w:pPr>
                    <w:widowControl/>
                    <w:snapToGrid w:val="0"/>
                    <w:jc w:val="center"/>
                    <w:rPr>
                      <w:color w:val="auto"/>
                      <w:szCs w:val="21"/>
                    </w:rPr>
                  </w:pPr>
                  <w:r>
                    <w:rPr>
                      <w:rFonts w:hint="eastAsia"/>
                      <w:color w:val="auto"/>
                      <w:szCs w:val="21"/>
                    </w:rPr>
                    <w:t>钢丸</w:t>
                  </w:r>
                </w:p>
              </w:tc>
              <w:tc>
                <w:tcPr>
                  <w:tcW w:w="2156" w:type="dxa"/>
                  <w:vAlign w:val="center"/>
                </w:tcPr>
                <w:p w14:paraId="1738214B">
                  <w:pPr>
                    <w:widowControl/>
                    <w:snapToGrid w:val="0"/>
                    <w:jc w:val="center"/>
                    <w:rPr>
                      <w:color w:val="auto"/>
                      <w:szCs w:val="21"/>
                    </w:rPr>
                  </w:pPr>
                  <w:r>
                    <w:rPr>
                      <w:rFonts w:hint="eastAsia"/>
                      <w:color w:val="auto"/>
                      <w:szCs w:val="21"/>
                    </w:rPr>
                    <w:t>钢</w:t>
                  </w:r>
                </w:p>
              </w:tc>
              <w:tc>
                <w:tcPr>
                  <w:tcW w:w="1199" w:type="dxa"/>
                  <w:vAlign w:val="center"/>
                </w:tcPr>
                <w:p w14:paraId="1738214C">
                  <w:pPr>
                    <w:widowControl/>
                    <w:snapToGrid w:val="0"/>
                    <w:jc w:val="center"/>
                    <w:rPr>
                      <w:color w:val="auto"/>
                      <w:szCs w:val="21"/>
                    </w:rPr>
                  </w:pPr>
                  <w:r>
                    <w:rPr>
                      <w:rFonts w:hint="eastAsia"/>
                      <w:color w:val="auto"/>
                      <w:szCs w:val="21"/>
                    </w:rPr>
                    <w:t>0.5t</w:t>
                  </w:r>
                </w:p>
              </w:tc>
              <w:tc>
                <w:tcPr>
                  <w:tcW w:w="1560" w:type="dxa"/>
                  <w:vAlign w:val="center"/>
                </w:tcPr>
                <w:p w14:paraId="1738214D">
                  <w:pPr>
                    <w:widowControl/>
                    <w:snapToGrid w:val="0"/>
                    <w:jc w:val="center"/>
                    <w:rPr>
                      <w:color w:val="auto"/>
                      <w:szCs w:val="21"/>
                    </w:rPr>
                  </w:pPr>
                  <w:r>
                    <w:rPr>
                      <w:rFonts w:hint="eastAsia"/>
                      <w:color w:val="auto"/>
                      <w:szCs w:val="21"/>
                    </w:rPr>
                    <w:t>0.2t</w:t>
                  </w:r>
                </w:p>
              </w:tc>
              <w:tc>
                <w:tcPr>
                  <w:tcW w:w="1308" w:type="dxa"/>
                  <w:shd w:val="clear" w:color="auto" w:fill="auto"/>
                  <w:vAlign w:val="center"/>
                </w:tcPr>
                <w:p w14:paraId="1738214E">
                  <w:pPr>
                    <w:adjustRightInd w:val="0"/>
                    <w:snapToGrid w:val="0"/>
                    <w:jc w:val="center"/>
                    <w:rPr>
                      <w:color w:val="auto"/>
                      <w:szCs w:val="21"/>
                    </w:rPr>
                  </w:pPr>
                  <w:r>
                    <w:rPr>
                      <w:rFonts w:hint="eastAsia"/>
                      <w:color w:val="auto"/>
                      <w:szCs w:val="21"/>
                    </w:rPr>
                    <w:t>外购，汽运</w:t>
                  </w:r>
                </w:p>
              </w:tc>
            </w:tr>
            <w:tr w14:paraId="1738215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vAlign w:val="center"/>
                </w:tcPr>
                <w:p w14:paraId="17382150">
                  <w:pPr>
                    <w:widowControl/>
                    <w:snapToGrid w:val="0"/>
                    <w:jc w:val="center"/>
                    <w:rPr>
                      <w:color w:val="auto"/>
                      <w:szCs w:val="21"/>
                    </w:rPr>
                  </w:pPr>
                  <w:r>
                    <w:rPr>
                      <w:rFonts w:hint="eastAsia"/>
                      <w:color w:val="auto"/>
                      <w:szCs w:val="21"/>
                    </w:rPr>
                    <w:t>10</w:t>
                  </w:r>
                </w:p>
              </w:tc>
              <w:tc>
                <w:tcPr>
                  <w:tcW w:w="1445" w:type="dxa"/>
                  <w:vAlign w:val="center"/>
                </w:tcPr>
                <w:p w14:paraId="17382151">
                  <w:pPr>
                    <w:widowControl/>
                    <w:snapToGrid w:val="0"/>
                    <w:jc w:val="center"/>
                    <w:rPr>
                      <w:color w:val="auto"/>
                      <w:szCs w:val="21"/>
                    </w:rPr>
                  </w:pPr>
                  <w:r>
                    <w:rPr>
                      <w:rFonts w:hint="eastAsia"/>
                      <w:color w:val="auto"/>
                      <w:szCs w:val="21"/>
                    </w:rPr>
                    <w:t>塑粉</w:t>
                  </w:r>
                </w:p>
              </w:tc>
              <w:tc>
                <w:tcPr>
                  <w:tcW w:w="2156" w:type="dxa"/>
                  <w:vAlign w:val="center"/>
                </w:tcPr>
                <w:p w14:paraId="17382152">
                  <w:pPr>
                    <w:widowControl/>
                    <w:snapToGrid w:val="0"/>
                    <w:jc w:val="center"/>
                    <w:rPr>
                      <w:color w:val="auto"/>
                      <w:szCs w:val="21"/>
                    </w:rPr>
                  </w:pPr>
                  <w:r>
                    <w:rPr>
                      <w:rFonts w:hint="eastAsia"/>
                      <w:color w:val="auto"/>
                      <w:szCs w:val="21"/>
                    </w:rPr>
                    <w:t>环氧树脂等</w:t>
                  </w:r>
                </w:p>
              </w:tc>
              <w:tc>
                <w:tcPr>
                  <w:tcW w:w="1199" w:type="dxa"/>
                  <w:vAlign w:val="center"/>
                </w:tcPr>
                <w:p w14:paraId="17382153">
                  <w:pPr>
                    <w:widowControl/>
                    <w:snapToGrid w:val="0"/>
                    <w:jc w:val="center"/>
                    <w:rPr>
                      <w:color w:val="auto"/>
                      <w:szCs w:val="21"/>
                    </w:rPr>
                  </w:pPr>
                  <w:r>
                    <w:rPr>
                      <w:rFonts w:hint="eastAsia"/>
                      <w:color w:val="auto"/>
                      <w:szCs w:val="21"/>
                    </w:rPr>
                    <w:t>4.5t</w:t>
                  </w:r>
                </w:p>
              </w:tc>
              <w:tc>
                <w:tcPr>
                  <w:tcW w:w="1560" w:type="dxa"/>
                  <w:vAlign w:val="center"/>
                </w:tcPr>
                <w:p w14:paraId="17382154">
                  <w:pPr>
                    <w:widowControl/>
                    <w:snapToGrid w:val="0"/>
                    <w:jc w:val="center"/>
                    <w:rPr>
                      <w:color w:val="auto"/>
                      <w:szCs w:val="21"/>
                    </w:rPr>
                  </w:pPr>
                  <w:r>
                    <w:rPr>
                      <w:rFonts w:hint="eastAsia"/>
                      <w:color w:val="auto"/>
                      <w:szCs w:val="21"/>
                    </w:rPr>
                    <w:t>2t</w:t>
                  </w:r>
                </w:p>
              </w:tc>
              <w:tc>
                <w:tcPr>
                  <w:tcW w:w="1308" w:type="dxa"/>
                  <w:shd w:val="clear" w:color="auto" w:fill="auto"/>
                  <w:vAlign w:val="center"/>
                </w:tcPr>
                <w:p w14:paraId="17382155">
                  <w:pPr>
                    <w:adjustRightInd w:val="0"/>
                    <w:snapToGrid w:val="0"/>
                    <w:jc w:val="center"/>
                    <w:rPr>
                      <w:color w:val="auto"/>
                      <w:szCs w:val="21"/>
                    </w:rPr>
                  </w:pPr>
                  <w:r>
                    <w:rPr>
                      <w:rFonts w:hint="eastAsia"/>
                      <w:color w:val="auto"/>
                      <w:szCs w:val="21"/>
                    </w:rPr>
                    <w:t>外购，汽运</w:t>
                  </w:r>
                </w:p>
              </w:tc>
            </w:tr>
            <w:tr w14:paraId="1738215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vAlign w:val="center"/>
                </w:tcPr>
                <w:p w14:paraId="17382157">
                  <w:pPr>
                    <w:widowControl/>
                    <w:snapToGrid w:val="0"/>
                    <w:jc w:val="center"/>
                    <w:rPr>
                      <w:color w:val="auto"/>
                      <w:szCs w:val="21"/>
                    </w:rPr>
                  </w:pPr>
                  <w:r>
                    <w:rPr>
                      <w:rFonts w:hint="eastAsia"/>
                      <w:color w:val="auto"/>
                      <w:szCs w:val="21"/>
                    </w:rPr>
                    <w:t>11</w:t>
                  </w:r>
                </w:p>
              </w:tc>
              <w:tc>
                <w:tcPr>
                  <w:tcW w:w="1445" w:type="dxa"/>
                  <w:vAlign w:val="center"/>
                </w:tcPr>
                <w:p w14:paraId="17382158">
                  <w:pPr>
                    <w:widowControl/>
                    <w:snapToGrid w:val="0"/>
                    <w:jc w:val="center"/>
                    <w:rPr>
                      <w:color w:val="auto"/>
                      <w:szCs w:val="21"/>
                    </w:rPr>
                  </w:pPr>
                  <w:r>
                    <w:rPr>
                      <w:rFonts w:hint="eastAsia"/>
                      <w:color w:val="auto"/>
                      <w:szCs w:val="21"/>
                    </w:rPr>
                    <w:t>机油</w:t>
                  </w:r>
                </w:p>
              </w:tc>
              <w:tc>
                <w:tcPr>
                  <w:tcW w:w="2156" w:type="dxa"/>
                  <w:vAlign w:val="center"/>
                </w:tcPr>
                <w:p w14:paraId="17382159">
                  <w:pPr>
                    <w:widowControl/>
                    <w:snapToGrid w:val="0"/>
                    <w:jc w:val="center"/>
                    <w:rPr>
                      <w:color w:val="auto"/>
                      <w:szCs w:val="21"/>
                    </w:rPr>
                  </w:pPr>
                  <w:r>
                    <w:rPr>
                      <w:rFonts w:hint="eastAsia"/>
                      <w:color w:val="auto"/>
                      <w:szCs w:val="21"/>
                    </w:rPr>
                    <w:t>矿物油等</w:t>
                  </w:r>
                </w:p>
              </w:tc>
              <w:tc>
                <w:tcPr>
                  <w:tcW w:w="1199" w:type="dxa"/>
                  <w:vAlign w:val="center"/>
                </w:tcPr>
                <w:p w14:paraId="1738215A">
                  <w:pPr>
                    <w:widowControl/>
                    <w:snapToGrid w:val="0"/>
                    <w:jc w:val="center"/>
                    <w:rPr>
                      <w:color w:val="auto"/>
                      <w:szCs w:val="21"/>
                    </w:rPr>
                  </w:pPr>
                  <w:r>
                    <w:rPr>
                      <w:rFonts w:hint="eastAsia"/>
                      <w:color w:val="auto"/>
                      <w:szCs w:val="21"/>
                    </w:rPr>
                    <w:t>0.3t</w:t>
                  </w:r>
                </w:p>
              </w:tc>
              <w:tc>
                <w:tcPr>
                  <w:tcW w:w="1560" w:type="dxa"/>
                  <w:vAlign w:val="center"/>
                </w:tcPr>
                <w:p w14:paraId="1738215B">
                  <w:pPr>
                    <w:widowControl/>
                    <w:snapToGrid w:val="0"/>
                    <w:jc w:val="center"/>
                    <w:rPr>
                      <w:color w:val="auto"/>
                      <w:szCs w:val="21"/>
                    </w:rPr>
                  </w:pPr>
                  <w:r>
                    <w:rPr>
                      <w:rFonts w:hint="eastAsia"/>
                      <w:color w:val="auto"/>
                      <w:szCs w:val="21"/>
                    </w:rPr>
                    <w:t>0.3t</w:t>
                  </w:r>
                </w:p>
              </w:tc>
              <w:tc>
                <w:tcPr>
                  <w:tcW w:w="1308" w:type="dxa"/>
                  <w:shd w:val="clear" w:color="auto" w:fill="auto"/>
                  <w:vAlign w:val="center"/>
                </w:tcPr>
                <w:p w14:paraId="1738215C">
                  <w:pPr>
                    <w:adjustRightInd w:val="0"/>
                    <w:snapToGrid w:val="0"/>
                    <w:jc w:val="center"/>
                    <w:rPr>
                      <w:color w:val="auto"/>
                      <w:szCs w:val="21"/>
                    </w:rPr>
                  </w:pPr>
                  <w:r>
                    <w:rPr>
                      <w:rFonts w:hint="eastAsia"/>
                      <w:color w:val="auto"/>
                      <w:szCs w:val="21"/>
                    </w:rPr>
                    <w:t>外购，汽运</w:t>
                  </w:r>
                </w:p>
              </w:tc>
            </w:tr>
            <w:tr w14:paraId="1738216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720" w:type="dxa"/>
                  <w:vAlign w:val="center"/>
                </w:tcPr>
                <w:p w14:paraId="1738215E">
                  <w:pPr>
                    <w:widowControl/>
                    <w:snapToGrid w:val="0"/>
                    <w:jc w:val="center"/>
                    <w:rPr>
                      <w:color w:val="auto"/>
                      <w:szCs w:val="21"/>
                    </w:rPr>
                  </w:pPr>
                  <w:r>
                    <w:rPr>
                      <w:rFonts w:hint="eastAsia"/>
                      <w:color w:val="auto"/>
                      <w:szCs w:val="21"/>
                    </w:rPr>
                    <w:t>12</w:t>
                  </w:r>
                </w:p>
              </w:tc>
              <w:tc>
                <w:tcPr>
                  <w:tcW w:w="1445" w:type="dxa"/>
                  <w:vAlign w:val="center"/>
                </w:tcPr>
                <w:p w14:paraId="1738215F">
                  <w:pPr>
                    <w:widowControl/>
                    <w:snapToGrid w:val="0"/>
                    <w:jc w:val="center"/>
                    <w:rPr>
                      <w:color w:val="auto"/>
                      <w:szCs w:val="21"/>
                    </w:rPr>
                  </w:pPr>
                  <w:r>
                    <w:rPr>
                      <w:rFonts w:hint="eastAsia"/>
                      <w:color w:val="auto"/>
                      <w:szCs w:val="21"/>
                    </w:rPr>
                    <w:t>防锈油</w:t>
                  </w:r>
                </w:p>
              </w:tc>
              <w:tc>
                <w:tcPr>
                  <w:tcW w:w="2156" w:type="dxa"/>
                  <w:vAlign w:val="center"/>
                </w:tcPr>
                <w:p w14:paraId="17382160">
                  <w:pPr>
                    <w:widowControl/>
                    <w:snapToGrid w:val="0"/>
                    <w:jc w:val="center"/>
                    <w:rPr>
                      <w:color w:val="auto"/>
                      <w:szCs w:val="21"/>
                    </w:rPr>
                  </w:pPr>
                  <w:r>
                    <w:rPr>
                      <w:rFonts w:hint="eastAsia"/>
                      <w:color w:val="auto"/>
                      <w:szCs w:val="21"/>
                    </w:rPr>
                    <w:t>矿物油等</w:t>
                  </w:r>
                </w:p>
              </w:tc>
              <w:tc>
                <w:tcPr>
                  <w:tcW w:w="1199" w:type="dxa"/>
                  <w:vAlign w:val="center"/>
                </w:tcPr>
                <w:p w14:paraId="17382161">
                  <w:pPr>
                    <w:widowControl/>
                    <w:snapToGrid w:val="0"/>
                    <w:jc w:val="center"/>
                    <w:rPr>
                      <w:color w:val="auto"/>
                      <w:szCs w:val="21"/>
                    </w:rPr>
                  </w:pPr>
                  <w:r>
                    <w:rPr>
                      <w:rFonts w:hint="eastAsia"/>
                      <w:color w:val="auto"/>
                      <w:szCs w:val="21"/>
                    </w:rPr>
                    <w:t>0.5t</w:t>
                  </w:r>
                </w:p>
              </w:tc>
              <w:tc>
                <w:tcPr>
                  <w:tcW w:w="1560" w:type="dxa"/>
                  <w:vAlign w:val="center"/>
                </w:tcPr>
                <w:p w14:paraId="17382162">
                  <w:pPr>
                    <w:widowControl/>
                    <w:snapToGrid w:val="0"/>
                    <w:jc w:val="center"/>
                    <w:rPr>
                      <w:color w:val="auto"/>
                      <w:szCs w:val="21"/>
                    </w:rPr>
                  </w:pPr>
                  <w:r>
                    <w:rPr>
                      <w:rFonts w:hint="eastAsia"/>
                      <w:color w:val="auto"/>
                      <w:szCs w:val="21"/>
                    </w:rPr>
                    <w:t>0.2t</w:t>
                  </w:r>
                </w:p>
              </w:tc>
              <w:tc>
                <w:tcPr>
                  <w:tcW w:w="1308" w:type="dxa"/>
                  <w:shd w:val="clear" w:color="auto" w:fill="auto"/>
                  <w:vAlign w:val="center"/>
                </w:tcPr>
                <w:p w14:paraId="17382163">
                  <w:pPr>
                    <w:adjustRightInd w:val="0"/>
                    <w:snapToGrid w:val="0"/>
                    <w:jc w:val="center"/>
                    <w:rPr>
                      <w:color w:val="auto"/>
                      <w:szCs w:val="21"/>
                    </w:rPr>
                  </w:pPr>
                  <w:r>
                    <w:rPr>
                      <w:rFonts w:hint="eastAsia"/>
                      <w:color w:val="auto"/>
                      <w:szCs w:val="21"/>
                    </w:rPr>
                    <w:t>外购，汽运</w:t>
                  </w:r>
                </w:p>
              </w:tc>
            </w:tr>
            <w:bookmarkEnd w:id="2"/>
            <w:bookmarkEnd w:id="3"/>
            <w:bookmarkEnd w:id="4"/>
          </w:tbl>
          <w:p w14:paraId="17382165">
            <w:pPr>
              <w:widowControl/>
              <w:adjustRightInd w:val="0"/>
              <w:snapToGrid w:val="0"/>
              <w:spacing w:line="360" w:lineRule="auto"/>
              <w:ind w:firstLine="482" w:firstLineChars="200"/>
              <w:jc w:val="left"/>
              <w:rPr>
                <w:b/>
                <w:bCs/>
                <w:color w:val="auto"/>
                <w:sz w:val="24"/>
              </w:rPr>
            </w:pPr>
            <w:r>
              <w:rPr>
                <w:rFonts w:hint="eastAsia"/>
                <w:b/>
                <w:bCs/>
                <w:color w:val="auto"/>
                <w:sz w:val="24"/>
              </w:rPr>
              <w:t>主要原辅材料理化性质如下：</w:t>
            </w:r>
          </w:p>
          <w:p w14:paraId="17382166">
            <w:pPr>
              <w:widowControl/>
              <w:adjustRightInd w:val="0"/>
              <w:snapToGrid w:val="0"/>
              <w:spacing w:line="360" w:lineRule="auto"/>
              <w:ind w:firstLine="482" w:firstLineChars="200"/>
              <w:jc w:val="left"/>
              <w:rPr>
                <w:color w:val="auto"/>
                <w:sz w:val="24"/>
              </w:rPr>
            </w:pPr>
            <w:r>
              <w:rPr>
                <w:rFonts w:hint="eastAsia"/>
                <w:b/>
                <w:bCs/>
                <w:color w:val="auto"/>
                <w:sz w:val="24"/>
              </w:rPr>
              <w:t>玻璃纤维纱：</w:t>
            </w:r>
            <w:r>
              <w:rPr>
                <w:rFonts w:hint="eastAsia"/>
                <w:color w:val="auto"/>
                <w:sz w:val="24"/>
              </w:rPr>
              <w:t>玻璃纤维纱以玻璃球或废旧玻璃为原料经高温熔制、拉丝、络纱、织布等工艺制造成的。玻璃纤维纱主要用作电绝缘材料，工业过滤材料，防腐、防潮、隔热、隔音、减震材料。还可作为增强材料，用来制造增强塑料或增强石膏等玻璃钢制品。用有机材料被覆玻璃纤维可提高其柔韧性，用以制成包装布、窗纱、贴墙布、覆盖布、防护服和绝电、隔音材料。</w:t>
            </w:r>
          </w:p>
          <w:p w14:paraId="17382167">
            <w:pPr>
              <w:widowControl/>
              <w:adjustRightInd w:val="0"/>
              <w:snapToGrid w:val="0"/>
              <w:spacing w:line="360" w:lineRule="auto"/>
              <w:ind w:firstLine="482" w:firstLineChars="200"/>
              <w:jc w:val="left"/>
              <w:rPr>
                <w:color w:val="auto"/>
                <w:sz w:val="24"/>
              </w:rPr>
            </w:pPr>
            <w:r>
              <w:rPr>
                <w:rFonts w:hint="eastAsia"/>
                <w:b/>
                <w:bCs/>
                <w:color w:val="auto"/>
                <w:sz w:val="24"/>
              </w:rPr>
              <w:t>不饱和聚酯树脂：</w:t>
            </w:r>
            <w:r>
              <w:rPr>
                <w:rFonts w:hint="eastAsia"/>
                <w:color w:val="auto"/>
                <w:sz w:val="24"/>
              </w:rPr>
              <w:t>浅黄色透明</w:t>
            </w:r>
            <w:r>
              <w:rPr>
                <w:rFonts w:hint="eastAsia"/>
                <w:color w:val="auto"/>
                <w:sz w:val="24"/>
                <w:lang w:val="en-US" w:eastAsia="zh-CN"/>
              </w:rPr>
              <w:t>黏稠</w:t>
            </w:r>
            <w:r>
              <w:rPr>
                <w:rFonts w:hint="eastAsia"/>
                <w:color w:val="auto"/>
                <w:sz w:val="24"/>
              </w:rPr>
              <w:t>液，具有特殊芳香味。</w:t>
            </w:r>
            <w:r>
              <w:rPr>
                <w:color w:val="auto"/>
                <w:sz w:val="24"/>
              </w:rPr>
              <w:t>pH</w:t>
            </w:r>
            <w:r>
              <w:rPr>
                <w:rFonts w:hint="eastAsia"/>
                <w:color w:val="auto"/>
                <w:sz w:val="24"/>
              </w:rPr>
              <w:t>值：</w:t>
            </w:r>
            <w:r>
              <w:rPr>
                <w:color w:val="auto"/>
                <w:sz w:val="24"/>
              </w:rPr>
              <w:t>6~7</w:t>
            </w:r>
            <w:r>
              <w:rPr>
                <w:rFonts w:hint="eastAsia"/>
                <w:color w:val="auto"/>
                <w:sz w:val="24"/>
              </w:rPr>
              <w:t>，相对密度（</w:t>
            </w:r>
            <w:r>
              <w:rPr>
                <w:color w:val="auto"/>
                <w:sz w:val="24"/>
              </w:rPr>
              <w:t>g/cm</w:t>
            </w:r>
            <w:r>
              <w:rPr>
                <w:rFonts w:hint="eastAsia"/>
                <w:color w:val="auto"/>
                <w:sz w:val="24"/>
              </w:rPr>
              <w:t>）（水</w:t>
            </w:r>
            <w:r>
              <w:rPr>
                <w:color w:val="auto"/>
                <w:sz w:val="24"/>
              </w:rPr>
              <w:t>=1</w:t>
            </w:r>
            <w:r>
              <w:rPr>
                <w:rFonts w:hint="eastAsia"/>
                <w:color w:val="auto"/>
                <w:sz w:val="24"/>
              </w:rPr>
              <w:t>）：</w:t>
            </w:r>
            <w:r>
              <w:rPr>
                <w:color w:val="auto"/>
                <w:sz w:val="24"/>
              </w:rPr>
              <w:t>1.0~1.3</w:t>
            </w:r>
            <w:r>
              <w:rPr>
                <w:rFonts w:hint="eastAsia"/>
                <w:color w:val="auto"/>
                <w:sz w:val="24"/>
              </w:rPr>
              <w:t>，沸点（初沸点）</w:t>
            </w:r>
            <w:r>
              <w:rPr>
                <w:color w:val="auto"/>
                <w:sz w:val="24"/>
              </w:rPr>
              <w:t>&gt;35℃</w:t>
            </w:r>
            <w:r>
              <w:rPr>
                <w:rFonts w:hint="eastAsia"/>
                <w:color w:val="auto"/>
                <w:sz w:val="24"/>
              </w:rPr>
              <w:t>，燃点</w:t>
            </w:r>
            <w:r>
              <w:rPr>
                <w:color w:val="auto"/>
                <w:sz w:val="24"/>
              </w:rPr>
              <w:t>56℃</w:t>
            </w:r>
            <w:r>
              <w:rPr>
                <w:rFonts w:hint="eastAsia"/>
                <w:color w:val="auto"/>
                <w:sz w:val="24"/>
              </w:rPr>
              <w:t>，闪点</w:t>
            </w:r>
            <w:r>
              <w:rPr>
                <w:color w:val="auto"/>
                <w:sz w:val="24"/>
              </w:rPr>
              <w:t>45℃</w:t>
            </w:r>
            <w:r>
              <w:rPr>
                <w:rFonts w:hint="eastAsia"/>
                <w:color w:val="auto"/>
                <w:sz w:val="24"/>
              </w:rPr>
              <w:t>，自燃温度</w:t>
            </w:r>
            <w:r>
              <w:rPr>
                <w:color w:val="auto"/>
                <w:sz w:val="24"/>
              </w:rPr>
              <w:t>490℃</w:t>
            </w:r>
            <w:r>
              <w:rPr>
                <w:rFonts w:hint="eastAsia"/>
                <w:color w:val="auto"/>
                <w:sz w:val="24"/>
              </w:rPr>
              <w:t>，爆炸下限【</w:t>
            </w:r>
            <w:r>
              <w:rPr>
                <w:color w:val="auto"/>
                <w:sz w:val="24"/>
              </w:rPr>
              <w:t>%(V/V)</w:t>
            </w:r>
            <w:r>
              <w:rPr>
                <w:rFonts w:hint="eastAsia"/>
                <w:color w:val="auto"/>
                <w:sz w:val="24"/>
              </w:rPr>
              <w:t>】：</w:t>
            </w:r>
            <w:r>
              <w:rPr>
                <w:color w:val="auto"/>
                <w:sz w:val="24"/>
              </w:rPr>
              <w:t>1.1</w:t>
            </w:r>
            <w:r>
              <w:rPr>
                <w:rFonts w:hint="eastAsia"/>
                <w:color w:val="auto"/>
                <w:sz w:val="24"/>
              </w:rPr>
              <w:t>（苯乙烯），爆炸上限【</w:t>
            </w:r>
            <w:r>
              <w:rPr>
                <w:color w:val="auto"/>
                <w:sz w:val="24"/>
              </w:rPr>
              <w:t>%</w:t>
            </w:r>
            <w:r>
              <w:rPr>
                <w:rFonts w:hint="eastAsia"/>
                <w:color w:val="auto"/>
                <w:sz w:val="24"/>
              </w:rPr>
              <w:t>（</w:t>
            </w:r>
            <w:r>
              <w:rPr>
                <w:color w:val="auto"/>
                <w:sz w:val="24"/>
              </w:rPr>
              <w:t>V/V</w:t>
            </w:r>
            <w:r>
              <w:rPr>
                <w:rFonts w:hint="eastAsia"/>
                <w:color w:val="auto"/>
                <w:sz w:val="24"/>
              </w:rPr>
              <w:t>）：</w:t>
            </w:r>
            <w:r>
              <w:rPr>
                <w:color w:val="auto"/>
                <w:sz w:val="24"/>
              </w:rPr>
              <w:t>6.1</w:t>
            </w:r>
            <w:r>
              <w:rPr>
                <w:rFonts w:hint="eastAsia"/>
                <w:color w:val="auto"/>
                <w:sz w:val="24"/>
              </w:rPr>
              <w:t>（苯乙烯）。不溶于水，溶于丙酮等溶剂，主要用于通用型玻璃钢产品。主要成分组成聚酯树脂</w:t>
            </w:r>
            <w:r>
              <w:rPr>
                <w:color w:val="auto"/>
                <w:sz w:val="24"/>
              </w:rPr>
              <w:t>60%~67%</w:t>
            </w:r>
            <w:r>
              <w:rPr>
                <w:rFonts w:hint="eastAsia"/>
                <w:color w:val="auto"/>
                <w:sz w:val="24"/>
              </w:rPr>
              <w:t>，苯乙烯</w:t>
            </w:r>
            <w:r>
              <w:rPr>
                <w:color w:val="auto"/>
                <w:sz w:val="24"/>
              </w:rPr>
              <w:t>33%~40%</w:t>
            </w:r>
            <w:r>
              <w:rPr>
                <w:rFonts w:hint="eastAsia"/>
                <w:color w:val="auto"/>
                <w:sz w:val="24"/>
              </w:rPr>
              <w:t>。 苯乙烯无色易燃油状液体。有芳香气味和强折光性。</w:t>
            </w:r>
            <w:r>
              <w:rPr>
                <w:color w:val="auto"/>
                <w:sz w:val="24"/>
              </w:rPr>
              <w:t>CAS</w:t>
            </w:r>
            <w:r>
              <w:rPr>
                <w:rFonts w:hint="eastAsia"/>
                <w:color w:val="auto"/>
                <w:sz w:val="24"/>
              </w:rPr>
              <w:t>号</w:t>
            </w:r>
            <w:r>
              <w:rPr>
                <w:color w:val="auto"/>
                <w:sz w:val="24"/>
              </w:rPr>
              <w:t>100-42-5</w:t>
            </w:r>
            <w:r>
              <w:rPr>
                <w:rFonts w:hint="eastAsia"/>
                <w:color w:val="auto"/>
                <w:sz w:val="24"/>
              </w:rPr>
              <w:t>，熔点</w:t>
            </w:r>
            <w:r>
              <w:rPr>
                <w:color w:val="auto"/>
                <w:sz w:val="24"/>
              </w:rPr>
              <w:t>-30.6℃</w:t>
            </w:r>
            <w:r>
              <w:rPr>
                <w:rFonts w:hint="eastAsia"/>
                <w:color w:val="auto"/>
                <w:sz w:val="24"/>
              </w:rPr>
              <w:t>。沸点</w:t>
            </w:r>
            <w:r>
              <w:rPr>
                <w:color w:val="auto"/>
                <w:sz w:val="24"/>
              </w:rPr>
              <w:t>145.2℃</w:t>
            </w:r>
            <w:r>
              <w:rPr>
                <w:rFonts w:hint="eastAsia"/>
                <w:color w:val="auto"/>
                <w:sz w:val="24"/>
              </w:rPr>
              <w:t>。相对密度</w:t>
            </w:r>
            <w:r>
              <w:rPr>
                <w:color w:val="auto"/>
                <w:sz w:val="24"/>
              </w:rPr>
              <w:t>0.9059</w:t>
            </w:r>
            <w:r>
              <w:rPr>
                <w:rFonts w:hint="eastAsia"/>
                <w:color w:val="auto"/>
                <w:sz w:val="24"/>
              </w:rPr>
              <w:t>。折射率</w:t>
            </w:r>
            <w:r>
              <w:rPr>
                <w:color w:val="auto"/>
                <w:sz w:val="24"/>
              </w:rPr>
              <w:t>1.5467</w:t>
            </w:r>
            <w:r>
              <w:rPr>
                <w:rFonts w:hint="eastAsia"/>
                <w:color w:val="auto"/>
                <w:sz w:val="24"/>
              </w:rPr>
              <w:t>，闪点</w:t>
            </w:r>
            <w:r>
              <w:rPr>
                <w:color w:val="auto"/>
                <w:sz w:val="24"/>
              </w:rPr>
              <w:t>31.11℃</w:t>
            </w:r>
            <w:r>
              <w:rPr>
                <w:rFonts w:hint="eastAsia"/>
                <w:color w:val="auto"/>
                <w:sz w:val="24"/>
              </w:rPr>
              <w:t>，自燃点</w:t>
            </w:r>
            <w:r>
              <w:rPr>
                <w:color w:val="auto"/>
                <w:sz w:val="24"/>
              </w:rPr>
              <w:t>490℃</w:t>
            </w:r>
            <w:r>
              <w:rPr>
                <w:rFonts w:hint="eastAsia"/>
                <w:color w:val="auto"/>
                <w:sz w:val="24"/>
              </w:rPr>
              <w:t>，不溶于水，溶于乙醇和乙醚。苯乙烯大鼠经口</w:t>
            </w:r>
            <w:r>
              <w:rPr>
                <w:color w:val="auto"/>
                <w:sz w:val="24"/>
              </w:rPr>
              <w:t>LD</w:t>
            </w:r>
            <w:r>
              <w:rPr>
                <w:color w:val="auto"/>
                <w:sz w:val="24"/>
                <w:vertAlign w:val="subscript"/>
              </w:rPr>
              <w:t>50</w:t>
            </w:r>
            <w:r>
              <w:rPr>
                <w:rFonts w:hint="eastAsia"/>
                <w:color w:val="auto"/>
                <w:sz w:val="24"/>
              </w:rPr>
              <w:t>为</w:t>
            </w:r>
            <w:r>
              <w:rPr>
                <w:color w:val="auto"/>
                <w:sz w:val="24"/>
              </w:rPr>
              <w:t>5g/kg</w:t>
            </w:r>
            <w:r>
              <w:rPr>
                <w:rFonts w:hint="eastAsia"/>
                <w:color w:val="auto"/>
                <w:sz w:val="24"/>
              </w:rPr>
              <w:t>，大鼠吸入</w:t>
            </w:r>
            <w:r>
              <w:rPr>
                <w:color w:val="auto"/>
                <w:sz w:val="24"/>
              </w:rPr>
              <w:t>LC</w:t>
            </w:r>
            <w:r>
              <w:rPr>
                <w:color w:val="auto"/>
                <w:sz w:val="24"/>
                <w:vertAlign w:val="subscript"/>
              </w:rPr>
              <w:t>50</w:t>
            </w:r>
            <w:r>
              <w:rPr>
                <w:rFonts w:hint="eastAsia"/>
                <w:color w:val="auto"/>
                <w:sz w:val="24"/>
              </w:rPr>
              <w:t>为</w:t>
            </w:r>
            <w:r>
              <w:rPr>
                <w:color w:val="auto"/>
                <w:sz w:val="24"/>
              </w:rPr>
              <w:t>24g/cm</w:t>
            </w:r>
            <w:r>
              <w:rPr>
                <w:color w:val="auto"/>
                <w:sz w:val="24"/>
                <w:vertAlign w:val="superscript"/>
              </w:rPr>
              <w:t>3</w:t>
            </w:r>
            <w:r>
              <w:rPr>
                <w:rFonts w:hint="eastAsia"/>
                <w:color w:val="auto"/>
                <w:sz w:val="24"/>
              </w:rPr>
              <w:t>，</w:t>
            </w:r>
            <w:r>
              <w:rPr>
                <w:color w:val="auto"/>
                <w:sz w:val="24"/>
              </w:rPr>
              <w:t>4</w:t>
            </w:r>
            <w:r>
              <w:rPr>
                <w:rFonts w:hint="eastAsia"/>
                <w:color w:val="auto"/>
                <w:sz w:val="24"/>
              </w:rPr>
              <w:t>小时。</w:t>
            </w:r>
          </w:p>
          <w:p w14:paraId="17382168">
            <w:pPr>
              <w:widowControl/>
              <w:adjustRightInd w:val="0"/>
              <w:snapToGrid w:val="0"/>
              <w:spacing w:line="360" w:lineRule="auto"/>
              <w:ind w:firstLine="482" w:firstLineChars="200"/>
              <w:jc w:val="left"/>
              <w:rPr>
                <w:color w:val="auto"/>
                <w:sz w:val="24"/>
              </w:rPr>
            </w:pPr>
            <w:r>
              <w:rPr>
                <w:rFonts w:hint="eastAsia"/>
                <w:b/>
                <w:bCs/>
                <w:color w:val="auto"/>
                <w:sz w:val="24"/>
              </w:rPr>
              <w:t>固化剂：</w:t>
            </w:r>
            <w:r>
              <w:rPr>
                <w:rFonts w:hint="eastAsia"/>
                <w:color w:val="auto"/>
                <w:sz w:val="24"/>
              </w:rPr>
              <w:t>固化剂是一种介于模具和成品之间的功能性物质。固化剂有耐化学性、在与不同树脂的化学成分接触时不被溶解。固化剂还具有耐热及应力性能，不易分解或磨损。固化剂用于玻璃纤维增强塑料、金属压铸、聚氨酯泡沫和弹性体、注塑热塑性塑料、真空发泡片材和挤压型材等各种模压操作中。本项目使用的固化剂主要成分为过氧化苯甲酸叔丁酯等，为无色至微黄色液体，略有芳香气味，不溶于水，能溶于有机溶剂。其分子量为</w:t>
            </w:r>
            <w:r>
              <w:rPr>
                <w:color w:val="auto"/>
                <w:sz w:val="24"/>
              </w:rPr>
              <w:t>194.27</w:t>
            </w:r>
            <w:r>
              <w:rPr>
                <w:rFonts w:hint="eastAsia"/>
                <w:color w:val="auto"/>
                <w:sz w:val="24"/>
              </w:rPr>
              <w:t>，熔点</w:t>
            </w:r>
            <w:r>
              <w:rPr>
                <w:color w:val="auto"/>
                <w:sz w:val="24"/>
              </w:rPr>
              <w:t>8</w:t>
            </w:r>
            <w:r>
              <w:rPr>
                <w:rFonts w:hint="eastAsia"/>
                <w:color w:val="auto"/>
                <w:sz w:val="24"/>
              </w:rPr>
              <w:t>℃，相对密度（水等于</w:t>
            </w:r>
            <w:r>
              <w:rPr>
                <w:color w:val="auto"/>
                <w:sz w:val="24"/>
              </w:rPr>
              <w:t>1</w:t>
            </w:r>
            <w:r>
              <w:rPr>
                <w:rFonts w:hint="eastAsia"/>
                <w:color w:val="auto"/>
                <w:sz w:val="24"/>
              </w:rPr>
              <w:t>）</w:t>
            </w:r>
            <w:r>
              <w:rPr>
                <w:color w:val="auto"/>
                <w:sz w:val="24"/>
              </w:rPr>
              <w:t>1.02</w:t>
            </w:r>
            <w:r>
              <w:rPr>
                <w:rFonts w:hint="eastAsia"/>
                <w:color w:val="auto"/>
                <w:sz w:val="24"/>
              </w:rPr>
              <w:t>，闪点</w:t>
            </w:r>
            <w:r>
              <w:rPr>
                <w:color w:val="auto"/>
                <w:sz w:val="24"/>
              </w:rPr>
              <w:t>93</w:t>
            </w:r>
            <w:r>
              <w:rPr>
                <w:rFonts w:hint="eastAsia"/>
                <w:color w:val="auto"/>
                <w:sz w:val="24"/>
              </w:rPr>
              <w:t>℃，蒸气压</w:t>
            </w:r>
            <w:r>
              <w:rPr>
                <w:color w:val="auto"/>
                <w:sz w:val="24"/>
              </w:rPr>
              <w:t>0.044kPa</w:t>
            </w:r>
            <w:r>
              <w:rPr>
                <w:rFonts w:hint="eastAsia"/>
                <w:color w:val="auto"/>
                <w:sz w:val="24"/>
              </w:rPr>
              <w:t>（</w:t>
            </w:r>
            <w:r>
              <w:rPr>
                <w:color w:val="auto"/>
                <w:sz w:val="24"/>
              </w:rPr>
              <w:t>50</w:t>
            </w:r>
            <w:r>
              <w:rPr>
                <w:rFonts w:hint="eastAsia"/>
                <w:color w:val="auto"/>
                <w:sz w:val="24"/>
              </w:rPr>
              <w:t>℃）。过氧化苯甲酸叔丁酯为易燃易爆物品，遇明火、高热、摩擦、振动、撞击可能引起激烈燃烧或爆炸。</w:t>
            </w:r>
          </w:p>
          <w:p w14:paraId="17382169">
            <w:pPr>
              <w:autoSpaceDE w:val="0"/>
              <w:autoSpaceDN w:val="0"/>
              <w:adjustRightInd w:val="0"/>
              <w:snapToGrid w:val="0"/>
              <w:spacing w:line="360" w:lineRule="auto"/>
              <w:ind w:firstLine="482" w:firstLineChars="200"/>
              <w:rPr>
                <w:b/>
                <w:bCs/>
                <w:color w:val="auto"/>
                <w:sz w:val="24"/>
              </w:rPr>
            </w:pPr>
            <w:r>
              <w:rPr>
                <w:b/>
                <w:bCs/>
                <w:color w:val="auto"/>
                <w:sz w:val="24"/>
              </w:rPr>
              <w:t>5</w:t>
            </w:r>
            <w:r>
              <w:rPr>
                <w:rFonts w:hint="eastAsia"/>
                <w:b/>
                <w:bCs/>
                <w:color w:val="auto"/>
                <w:sz w:val="24"/>
              </w:rPr>
              <w:t>、</w:t>
            </w:r>
            <w:r>
              <w:rPr>
                <w:b/>
                <w:bCs/>
                <w:color w:val="auto"/>
                <w:sz w:val="24"/>
              </w:rPr>
              <w:t>建设项目设备情况</w:t>
            </w:r>
          </w:p>
          <w:p w14:paraId="1738216A">
            <w:pPr>
              <w:widowControl/>
              <w:adjustRightInd w:val="0"/>
              <w:snapToGrid w:val="0"/>
              <w:spacing w:line="360" w:lineRule="auto"/>
              <w:ind w:firstLine="480" w:firstLineChars="200"/>
              <w:jc w:val="left"/>
              <w:rPr>
                <w:color w:val="auto"/>
                <w:sz w:val="24"/>
              </w:rPr>
            </w:pPr>
            <w:r>
              <w:rPr>
                <w:rFonts w:hint="eastAsia"/>
                <w:color w:val="auto"/>
                <w:sz w:val="24"/>
              </w:rPr>
              <w:t>本项目主要生产设备情况见表2-5。</w:t>
            </w:r>
          </w:p>
          <w:p w14:paraId="1738216B">
            <w:pPr>
              <w:widowControl/>
              <w:adjustRightInd w:val="0"/>
              <w:snapToGrid w:val="0"/>
              <w:jc w:val="center"/>
              <w:rPr>
                <w:b/>
                <w:color w:val="auto"/>
                <w:kern w:val="0"/>
                <w:sz w:val="24"/>
                <w:lang w:val="zh-CN"/>
              </w:rPr>
            </w:pPr>
            <w:r>
              <w:rPr>
                <w:b/>
                <w:color w:val="auto"/>
                <w:kern w:val="0"/>
                <w:sz w:val="24"/>
                <w:lang w:val="zh-CN"/>
              </w:rPr>
              <w:t>表2-5 拟建项目主要生产设备一览表</w:t>
            </w:r>
          </w:p>
          <w:tbl>
            <w:tblPr>
              <w:tblStyle w:val="88"/>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0" w:type="dxa"/>
                <w:bottom w:w="0" w:type="dxa"/>
                <w:right w:w="0" w:type="dxa"/>
              </w:tblCellMar>
            </w:tblPr>
            <w:tblGrid>
              <w:gridCol w:w="701"/>
              <w:gridCol w:w="1980"/>
              <w:gridCol w:w="2902"/>
              <w:gridCol w:w="2818"/>
            </w:tblGrid>
            <w:tr w14:paraId="1738217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417" w:type="pct"/>
                  <w:tcMar>
                    <w:top w:w="20" w:type="dxa"/>
                    <w:left w:w="20" w:type="dxa"/>
                    <w:bottom w:w="0" w:type="dxa"/>
                    <w:right w:w="20" w:type="dxa"/>
                  </w:tcMar>
                  <w:vAlign w:val="center"/>
                </w:tcPr>
                <w:p w14:paraId="1738216C">
                  <w:pPr>
                    <w:snapToGrid w:val="0"/>
                    <w:jc w:val="center"/>
                    <w:rPr>
                      <w:b/>
                      <w:color w:val="auto"/>
                      <w:szCs w:val="21"/>
                    </w:rPr>
                  </w:pPr>
                  <w:r>
                    <w:rPr>
                      <w:rFonts w:hAnsi="宋体"/>
                      <w:b/>
                      <w:color w:val="auto"/>
                      <w:szCs w:val="21"/>
                    </w:rPr>
                    <w:t>序号</w:t>
                  </w:r>
                </w:p>
              </w:tc>
              <w:tc>
                <w:tcPr>
                  <w:tcW w:w="1178" w:type="pct"/>
                  <w:tcMar>
                    <w:top w:w="20" w:type="dxa"/>
                    <w:left w:w="20" w:type="dxa"/>
                    <w:bottom w:w="0" w:type="dxa"/>
                    <w:right w:w="20" w:type="dxa"/>
                  </w:tcMar>
                  <w:vAlign w:val="center"/>
                </w:tcPr>
                <w:p w14:paraId="1738216D">
                  <w:pPr>
                    <w:snapToGrid w:val="0"/>
                    <w:jc w:val="center"/>
                    <w:rPr>
                      <w:b/>
                      <w:color w:val="auto"/>
                      <w:szCs w:val="21"/>
                    </w:rPr>
                  </w:pPr>
                  <w:r>
                    <w:rPr>
                      <w:rFonts w:hAnsi="宋体"/>
                      <w:b/>
                      <w:color w:val="auto"/>
                      <w:szCs w:val="21"/>
                    </w:rPr>
                    <w:t>设备名称</w:t>
                  </w:r>
                </w:p>
              </w:tc>
              <w:tc>
                <w:tcPr>
                  <w:tcW w:w="1727" w:type="pct"/>
                  <w:tcMar>
                    <w:top w:w="20" w:type="dxa"/>
                    <w:left w:w="20" w:type="dxa"/>
                    <w:bottom w:w="0" w:type="dxa"/>
                    <w:right w:w="20" w:type="dxa"/>
                  </w:tcMar>
                  <w:vAlign w:val="center"/>
                </w:tcPr>
                <w:p w14:paraId="1738216E">
                  <w:pPr>
                    <w:snapToGrid w:val="0"/>
                    <w:jc w:val="center"/>
                    <w:rPr>
                      <w:b/>
                      <w:color w:val="auto"/>
                      <w:szCs w:val="21"/>
                    </w:rPr>
                  </w:pPr>
                  <w:r>
                    <w:rPr>
                      <w:rFonts w:hAnsi="宋体"/>
                      <w:b/>
                      <w:color w:val="auto"/>
                      <w:szCs w:val="21"/>
                    </w:rPr>
                    <w:t>型号及主要规格</w:t>
                  </w:r>
                </w:p>
              </w:tc>
              <w:tc>
                <w:tcPr>
                  <w:tcW w:w="1677" w:type="pct"/>
                  <w:vAlign w:val="center"/>
                </w:tcPr>
                <w:p w14:paraId="1738216F">
                  <w:pPr>
                    <w:snapToGrid w:val="0"/>
                    <w:jc w:val="center"/>
                    <w:rPr>
                      <w:b/>
                      <w:color w:val="auto"/>
                      <w:szCs w:val="21"/>
                    </w:rPr>
                  </w:pPr>
                  <w:r>
                    <w:rPr>
                      <w:rFonts w:hAnsi="宋体"/>
                      <w:b/>
                      <w:color w:val="auto"/>
                      <w:szCs w:val="21"/>
                    </w:rPr>
                    <w:t>数量（台</w:t>
                  </w:r>
                  <w:r>
                    <w:rPr>
                      <w:b/>
                      <w:color w:val="auto"/>
                      <w:szCs w:val="21"/>
                    </w:rPr>
                    <w:t>/</w:t>
                  </w:r>
                  <w:r>
                    <w:rPr>
                      <w:rFonts w:hAnsi="宋体"/>
                      <w:b/>
                      <w:color w:val="auto"/>
                      <w:szCs w:val="21"/>
                    </w:rPr>
                    <w:t>套）</w:t>
                  </w:r>
                </w:p>
              </w:tc>
            </w:tr>
            <w:tr w14:paraId="1738217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71">
                  <w:pPr>
                    <w:snapToGrid w:val="0"/>
                    <w:jc w:val="center"/>
                    <w:rPr>
                      <w:color w:val="auto"/>
                      <w:szCs w:val="21"/>
                    </w:rPr>
                  </w:pPr>
                  <w:r>
                    <w:rPr>
                      <w:color w:val="auto"/>
                      <w:szCs w:val="21"/>
                    </w:rPr>
                    <w:t>1</w:t>
                  </w:r>
                </w:p>
              </w:tc>
              <w:tc>
                <w:tcPr>
                  <w:tcW w:w="1178" w:type="pct"/>
                  <w:tcMar>
                    <w:top w:w="20" w:type="dxa"/>
                    <w:left w:w="20" w:type="dxa"/>
                    <w:bottom w:w="0" w:type="dxa"/>
                    <w:right w:w="20" w:type="dxa"/>
                  </w:tcMar>
                  <w:vAlign w:val="center"/>
                </w:tcPr>
                <w:p w14:paraId="17382172">
                  <w:pPr>
                    <w:autoSpaceDE w:val="0"/>
                    <w:autoSpaceDN w:val="0"/>
                    <w:adjustRightInd w:val="0"/>
                    <w:snapToGrid w:val="0"/>
                    <w:jc w:val="center"/>
                    <w:rPr>
                      <w:color w:val="auto"/>
                      <w:kern w:val="0"/>
                      <w:szCs w:val="21"/>
                    </w:rPr>
                  </w:pPr>
                  <w:r>
                    <w:rPr>
                      <w:rFonts w:hint="eastAsia"/>
                      <w:color w:val="auto"/>
                      <w:kern w:val="0"/>
                      <w:szCs w:val="21"/>
                    </w:rPr>
                    <w:t>一体化拉挤切割机</w:t>
                  </w:r>
                </w:p>
              </w:tc>
              <w:tc>
                <w:tcPr>
                  <w:tcW w:w="1727" w:type="pct"/>
                  <w:tcMar>
                    <w:top w:w="20" w:type="dxa"/>
                    <w:left w:w="20" w:type="dxa"/>
                    <w:bottom w:w="0" w:type="dxa"/>
                    <w:right w:w="20" w:type="dxa"/>
                  </w:tcMar>
                  <w:vAlign w:val="center"/>
                </w:tcPr>
                <w:p w14:paraId="17382173">
                  <w:pPr>
                    <w:snapToGrid w:val="0"/>
                    <w:ind w:right="36" w:rightChars="17"/>
                    <w:jc w:val="center"/>
                    <w:rPr>
                      <w:color w:val="auto"/>
                      <w:szCs w:val="21"/>
                    </w:rPr>
                  </w:pPr>
                  <w:r>
                    <w:rPr>
                      <w:rFonts w:hint="eastAsia"/>
                      <w:color w:val="auto"/>
                      <w:szCs w:val="21"/>
                    </w:rPr>
                    <w:t>10T</w:t>
                  </w:r>
                </w:p>
              </w:tc>
              <w:tc>
                <w:tcPr>
                  <w:tcW w:w="1677" w:type="pct"/>
                  <w:shd w:val="clear" w:color="auto" w:fill="auto"/>
                  <w:vAlign w:val="center"/>
                </w:tcPr>
                <w:p w14:paraId="17382174">
                  <w:pPr>
                    <w:snapToGrid w:val="0"/>
                    <w:ind w:right="36" w:rightChars="17"/>
                    <w:jc w:val="center"/>
                    <w:rPr>
                      <w:color w:val="auto"/>
                      <w:szCs w:val="21"/>
                    </w:rPr>
                  </w:pPr>
                  <w:r>
                    <w:rPr>
                      <w:rFonts w:hint="eastAsia"/>
                      <w:color w:val="auto"/>
                      <w:szCs w:val="21"/>
                    </w:rPr>
                    <w:t>2</w:t>
                  </w:r>
                </w:p>
              </w:tc>
            </w:tr>
            <w:tr w14:paraId="173821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76">
                  <w:pPr>
                    <w:snapToGrid w:val="0"/>
                    <w:jc w:val="center"/>
                    <w:rPr>
                      <w:color w:val="auto"/>
                      <w:szCs w:val="21"/>
                    </w:rPr>
                  </w:pPr>
                  <w:r>
                    <w:rPr>
                      <w:color w:val="auto"/>
                      <w:szCs w:val="21"/>
                    </w:rPr>
                    <w:t>2</w:t>
                  </w:r>
                </w:p>
              </w:tc>
              <w:tc>
                <w:tcPr>
                  <w:tcW w:w="1178" w:type="pct"/>
                  <w:tcMar>
                    <w:top w:w="20" w:type="dxa"/>
                    <w:left w:w="20" w:type="dxa"/>
                    <w:bottom w:w="0" w:type="dxa"/>
                    <w:right w:w="20" w:type="dxa"/>
                  </w:tcMar>
                  <w:vAlign w:val="center"/>
                </w:tcPr>
                <w:p w14:paraId="17382177">
                  <w:pPr>
                    <w:autoSpaceDE w:val="0"/>
                    <w:autoSpaceDN w:val="0"/>
                    <w:adjustRightInd w:val="0"/>
                    <w:snapToGrid w:val="0"/>
                    <w:jc w:val="center"/>
                    <w:rPr>
                      <w:color w:val="auto"/>
                      <w:kern w:val="0"/>
                      <w:szCs w:val="21"/>
                    </w:rPr>
                  </w:pPr>
                  <w:r>
                    <w:rPr>
                      <w:color w:val="auto"/>
                      <w:kern w:val="0"/>
                      <w:szCs w:val="21"/>
                    </w:rPr>
                    <w:t>注塑机</w:t>
                  </w:r>
                </w:p>
              </w:tc>
              <w:tc>
                <w:tcPr>
                  <w:tcW w:w="1727" w:type="pct"/>
                  <w:tcMar>
                    <w:top w:w="20" w:type="dxa"/>
                    <w:left w:w="20" w:type="dxa"/>
                    <w:bottom w:w="0" w:type="dxa"/>
                    <w:right w:w="20" w:type="dxa"/>
                  </w:tcMar>
                  <w:vAlign w:val="center"/>
                </w:tcPr>
                <w:p w14:paraId="17382178">
                  <w:pPr>
                    <w:snapToGrid w:val="0"/>
                    <w:ind w:right="36" w:rightChars="17"/>
                    <w:jc w:val="center"/>
                    <w:rPr>
                      <w:color w:val="auto"/>
                      <w:szCs w:val="21"/>
                    </w:rPr>
                  </w:pPr>
                  <w:r>
                    <w:rPr>
                      <w:rFonts w:hint="eastAsia"/>
                      <w:color w:val="auto"/>
                      <w:szCs w:val="21"/>
                    </w:rPr>
                    <w:t>TW-120V-C</w:t>
                  </w:r>
                </w:p>
              </w:tc>
              <w:tc>
                <w:tcPr>
                  <w:tcW w:w="1677" w:type="pct"/>
                  <w:shd w:val="clear" w:color="auto" w:fill="auto"/>
                  <w:vAlign w:val="center"/>
                </w:tcPr>
                <w:p w14:paraId="17382179">
                  <w:pPr>
                    <w:snapToGrid w:val="0"/>
                    <w:ind w:right="36" w:rightChars="17"/>
                    <w:jc w:val="center"/>
                    <w:rPr>
                      <w:color w:val="auto"/>
                      <w:szCs w:val="21"/>
                    </w:rPr>
                  </w:pPr>
                  <w:r>
                    <w:rPr>
                      <w:rFonts w:hint="eastAsia"/>
                      <w:color w:val="auto"/>
                      <w:szCs w:val="21"/>
                    </w:rPr>
                    <w:t>1</w:t>
                  </w:r>
                </w:p>
              </w:tc>
            </w:tr>
            <w:tr w14:paraId="1738217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7B">
                  <w:pPr>
                    <w:snapToGrid w:val="0"/>
                    <w:jc w:val="center"/>
                    <w:rPr>
                      <w:color w:val="auto"/>
                      <w:szCs w:val="21"/>
                    </w:rPr>
                  </w:pPr>
                  <w:r>
                    <w:rPr>
                      <w:color w:val="auto"/>
                      <w:szCs w:val="21"/>
                    </w:rPr>
                    <w:t>3</w:t>
                  </w:r>
                </w:p>
              </w:tc>
              <w:tc>
                <w:tcPr>
                  <w:tcW w:w="1178" w:type="pct"/>
                  <w:tcMar>
                    <w:top w:w="20" w:type="dxa"/>
                    <w:left w:w="20" w:type="dxa"/>
                    <w:bottom w:w="0" w:type="dxa"/>
                    <w:right w:w="20" w:type="dxa"/>
                  </w:tcMar>
                  <w:vAlign w:val="center"/>
                </w:tcPr>
                <w:p w14:paraId="1738217C">
                  <w:pPr>
                    <w:autoSpaceDE w:val="0"/>
                    <w:autoSpaceDN w:val="0"/>
                    <w:adjustRightInd w:val="0"/>
                    <w:snapToGrid w:val="0"/>
                    <w:jc w:val="center"/>
                    <w:rPr>
                      <w:color w:val="auto"/>
                      <w:kern w:val="0"/>
                      <w:szCs w:val="21"/>
                    </w:rPr>
                  </w:pPr>
                  <w:r>
                    <w:rPr>
                      <w:color w:val="auto"/>
                      <w:kern w:val="0"/>
                      <w:szCs w:val="21"/>
                    </w:rPr>
                    <w:t>注塑机</w:t>
                  </w:r>
                </w:p>
              </w:tc>
              <w:tc>
                <w:tcPr>
                  <w:tcW w:w="1727" w:type="pct"/>
                  <w:tcMar>
                    <w:top w:w="20" w:type="dxa"/>
                    <w:left w:w="20" w:type="dxa"/>
                    <w:bottom w:w="0" w:type="dxa"/>
                    <w:right w:w="20" w:type="dxa"/>
                  </w:tcMar>
                  <w:vAlign w:val="center"/>
                </w:tcPr>
                <w:p w14:paraId="1738217D">
                  <w:pPr>
                    <w:snapToGrid w:val="0"/>
                    <w:ind w:right="36" w:rightChars="17"/>
                    <w:jc w:val="center"/>
                    <w:rPr>
                      <w:color w:val="auto"/>
                      <w:szCs w:val="21"/>
                    </w:rPr>
                  </w:pPr>
                  <w:r>
                    <w:rPr>
                      <w:rFonts w:hint="eastAsia"/>
                      <w:color w:val="auto"/>
                      <w:szCs w:val="21"/>
                    </w:rPr>
                    <w:t>TW-150V-C</w:t>
                  </w:r>
                </w:p>
              </w:tc>
              <w:tc>
                <w:tcPr>
                  <w:tcW w:w="1677" w:type="pct"/>
                  <w:shd w:val="clear" w:color="auto" w:fill="auto"/>
                  <w:vAlign w:val="center"/>
                </w:tcPr>
                <w:p w14:paraId="1738217E">
                  <w:pPr>
                    <w:snapToGrid w:val="0"/>
                    <w:ind w:right="36" w:rightChars="17"/>
                    <w:jc w:val="center"/>
                    <w:rPr>
                      <w:color w:val="auto"/>
                      <w:szCs w:val="21"/>
                    </w:rPr>
                  </w:pPr>
                  <w:r>
                    <w:rPr>
                      <w:rFonts w:hint="eastAsia"/>
                      <w:color w:val="auto"/>
                      <w:szCs w:val="21"/>
                    </w:rPr>
                    <w:t>1</w:t>
                  </w:r>
                </w:p>
              </w:tc>
            </w:tr>
            <w:tr w14:paraId="173821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80">
                  <w:pPr>
                    <w:snapToGrid w:val="0"/>
                    <w:jc w:val="center"/>
                    <w:rPr>
                      <w:color w:val="auto"/>
                      <w:szCs w:val="21"/>
                    </w:rPr>
                  </w:pPr>
                  <w:r>
                    <w:rPr>
                      <w:color w:val="auto"/>
                      <w:szCs w:val="21"/>
                    </w:rPr>
                    <w:t>4</w:t>
                  </w:r>
                </w:p>
              </w:tc>
              <w:tc>
                <w:tcPr>
                  <w:tcW w:w="1178" w:type="pct"/>
                  <w:tcMar>
                    <w:top w:w="20" w:type="dxa"/>
                    <w:left w:w="20" w:type="dxa"/>
                    <w:bottom w:w="0" w:type="dxa"/>
                    <w:right w:w="20" w:type="dxa"/>
                  </w:tcMar>
                  <w:vAlign w:val="center"/>
                </w:tcPr>
                <w:p w14:paraId="17382181">
                  <w:pPr>
                    <w:autoSpaceDE w:val="0"/>
                    <w:autoSpaceDN w:val="0"/>
                    <w:adjustRightInd w:val="0"/>
                    <w:snapToGrid w:val="0"/>
                    <w:jc w:val="center"/>
                    <w:rPr>
                      <w:color w:val="auto"/>
                      <w:kern w:val="0"/>
                      <w:szCs w:val="21"/>
                    </w:rPr>
                  </w:pPr>
                  <w:r>
                    <w:rPr>
                      <w:color w:val="auto"/>
                      <w:kern w:val="0"/>
                      <w:szCs w:val="21"/>
                    </w:rPr>
                    <w:t>注塑机</w:t>
                  </w:r>
                </w:p>
              </w:tc>
              <w:tc>
                <w:tcPr>
                  <w:tcW w:w="1727" w:type="pct"/>
                  <w:tcMar>
                    <w:top w:w="20" w:type="dxa"/>
                    <w:left w:w="20" w:type="dxa"/>
                    <w:bottom w:w="0" w:type="dxa"/>
                    <w:right w:w="20" w:type="dxa"/>
                  </w:tcMar>
                  <w:vAlign w:val="center"/>
                </w:tcPr>
                <w:p w14:paraId="17382182">
                  <w:pPr>
                    <w:snapToGrid w:val="0"/>
                    <w:ind w:right="36" w:rightChars="17"/>
                    <w:jc w:val="center"/>
                    <w:rPr>
                      <w:color w:val="auto"/>
                      <w:szCs w:val="21"/>
                    </w:rPr>
                  </w:pPr>
                  <w:r>
                    <w:rPr>
                      <w:rFonts w:hint="eastAsia"/>
                      <w:color w:val="auto"/>
                      <w:szCs w:val="21"/>
                    </w:rPr>
                    <w:t>130T</w:t>
                  </w:r>
                </w:p>
              </w:tc>
              <w:tc>
                <w:tcPr>
                  <w:tcW w:w="1677" w:type="pct"/>
                  <w:shd w:val="clear" w:color="auto" w:fill="auto"/>
                  <w:vAlign w:val="center"/>
                </w:tcPr>
                <w:p w14:paraId="17382183">
                  <w:pPr>
                    <w:snapToGrid w:val="0"/>
                    <w:ind w:right="36" w:rightChars="17"/>
                    <w:jc w:val="center"/>
                    <w:rPr>
                      <w:color w:val="auto"/>
                      <w:szCs w:val="21"/>
                    </w:rPr>
                  </w:pPr>
                  <w:r>
                    <w:rPr>
                      <w:rFonts w:hint="eastAsia"/>
                      <w:color w:val="auto"/>
                      <w:szCs w:val="21"/>
                    </w:rPr>
                    <w:t>1</w:t>
                  </w:r>
                </w:p>
              </w:tc>
            </w:tr>
            <w:tr w14:paraId="1738218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85">
                  <w:pPr>
                    <w:snapToGrid w:val="0"/>
                    <w:jc w:val="center"/>
                    <w:rPr>
                      <w:color w:val="auto"/>
                      <w:szCs w:val="21"/>
                    </w:rPr>
                  </w:pPr>
                  <w:r>
                    <w:rPr>
                      <w:color w:val="auto"/>
                      <w:szCs w:val="21"/>
                    </w:rPr>
                    <w:t>5</w:t>
                  </w:r>
                </w:p>
              </w:tc>
              <w:tc>
                <w:tcPr>
                  <w:tcW w:w="1178" w:type="pct"/>
                  <w:tcMar>
                    <w:top w:w="20" w:type="dxa"/>
                    <w:left w:w="20" w:type="dxa"/>
                    <w:bottom w:w="0" w:type="dxa"/>
                    <w:right w:w="20" w:type="dxa"/>
                  </w:tcMar>
                  <w:vAlign w:val="center"/>
                </w:tcPr>
                <w:p w14:paraId="17382186">
                  <w:pPr>
                    <w:autoSpaceDE w:val="0"/>
                    <w:autoSpaceDN w:val="0"/>
                    <w:adjustRightInd w:val="0"/>
                    <w:snapToGrid w:val="0"/>
                    <w:jc w:val="center"/>
                    <w:rPr>
                      <w:color w:val="auto"/>
                      <w:kern w:val="0"/>
                      <w:szCs w:val="21"/>
                    </w:rPr>
                  </w:pPr>
                  <w:r>
                    <w:rPr>
                      <w:color w:val="auto"/>
                      <w:kern w:val="0"/>
                      <w:szCs w:val="21"/>
                    </w:rPr>
                    <w:t>注塑机</w:t>
                  </w:r>
                </w:p>
              </w:tc>
              <w:tc>
                <w:tcPr>
                  <w:tcW w:w="1727" w:type="pct"/>
                  <w:tcMar>
                    <w:top w:w="20" w:type="dxa"/>
                    <w:left w:w="20" w:type="dxa"/>
                    <w:bottom w:w="0" w:type="dxa"/>
                    <w:right w:w="20" w:type="dxa"/>
                  </w:tcMar>
                  <w:vAlign w:val="center"/>
                </w:tcPr>
                <w:p w14:paraId="17382187">
                  <w:pPr>
                    <w:snapToGrid w:val="0"/>
                    <w:ind w:right="36" w:rightChars="17"/>
                    <w:jc w:val="center"/>
                    <w:rPr>
                      <w:color w:val="auto"/>
                      <w:szCs w:val="21"/>
                    </w:rPr>
                  </w:pPr>
                  <w:r>
                    <w:rPr>
                      <w:rFonts w:hint="eastAsia"/>
                      <w:color w:val="auto"/>
                      <w:szCs w:val="21"/>
                    </w:rPr>
                    <w:t>160T</w:t>
                  </w:r>
                </w:p>
              </w:tc>
              <w:tc>
                <w:tcPr>
                  <w:tcW w:w="1677" w:type="pct"/>
                  <w:shd w:val="clear" w:color="auto" w:fill="auto"/>
                  <w:vAlign w:val="center"/>
                </w:tcPr>
                <w:p w14:paraId="17382188">
                  <w:pPr>
                    <w:snapToGrid w:val="0"/>
                    <w:ind w:right="36" w:rightChars="17"/>
                    <w:jc w:val="center"/>
                    <w:rPr>
                      <w:color w:val="auto"/>
                      <w:szCs w:val="21"/>
                    </w:rPr>
                  </w:pPr>
                  <w:r>
                    <w:rPr>
                      <w:rFonts w:hint="eastAsia"/>
                      <w:color w:val="auto"/>
                      <w:szCs w:val="21"/>
                    </w:rPr>
                    <w:t>1</w:t>
                  </w:r>
                </w:p>
              </w:tc>
            </w:tr>
            <w:tr w14:paraId="1738218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8A">
                  <w:pPr>
                    <w:snapToGrid w:val="0"/>
                    <w:jc w:val="center"/>
                    <w:rPr>
                      <w:color w:val="auto"/>
                      <w:szCs w:val="21"/>
                    </w:rPr>
                  </w:pPr>
                  <w:r>
                    <w:rPr>
                      <w:color w:val="auto"/>
                      <w:szCs w:val="21"/>
                    </w:rPr>
                    <w:t>6</w:t>
                  </w:r>
                </w:p>
              </w:tc>
              <w:tc>
                <w:tcPr>
                  <w:tcW w:w="1178" w:type="pct"/>
                  <w:tcMar>
                    <w:top w:w="20" w:type="dxa"/>
                    <w:left w:w="20" w:type="dxa"/>
                    <w:bottom w:w="0" w:type="dxa"/>
                    <w:right w:w="20" w:type="dxa"/>
                  </w:tcMar>
                  <w:vAlign w:val="center"/>
                </w:tcPr>
                <w:p w14:paraId="1738218B">
                  <w:pPr>
                    <w:autoSpaceDE w:val="0"/>
                    <w:autoSpaceDN w:val="0"/>
                    <w:adjustRightInd w:val="0"/>
                    <w:snapToGrid w:val="0"/>
                    <w:jc w:val="center"/>
                    <w:rPr>
                      <w:color w:val="auto"/>
                      <w:kern w:val="0"/>
                      <w:szCs w:val="21"/>
                    </w:rPr>
                  </w:pPr>
                  <w:r>
                    <w:rPr>
                      <w:color w:val="auto"/>
                      <w:kern w:val="0"/>
                      <w:szCs w:val="21"/>
                    </w:rPr>
                    <w:t>注塑机</w:t>
                  </w:r>
                </w:p>
              </w:tc>
              <w:tc>
                <w:tcPr>
                  <w:tcW w:w="1727" w:type="pct"/>
                  <w:tcMar>
                    <w:top w:w="20" w:type="dxa"/>
                    <w:left w:w="20" w:type="dxa"/>
                    <w:bottom w:w="0" w:type="dxa"/>
                    <w:right w:w="20" w:type="dxa"/>
                  </w:tcMar>
                  <w:vAlign w:val="center"/>
                </w:tcPr>
                <w:p w14:paraId="1738218C">
                  <w:pPr>
                    <w:snapToGrid w:val="0"/>
                    <w:ind w:right="36" w:rightChars="17"/>
                    <w:jc w:val="center"/>
                    <w:rPr>
                      <w:color w:val="auto"/>
                      <w:szCs w:val="21"/>
                    </w:rPr>
                  </w:pPr>
                  <w:r>
                    <w:rPr>
                      <w:rFonts w:hint="eastAsia"/>
                      <w:color w:val="auto"/>
                      <w:szCs w:val="21"/>
                    </w:rPr>
                    <w:t>470T</w:t>
                  </w:r>
                </w:p>
              </w:tc>
              <w:tc>
                <w:tcPr>
                  <w:tcW w:w="1677" w:type="pct"/>
                  <w:shd w:val="clear" w:color="auto" w:fill="auto"/>
                  <w:vAlign w:val="center"/>
                </w:tcPr>
                <w:p w14:paraId="1738218D">
                  <w:pPr>
                    <w:snapToGrid w:val="0"/>
                    <w:ind w:right="36" w:rightChars="17"/>
                    <w:jc w:val="center"/>
                    <w:rPr>
                      <w:color w:val="auto"/>
                      <w:szCs w:val="21"/>
                    </w:rPr>
                  </w:pPr>
                  <w:r>
                    <w:rPr>
                      <w:rFonts w:hint="eastAsia"/>
                      <w:color w:val="auto"/>
                      <w:szCs w:val="21"/>
                    </w:rPr>
                    <w:t>1</w:t>
                  </w:r>
                </w:p>
              </w:tc>
            </w:tr>
            <w:tr w14:paraId="1738219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8F">
                  <w:pPr>
                    <w:snapToGrid w:val="0"/>
                    <w:jc w:val="center"/>
                    <w:rPr>
                      <w:color w:val="auto"/>
                      <w:szCs w:val="21"/>
                    </w:rPr>
                  </w:pPr>
                  <w:r>
                    <w:rPr>
                      <w:color w:val="auto"/>
                      <w:szCs w:val="21"/>
                    </w:rPr>
                    <w:t>7</w:t>
                  </w:r>
                </w:p>
              </w:tc>
              <w:tc>
                <w:tcPr>
                  <w:tcW w:w="1178" w:type="pct"/>
                  <w:tcMar>
                    <w:top w:w="20" w:type="dxa"/>
                    <w:left w:w="20" w:type="dxa"/>
                    <w:bottom w:w="0" w:type="dxa"/>
                    <w:right w:w="20" w:type="dxa"/>
                  </w:tcMar>
                  <w:vAlign w:val="center"/>
                </w:tcPr>
                <w:p w14:paraId="17382190">
                  <w:pPr>
                    <w:autoSpaceDE w:val="0"/>
                    <w:autoSpaceDN w:val="0"/>
                    <w:adjustRightInd w:val="0"/>
                    <w:snapToGrid w:val="0"/>
                    <w:jc w:val="center"/>
                    <w:rPr>
                      <w:color w:val="auto"/>
                      <w:kern w:val="0"/>
                      <w:szCs w:val="21"/>
                    </w:rPr>
                  </w:pPr>
                  <w:r>
                    <w:rPr>
                      <w:color w:val="auto"/>
                      <w:kern w:val="0"/>
                      <w:szCs w:val="21"/>
                    </w:rPr>
                    <w:t>组装生产线</w:t>
                  </w:r>
                </w:p>
              </w:tc>
              <w:tc>
                <w:tcPr>
                  <w:tcW w:w="1727" w:type="pct"/>
                  <w:tcMar>
                    <w:top w:w="20" w:type="dxa"/>
                    <w:left w:w="20" w:type="dxa"/>
                    <w:bottom w:w="0" w:type="dxa"/>
                    <w:right w:w="20" w:type="dxa"/>
                  </w:tcMar>
                  <w:vAlign w:val="center"/>
                </w:tcPr>
                <w:p w14:paraId="17382191">
                  <w:pPr>
                    <w:snapToGrid w:val="0"/>
                    <w:ind w:right="36" w:rightChars="17"/>
                    <w:jc w:val="center"/>
                    <w:rPr>
                      <w:color w:val="auto"/>
                      <w:szCs w:val="21"/>
                    </w:rPr>
                  </w:pPr>
                  <w:r>
                    <w:rPr>
                      <w:rFonts w:hint="eastAsia"/>
                      <w:color w:val="auto"/>
                      <w:szCs w:val="21"/>
                    </w:rPr>
                    <w:t>18米</w:t>
                  </w:r>
                </w:p>
              </w:tc>
              <w:tc>
                <w:tcPr>
                  <w:tcW w:w="1677" w:type="pct"/>
                  <w:shd w:val="clear" w:color="auto" w:fill="auto"/>
                  <w:vAlign w:val="center"/>
                </w:tcPr>
                <w:p w14:paraId="17382192">
                  <w:pPr>
                    <w:snapToGrid w:val="0"/>
                    <w:ind w:right="36" w:rightChars="17"/>
                    <w:jc w:val="center"/>
                    <w:rPr>
                      <w:color w:val="auto"/>
                      <w:szCs w:val="21"/>
                    </w:rPr>
                  </w:pPr>
                  <w:r>
                    <w:rPr>
                      <w:rFonts w:hint="eastAsia"/>
                      <w:color w:val="auto"/>
                      <w:szCs w:val="21"/>
                    </w:rPr>
                    <w:t>2</w:t>
                  </w:r>
                </w:p>
              </w:tc>
            </w:tr>
            <w:tr w14:paraId="1738219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94">
                  <w:pPr>
                    <w:snapToGrid w:val="0"/>
                    <w:jc w:val="center"/>
                    <w:rPr>
                      <w:color w:val="auto"/>
                      <w:szCs w:val="21"/>
                    </w:rPr>
                  </w:pPr>
                  <w:r>
                    <w:rPr>
                      <w:color w:val="auto"/>
                      <w:szCs w:val="21"/>
                    </w:rPr>
                    <w:t>8</w:t>
                  </w:r>
                </w:p>
              </w:tc>
              <w:tc>
                <w:tcPr>
                  <w:tcW w:w="1178" w:type="pct"/>
                  <w:tcMar>
                    <w:top w:w="20" w:type="dxa"/>
                    <w:left w:w="20" w:type="dxa"/>
                    <w:bottom w:w="0" w:type="dxa"/>
                    <w:right w:w="20" w:type="dxa"/>
                  </w:tcMar>
                  <w:vAlign w:val="center"/>
                </w:tcPr>
                <w:p w14:paraId="17382195">
                  <w:pPr>
                    <w:autoSpaceDE w:val="0"/>
                    <w:autoSpaceDN w:val="0"/>
                    <w:adjustRightInd w:val="0"/>
                    <w:snapToGrid w:val="0"/>
                    <w:jc w:val="center"/>
                    <w:rPr>
                      <w:color w:val="auto"/>
                      <w:kern w:val="0"/>
                      <w:szCs w:val="21"/>
                    </w:rPr>
                  </w:pPr>
                  <w:r>
                    <w:rPr>
                      <w:color w:val="auto"/>
                      <w:kern w:val="0"/>
                      <w:szCs w:val="21"/>
                    </w:rPr>
                    <w:t>高频热处理流水线</w:t>
                  </w:r>
                </w:p>
              </w:tc>
              <w:tc>
                <w:tcPr>
                  <w:tcW w:w="1727" w:type="pct"/>
                  <w:tcMar>
                    <w:top w:w="20" w:type="dxa"/>
                    <w:left w:w="20" w:type="dxa"/>
                    <w:bottom w:w="0" w:type="dxa"/>
                    <w:right w:w="20" w:type="dxa"/>
                  </w:tcMar>
                  <w:vAlign w:val="center"/>
                </w:tcPr>
                <w:p w14:paraId="17382196">
                  <w:pPr>
                    <w:snapToGrid w:val="0"/>
                    <w:ind w:right="36" w:rightChars="17"/>
                    <w:jc w:val="center"/>
                    <w:rPr>
                      <w:color w:val="auto"/>
                      <w:szCs w:val="21"/>
                    </w:rPr>
                  </w:pPr>
                  <w:r>
                    <w:rPr>
                      <w:rFonts w:hint="eastAsia"/>
                      <w:color w:val="auto"/>
                      <w:szCs w:val="21"/>
                    </w:rPr>
                    <w:t>60w、80w、160w</w:t>
                  </w:r>
                </w:p>
              </w:tc>
              <w:tc>
                <w:tcPr>
                  <w:tcW w:w="1677" w:type="pct"/>
                  <w:shd w:val="clear" w:color="auto" w:fill="auto"/>
                  <w:vAlign w:val="center"/>
                </w:tcPr>
                <w:p w14:paraId="17382197">
                  <w:pPr>
                    <w:snapToGrid w:val="0"/>
                    <w:ind w:right="36" w:rightChars="17"/>
                    <w:jc w:val="center"/>
                    <w:rPr>
                      <w:color w:val="auto"/>
                      <w:szCs w:val="21"/>
                    </w:rPr>
                  </w:pPr>
                  <w:r>
                    <w:rPr>
                      <w:rFonts w:hint="eastAsia"/>
                      <w:color w:val="auto"/>
                      <w:szCs w:val="21"/>
                    </w:rPr>
                    <w:t>3</w:t>
                  </w:r>
                </w:p>
              </w:tc>
            </w:tr>
            <w:tr w14:paraId="1738219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99">
                  <w:pPr>
                    <w:snapToGrid w:val="0"/>
                    <w:jc w:val="center"/>
                    <w:rPr>
                      <w:color w:val="auto"/>
                      <w:szCs w:val="21"/>
                    </w:rPr>
                  </w:pPr>
                  <w:r>
                    <w:rPr>
                      <w:color w:val="auto"/>
                      <w:szCs w:val="21"/>
                    </w:rPr>
                    <w:t>9</w:t>
                  </w:r>
                </w:p>
              </w:tc>
              <w:tc>
                <w:tcPr>
                  <w:tcW w:w="1178" w:type="pct"/>
                  <w:tcMar>
                    <w:top w:w="20" w:type="dxa"/>
                    <w:left w:w="20" w:type="dxa"/>
                    <w:bottom w:w="0" w:type="dxa"/>
                    <w:right w:w="20" w:type="dxa"/>
                  </w:tcMar>
                  <w:vAlign w:val="center"/>
                </w:tcPr>
                <w:p w14:paraId="1738219A">
                  <w:pPr>
                    <w:autoSpaceDE w:val="0"/>
                    <w:autoSpaceDN w:val="0"/>
                    <w:adjustRightInd w:val="0"/>
                    <w:snapToGrid w:val="0"/>
                    <w:jc w:val="center"/>
                    <w:rPr>
                      <w:color w:val="auto"/>
                      <w:kern w:val="0"/>
                      <w:szCs w:val="21"/>
                    </w:rPr>
                  </w:pPr>
                  <w:r>
                    <w:rPr>
                      <w:rFonts w:hint="eastAsia"/>
                      <w:color w:val="auto"/>
                      <w:kern w:val="0"/>
                      <w:szCs w:val="21"/>
                    </w:rPr>
                    <w:t>2轴</w:t>
                  </w:r>
                  <w:r>
                    <w:rPr>
                      <w:color w:val="auto"/>
                      <w:kern w:val="0"/>
                      <w:szCs w:val="21"/>
                    </w:rPr>
                    <w:t>抛光机</w:t>
                  </w:r>
                </w:p>
              </w:tc>
              <w:tc>
                <w:tcPr>
                  <w:tcW w:w="1727" w:type="pct"/>
                  <w:tcMar>
                    <w:top w:w="20" w:type="dxa"/>
                    <w:left w:w="20" w:type="dxa"/>
                    <w:bottom w:w="0" w:type="dxa"/>
                    <w:right w:w="20" w:type="dxa"/>
                  </w:tcMar>
                  <w:vAlign w:val="center"/>
                </w:tcPr>
                <w:p w14:paraId="1738219B">
                  <w:pPr>
                    <w:snapToGrid w:val="0"/>
                    <w:ind w:right="36" w:rightChars="17"/>
                    <w:jc w:val="center"/>
                    <w:rPr>
                      <w:color w:val="auto"/>
                      <w:szCs w:val="21"/>
                    </w:rPr>
                  </w:pPr>
                  <w:r>
                    <w:rPr>
                      <w:rFonts w:hint="eastAsia"/>
                      <w:color w:val="auto"/>
                      <w:szCs w:val="21"/>
                    </w:rPr>
                    <w:t>/</w:t>
                  </w:r>
                </w:p>
              </w:tc>
              <w:tc>
                <w:tcPr>
                  <w:tcW w:w="1677" w:type="pct"/>
                  <w:shd w:val="clear" w:color="auto" w:fill="auto"/>
                  <w:vAlign w:val="center"/>
                </w:tcPr>
                <w:p w14:paraId="1738219C">
                  <w:pPr>
                    <w:snapToGrid w:val="0"/>
                    <w:ind w:right="36" w:rightChars="17"/>
                    <w:jc w:val="center"/>
                    <w:rPr>
                      <w:color w:val="auto"/>
                      <w:szCs w:val="21"/>
                    </w:rPr>
                  </w:pPr>
                  <w:r>
                    <w:rPr>
                      <w:rFonts w:hint="eastAsia"/>
                      <w:color w:val="auto"/>
                      <w:szCs w:val="21"/>
                    </w:rPr>
                    <w:t>4</w:t>
                  </w:r>
                </w:p>
              </w:tc>
            </w:tr>
            <w:tr w14:paraId="173821A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9E">
                  <w:pPr>
                    <w:snapToGrid w:val="0"/>
                    <w:jc w:val="center"/>
                    <w:rPr>
                      <w:color w:val="auto"/>
                      <w:szCs w:val="21"/>
                    </w:rPr>
                  </w:pPr>
                  <w:r>
                    <w:rPr>
                      <w:color w:val="auto"/>
                      <w:szCs w:val="21"/>
                    </w:rPr>
                    <w:t>10</w:t>
                  </w:r>
                </w:p>
              </w:tc>
              <w:tc>
                <w:tcPr>
                  <w:tcW w:w="1178" w:type="pct"/>
                  <w:tcMar>
                    <w:top w:w="20" w:type="dxa"/>
                    <w:left w:w="20" w:type="dxa"/>
                    <w:bottom w:w="0" w:type="dxa"/>
                    <w:right w:w="20" w:type="dxa"/>
                  </w:tcMar>
                  <w:vAlign w:val="center"/>
                </w:tcPr>
                <w:p w14:paraId="1738219F">
                  <w:pPr>
                    <w:autoSpaceDE w:val="0"/>
                    <w:autoSpaceDN w:val="0"/>
                    <w:adjustRightInd w:val="0"/>
                    <w:snapToGrid w:val="0"/>
                    <w:jc w:val="center"/>
                    <w:rPr>
                      <w:color w:val="auto"/>
                      <w:kern w:val="0"/>
                      <w:szCs w:val="21"/>
                    </w:rPr>
                  </w:pPr>
                  <w:r>
                    <w:rPr>
                      <w:color w:val="auto"/>
                      <w:kern w:val="0"/>
                      <w:szCs w:val="21"/>
                    </w:rPr>
                    <w:t>静电喷塑设备</w:t>
                  </w:r>
                </w:p>
              </w:tc>
              <w:tc>
                <w:tcPr>
                  <w:tcW w:w="1727" w:type="pct"/>
                  <w:tcMar>
                    <w:top w:w="20" w:type="dxa"/>
                    <w:left w:w="20" w:type="dxa"/>
                    <w:bottom w:w="0" w:type="dxa"/>
                    <w:right w:w="20" w:type="dxa"/>
                  </w:tcMar>
                  <w:vAlign w:val="center"/>
                </w:tcPr>
                <w:p w14:paraId="173821A0">
                  <w:pPr>
                    <w:snapToGrid w:val="0"/>
                    <w:ind w:right="36" w:rightChars="17"/>
                    <w:jc w:val="center"/>
                    <w:rPr>
                      <w:color w:val="auto"/>
                      <w:szCs w:val="21"/>
                    </w:rPr>
                  </w:pPr>
                  <w:r>
                    <w:rPr>
                      <w:rFonts w:hint="eastAsia"/>
                      <w:color w:val="auto"/>
                      <w:szCs w:val="21"/>
                    </w:rPr>
                    <w:t>/</w:t>
                  </w:r>
                </w:p>
              </w:tc>
              <w:tc>
                <w:tcPr>
                  <w:tcW w:w="1677" w:type="pct"/>
                  <w:shd w:val="clear" w:color="auto" w:fill="auto"/>
                  <w:vAlign w:val="center"/>
                </w:tcPr>
                <w:p w14:paraId="173821A1">
                  <w:pPr>
                    <w:snapToGrid w:val="0"/>
                    <w:ind w:right="36" w:rightChars="17"/>
                    <w:jc w:val="center"/>
                    <w:rPr>
                      <w:color w:val="auto"/>
                      <w:szCs w:val="21"/>
                    </w:rPr>
                  </w:pPr>
                  <w:r>
                    <w:rPr>
                      <w:rFonts w:hint="eastAsia"/>
                      <w:color w:val="auto"/>
                      <w:szCs w:val="21"/>
                    </w:rPr>
                    <w:t>1</w:t>
                  </w:r>
                </w:p>
              </w:tc>
            </w:tr>
            <w:tr w14:paraId="173821A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A3">
                  <w:pPr>
                    <w:snapToGrid w:val="0"/>
                    <w:jc w:val="center"/>
                    <w:rPr>
                      <w:color w:val="auto"/>
                      <w:szCs w:val="21"/>
                    </w:rPr>
                  </w:pPr>
                  <w:r>
                    <w:rPr>
                      <w:rFonts w:hint="eastAsia"/>
                      <w:color w:val="auto"/>
                      <w:szCs w:val="21"/>
                    </w:rPr>
                    <w:t>11</w:t>
                  </w:r>
                </w:p>
              </w:tc>
              <w:tc>
                <w:tcPr>
                  <w:tcW w:w="1178" w:type="pct"/>
                  <w:tcMar>
                    <w:top w:w="20" w:type="dxa"/>
                    <w:left w:w="20" w:type="dxa"/>
                    <w:bottom w:w="0" w:type="dxa"/>
                    <w:right w:w="20" w:type="dxa"/>
                  </w:tcMar>
                  <w:vAlign w:val="center"/>
                </w:tcPr>
                <w:p w14:paraId="173821A4">
                  <w:pPr>
                    <w:widowControl/>
                    <w:jc w:val="center"/>
                    <w:rPr>
                      <w:color w:val="auto"/>
                      <w:kern w:val="0"/>
                      <w:szCs w:val="21"/>
                    </w:rPr>
                  </w:pPr>
                  <w:r>
                    <w:rPr>
                      <w:rFonts w:hint="eastAsia"/>
                      <w:color w:val="auto"/>
                      <w:kern w:val="0"/>
                      <w:szCs w:val="21"/>
                    </w:rPr>
                    <w:t>电</w:t>
                  </w:r>
                  <w:r>
                    <w:rPr>
                      <w:color w:val="auto"/>
                      <w:kern w:val="0"/>
                      <w:szCs w:val="21"/>
                    </w:rPr>
                    <w:t>烘箱</w:t>
                  </w:r>
                </w:p>
              </w:tc>
              <w:tc>
                <w:tcPr>
                  <w:tcW w:w="1727" w:type="pct"/>
                  <w:tcMar>
                    <w:top w:w="20" w:type="dxa"/>
                    <w:left w:w="20" w:type="dxa"/>
                    <w:bottom w:w="0" w:type="dxa"/>
                    <w:right w:w="20" w:type="dxa"/>
                  </w:tcMar>
                  <w:vAlign w:val="center"/>
                </w:tcPr>
                <w:p w14:paraId="173821A5">
                  <w:pPr>
                    <w:snapToGrid w:val="0"/>
                    <w:ind w:right="36" w:rightChars="17"/>
                    <w:jc w:val="center"/>
                    <w:rPr>
                      <w:color w:val="auto"/>
                      <w:szCs w:val="21"/>
                    </w:rPr>
                  </w:pPr>
                  <w:r>
                    <w:rPr>
                      <w:rFonts w:hint="eastAsia"/>
                      <w:color w:val="auto"/>
                      <w:szCs w:val="21"/>
                    </w:rPr>
                    <w:t>/</w:t>
                  </w:r>
                </w:p>
              </w:tc>
              <w:tc>
                <w:tcPr>
                  <w:tcW w:w="1677" w:type="pct"/>
                  <w:shd w:val="clear" w:color="auto" w:fill="auto"/>
                  <w:vAlign w:val="center"/>
                </w:tcPr>
                <w:p w14:paraId="173821A6">
                  <w:pPr>
                    <w:snapToGrid w:val="0"/>
                    <w:ind w:right="36" w:rightChars="17"/>
                    <w:jc w:val="center"/>
                    <w:rPr>
                      <w:color w:val="auto"/>
                      <w:szCs w:val="21"/>
                    </w:rPr>
                  </w:pPr>
                  <w:r>
                    <w:rPr>
                      <w:rFonts w:hint="eastAsia"/>
                      <w:color w:val="auto"/>
                      <w:szCs w:val="21"/>
                    </w:rPr>
                    <w:t>1</w:t>
                  </w:r>
                </w:p>
              </w:tc>
            </w:tr>
            <w:tr w14:paraId="173821A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173821A8">
                  <w:pPr>
                    <w:snapToGrid w:val="0"/>
                    <w:jc w:val="center"/>
                    <w:rPr>
                      <w:color w:val="auto"/>
                      <w:szCs w:val="21"/>
                    </w:rPr>
                  </w:pPr>
                  <w:r>
                    <w:rPr>
                      <w:rFonts w:hint="eastAsia"/>
                      <w:color w:val="auto"/>
                      <w:szCs w:val="21"/>
                    </w:rPr>
                    <w:t>12</w:t>
                  </w:r>
                </w:p>
              </w:tc>
              <w:tc>
                <w:tcPr>
                  <w:tcW w:w="1178" w:type="pct"/>
                  <w:tcMar>
                    <w:top w:w="20" w:type="dxa"/>
                    <w:left w:w="20" w:type="dxa"/>
                    <w:bottom w:w="0" w:type="dxa"/>
                    <w:right w:w="20" w:type="dxa"/>
                  </w:tcMar>
                  <w:vAlign w:val="center"/>
                </w:tcPr>
                <w:p w14:paraId="173821A9">
                  <w:pPr>
                    <w:autoSpaceDE w:val="0"/>
                    <w:autoSpaceDN w:val="0"/>
                    <w:adjustRightInd w:val="0"/>
                    <w:snapToGrid w:val="0"/>
                    <w:jc w:val="center"/>
                    <w:rPr>
                      <w:color w:val="auto"/>
                      <w:kern w:val="0"/>
                      <w:szCs w:val="21"/>
                    </w:rPr>
                  </w:pPr>
                  <w:r>
                    <w:rPr>
                      <w:rFonts w:hint="eastAsia"/>
                      <w:color w:val="auto"/>
                      <w:kern w:val="0"/>
                      <w:szCs w:val="21"/>
                    </w:rPr>
                    <w:t>抛丸机</w:t>
                  </w:r>
                </w:p>
              </w:tc>
              <w:tc>
                <w:tcPr>
                  <w:tcW w:w="1727" w:type="pct"/>
                  <w:tcMar>
                    <w:top w:w="20" w:type="dxa"/>
                    <w:left w:w="20" w:type="dxa"/>
                    <w:bottom w:w="0" w:type="dxa"/>
                    <w:right w:w="20" w:type="dxa"/>
                  </w:tcMar>
                  <w:vAlign w:val="center"/>
                </w:tcPr>
                <w:p w14:paraId="173821AA">
                  <w:pPr>
                    <w:snapToGrid w:val="0"/>
                    <w:ind w:right="36" w:rightChars="17"/>
                    <w:jc w:val="center"/>
                    <w:rPr>
                      <w:color w:val="auto"/>
                      <w:szCs w:val="21"/>
                    </w:rPr>
                  </w:pPr>
                  <w:r>
                    <w:rPr>
                      <w:rFonts w:hint="eastAsia"/>
                      <w:color w:val="auto"/>
                      <w:szCs w:val="21"/>
                    </w:rPr>
                    <w:t>/</w:t>
                  </w:r>
                </w:p>
              </w:tc>
              <w:tc>
                <w:tcPr>
                  <w:tcW w:w="1677" w:type="pct"/>
                  <w:vAlign w:val="center"/>
                </w:tcPr>
                <w:p w14:paraId="173821AB">
                  <w:pPr>
                    <w:snapToGrid w:val="0"/>
                    <w:ind w:right="36" w:rightChars="17"/>
                    <w:jc w:val="center"/>
                    <w:rPr>
                      <w:color w:val="auto"/>
                      <w:szCs w:val="21"/>
                    </w:rPr>
                  </w:pPr>
                  <w:r>
                    <w:rPr>
                      <w:rFonts w:hint="eastAsia"/>
                      <w:color w:val="auto"/>
                      <w:szCs w:val="21"/>
                    </w:rPr>
                    <w:t>2</w:t>
                  </w:r>
                </w:p>
              </w:tc>
            </w:tr>
            <w:tr w14:paraId="3453FC5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17" w:type="pct"/>
                  <w:tcMar>
                    <w:top w:w="20" w:type="dxa"/>
                    <w:left w:w="20" w:type="dxa"/>
                    <w:bottom w:w="0" w:type="dxa"/>
                    <w:right w:w="20" w:type="dxa"/>
                  </w:tcMar>
                  <w:vAlign w:val="center"/>
                </w:tcPr>
                <w:p w14:paraId="7998B378">
                  <w:pPr>
                    <w:snapToGrid w:val="0"/>
                    <w:jc w:val="center"/>
                    <w:rPr>
                      <w:rFonts w:hint="default" w:eastAsia="宋体"/>
                      <w:color w:val="auto"/>
                      <w:szCs w:val="21"/>
                      <w:lang w:val="en-US" w:eastAsia="zh-CN"/>
                    </w:rPr>
                  </w:pPr>
                  <w:r>
                    <w:rPr>
                      <w:rFonts w:hint="eastAsia"/>
                      <w:color w:val="auto"/>
                      <w:szCs w:val="21"/>
                      <w:lang w:val="en-US" w:eastAsia="zh-CN"/>
                    </w:rPr>
                    <w:t>13</w:t>
                  </w:r>
                </w:p>
              </w:tc>
              <w:tc>
                <w:tcPr>
                  <w:tcW w:w="1178" w:type="pct"/>
                  <w:tcMar>
                    <w:top w:w="20" w:type="dxa"/>
                    <w:left w:w="20" w:type="dxa"/>
                    <w:bottom w:w="0" w:type="dxa"/>
                    <w:right w:w="20" w:type="dxa"/>
                  </w:tcMar>
                  <w:vAlign w:val="center"/>
                </w:tcPr>
                <w:p w14:paraId="02B32448">
                  <w:pPr>
                    <w:autoSpaceDE w:val="0"/>
                    <w:autoSpaceDN w:val="0"/>
                    <w:adjustRightInd w:val="0"/>
                    <w:snapToGrid w:val="0"/>
                    <w:jc w:val="center"/>
                    <w:rPr>
                      <w:rFonts w:hint="eastAsia" w:eastAsia="宋体"/>
                      <w:color w:val="auto"/>
                      <w:kern w:val="0"/>
                      <w:szCs w:val="21"/>
                      <w:lang w:val="en-US" w:eastAsia="zh-CN"/>
                    </w:rPr>
                  </w:pPr>
                  <w:r>
                    <w:rPr>
                      <w:rFonts w:hint="eastAsia"/>
                      <w:color w:val="auto"/>
                      <w:kern w:val="0"/>
                      <w:szCs w:val="21"/>
                      <w:lang w:val="en-US" w:eastAsia="zh-CN"/>
                    </w:rPr>
                    <w:t>搅拌机</w:t>
                  </w:r>
                </w:p>
              </w:tc>
              <w:tc>
                <w:tcPr>
                  <w:tcW w:w="1727" w:type="pct"/>
                  <w:tcMar>
                    <w:top w:w="20" w:type="dxa"/>
                    <w:left w:w="20" w:type="dxa"/>
                    <w:bottom w:w="0" w:type="dxa"/>
                    <w:right w:w="20" w:type="dxa"/>
                  </w:tcMar>
                  <w:vAlign w:val="center"/>
                </w:tcPr>
                <w:p w14:paraId="1062ECAB">
                  <w:pPr>
                    <w:snapToGrid w:val="0"/>
                    <w:ind w:right="36" w:rightChars="17"/>
                    <w:jc w:val="center"/>
                    <w:rPr>
                      <w:rFonts w:hint="eastAsia"/>
                      <w:color w:val="auto"/>
                      <w:szCs w:val="21"/>
                    </w:rPr>
                  </w:pPr>
                  <w:r>
                    <w:rPr>
                      <w:rFonts w:hint="eastAsia"/>
                      <w:color w:val="auto"/>
                      <w:szCs w:val="21"/>
                    </w:rPr>
                    <w:t>/</w:t>
                  </w:r>
                </w:p>
              </w:tc>
              <w:tc>
                <w:tcPr>
                  <w:tcW w:w="1677" w:type="pct"/>
                  <w:vAlign w:val="center"/>
                </w:tcPr>
                <w:p w14:paraId="28E9ED73">
                  <w:pPr>
                    <w:snapToGrid w:val="0"/>
                    <w:ind w:right="36" w:rightChars="17"/>
                    <w:jc w:val="center"/>
                    <w:rPr>
                      <w:rFonts w:hint="eastAsia" w:eastAsia="宋体"/>
                      <w:color w:val="auto"/>
                      <w:szCs w:val="21"/>
                      <w:lang w:val="en-US" w:eastAsia="zh-CN"/>
                    </w:rPr>
                  </w:pPr>
                  <w:r>
                    <w:rPr>
                      <w:rFonts w:hint="eastAsia"/>
                      <w:color w:val="auto"/>
                      <w:szCs w:val="21"/>
                      <w:lang w:val="en-US" w:eastAsia="zh-CN"/>
                    </w:rPr>
                    <w:t>1</w:t>
                  </w:r>
                </w:p>
              </w:tc>
            </w:tr>
          </w:tbl>
          <w:p w14:paraId="173821AD">
            <w:pPr>
              <w:adjustRightInd w:val="0"/>
              <w:snapToGrid w:val="0"/>
              <w:spacing w:line="360" w:lineRule="auto"/>
              <w:ind w:firstLine="482" w:firstLineChars="200"/>
              <w:rPr>
                <w:b/>
                <w:bCs/>
                <w:color w:val="auto"/>
                <w:sz w:val="24"/>
              </w:rPr>
            </w:pPr>
            <w:r>
              <w:rPr>
                <w:rFonts w:hint="eastAsia"/>
                <w:b/>
                <w:bCs/>
                <w:color w:val="auto"/>
                <w:sz w:val="24"/>
              </w:rPr>
              <w:t>6、</w:t>
            </w:r>
            <w:r>
              <w:rPr>
                <w:b/>
                <w:bCs/>
                <w:color w:val="auto"/>
                <w:sz w:val="24"/>
              </w:rPr>
              <w:t>建设项目水平衡分析</w:t>
            </w:r>
          </w:p>
          <w:p w14:paraId="173821AE">
            <w:pPr>
              <w:widowControl/>
              <w:spacing w:line="360" w:lineRule="auto"/>
              <w:ind w:firstLine="480" w:firstLineChars="200"/>
              <w:rPr>
                <w:bCs/>
                <w:color w:val="auto"/>
                <w:sz w:val="24"/>
              </w:rPr>
            </w:pPr>
            <w:r>
              <w:rPr>
                <w:bCs/>
                <w:color w:val="auto"/>
                <w:sz w:val="24"/>
              </w:rPr>
              <w:t>本项目用水主要</w:t>
            </w:r>
            <w:r>
              <w:rPr>
                <w:rFonts w:hint="eastAsia"/>
                <w:bCs/>
                <w:color w:val="auto"/>
                <w:sz w:val="24"/>
              </w:rPr>
              <w:t>为生活用水、切割喷淋用水、注塑冷却用水、热处理冷却用水和清洗用水</w:t>
            </w:r>
            <w:r>
              <w:rPr>
                <w:rFonts w:hint="eastAsia"/>
                <w:bCs/>
                <w:color w:val="auto"/>
                <w:sz w:val="24"/>
                <w:lang w:eastAsia="zh-CN"/>
              </w:rPr>
              <w:t>，</w:t>
            </w:r>
            <w:r>
              <w:rPr>
                <w:rFonts w:hint="eastAsia"/>
                <w:bCs/>
                <w:color w:val="auto"/>
                <w:sz w:val="24"/>
                <w:lang w:val="en-US" w:eastAsia="zh-CN"/>
              </w:rPr>
              <w:t>废水主要为生活污水</w:t>
            </w:r>
            <w:r>
              <w:rPr>
                <w:bCs/>
                <w:color w:val="auto"/>
                <w:sz w:val="24"/>
              </w:rPr>
              <w:t>。</w:t>
            </w:r>
          </w:p>
          <w:p w14:paraId="173821AF">
            <w:pPr>
              <w:spacing w:line="360" w:lineRule="auto"/>
              <w:ind w:firstLine="480" w:firstLineChars="200"/>
              <w:rPr>
                <w:color w:val="auto"/>
                <w:sz w:val="24"/>
                <w:szCs w:val="32"/>
              </w:rPr>
            </w:pPr>
            <w:r>
              <w:rPr>
                <w:rFonts w:hint="eastAsia"/>
                <w:color w:val="auto"/>
                <w:sz w:val="24"/>
                <w:szCs w:val="32"/>
              </w:rPr>
              <w:t>（1）生活用水</w:t>
            </w:r>
          </w:p>
          <w:p w14:paraId="173821B0">
            <w:pPr>
              <w:spacing w:line="360" w:lineRule="auto"/>
              <w:ind w:firstLine="480" w:firstLineChars="200"/>
              <w:rPr>
                <w:color w:val="auto"/>
                <w:sz w:val="24"/>
                <w:szCs w:val="32"/>
              </w:rPr>
            </w:pPr>
            <w:r>
              <w:rPr>
                <w:rFonts w:hint="eastAsia"/>
                <w:color w:val="auto"/>
                <w:sz w:val="24"/>
                <w:szCs w:val="32"/>
              </w:rPr>
              <w:t>本项目劳动定员12人，根据《建筑给水排水设计标准》（GB50015-2019），工业企业建筑及管理人员的最高日生活用水定额可取30L/（人·班）-50L/（人·班），本次生活用水定额以50L/（人·班）计。经计算，年生活用水量为180t/a，本项目排放系数取0.8，则生活污水产生量为144t/a</w:t>
            </w:r>
            <w:r>
              <w:rPr>
                <w:rFonts w:hint="eastAsia"/>
                <w:color w:val="auto"/>
                <w:sz w:val="24"/>
                <w:szCs w:val="32"/>
                <w:lang w:val="en-US" w:eastAsia="zh-CN"/>
              </w:rPr>
              <w:t>。生活废水</w:t>
            </w:r>
            <w:r>
              <w:rPr>
                <w:rFonts w:hint="eastAsia"/>
                <w:color w:val="auto"/>
                <w:sz w:val="24"/>
                <w:szCs w:val="32"/>
              </w:rPr>
              <w:t>经化粪池预处理后用作</w:t>
            </w:r>
            <w:r>
              <w:rPr>
                <w:rFonts w:hint="eastAsia"/>
                <w:color w:val="auto"/>
                <w:sz w:val="24"/>
                <w:szCs w:val="32"/>
                <w:lang w:val="en-US" w:eastAsia="zh-CN"/>
              </w:rPr>
              <w:t>农田灌溉用水</w:t>
            </w:r>
            <w:r>
              <w:rPr>
                <w:rFonts w:hint="eastAsia"/>
                <w:color w:val="auto"/>
                <w:sz w:val="24"/>
                <w:szCs w:val="32"/>
              </w:rPr>
              <w:t>，不外排。</w:t>
            </w:r>
          </w:p>
          <w:p w14:paraId="7AB0EC3A">
            <w:pPr>
              <w:spacing w:line="360" w:lineRule="auto"/>
              <w:ind w:firstLine="480" w:firstLineChars="200"/>
              <w:rPr>
                <w:rFonts w:hint="eastAsia"/>
                <w:color w:val="auto"/>
                <w:sz w:val="24"/>
                <w:szCs w:val="32"/>
              </w:rPr>
            </w:pPr>
            <w:r>
              <w:rPr>
                <w:rFonts w:hint="eastAsia"/>
                <w:color w:val="auto"/>
                <w:sz w:val="24"/>
                <w:szCs w:val="32"/>
              </w:rPr>
              <w:t>（2）切割喷淋用水</w:t>
            </w:r>
          </w:p>
          <w:p w14:paraId="70301232">
            <w:pPr>
              <w:spacing w:line="360" w:lineRule="auto"/>
              <w:ind w:firstLine="480" w:firstLineChars="200"/>
              <w:rPr>
                <w:rFonts w:hint="eastAsia"/>
                <w:color w:val="auto"/>
                <w:sz w:val="24"/>
                <w:szCs w:val="32"/>
                <w:lang w:eastAsia="zh-CN"/>
              </w:rPr>
            </w:pPr>
            <w:r>
              <w:rPr>
                <w:rFonts w:hint="eastAsia"/>
                <w:color w:val="auto"/>
                <w:sz w:val="24"/>
                <w:szCs w:val="32"/>
              </w:rPr>
              <w:t>本项目切割时采用水喷淋法来抑尘，</w:t>
            </w:r>
            <w:r>
              <w:rPr>
                <w:rFonts w:hint="eastAsia"/>
                <w:color w:val="auto"/>
                <w:sz w:val="24"/>
                <w:szCs w:val="32"/>
                <w:lang w:val="en-US" w:eastAsia="zh-CN"/>
              </w:rPr>
              <w:t>循环水量为1m</w:t>
            </w:r>
            <w:r>
              <w:rPr>
                <w:rFonts w:hint="eastAsia"/>
                <w:color w:val="auto"/>
                <w:sz w:val="24"/>
                <w:szCs w:val="32"/>
                <w:vertAlign w:val="superscript"/>
                <w:lang w:val="en-US" w:eastAsia="zh-CN"/>
              </w:rPr>
              <w:t>2</w:t>
            </w:r>
            <w:r>
              <w:rPr>
                <w:rFonts w:hint="eastAsia"/>
                <w:color w:val="auto"/>
                <w:sz w:val="24"/>
                <w:szCs w:val="32"/>
                <w:lang w:val="en-US" w:eastAsia="zh-CN"/>
              </w:rPr>
              <w:t>/h，</w:t>
            </w:r>
            <w:r>
              <w:rPr>
                <w:rFonts w:hint="eastAsia"/>
                <w:color w:val="auto"/>
                <w:sz w:val="24"/>
                <w:szCs w:val="32"/>
              </w:rPr>
              <w:t>项目设有1台一体化拉挤切割机，该切割机配套设有1个15L的循环水箱，有效容积80%，</w:t>
            </w:r>
            <w:r>
              <w:rPr>
                <w:rFonts w:hint="eastAsia" w:ascii="Times New Roman" w:hAnsi="Times New Roman" w:eastAsia="宋体" w:cs="Times New Roman"/>
                <w:color w:val="auto"/>
                <w:sz w:val="24"/>
                <w:szCs w:val="32"/>
              </w:rPr>
              <w:t>即初次补充水量为0.012t。该切割废水经定期清渣后循环使用，</w:t>
            </w:r>
            <w:r>
              <w:rPr>
                <w:rFonts w:hint="eastAsia" w:ascii="Times New Roman" w:hAnsi="Times New Roman" w:eastAsia="宋体" w:cs="Times New Roman"/>
                <w:color w:val="auto"/>
                <w:sz w:val="24"/>
                <w:szCs w:val="32"/>
                <w:lang w:val="en-US" w:eastAsia="zh-CN"/>
              </w:rPr>
              <w:t>不外排</w:t>
            </w:r>
            <w:r>
              <w:rPr>
                <w:rFonts w:hint="eastAsia" w:ascii="Times New Roman" w:hAnsi="Times New Roman" w:eastAsia="宋体" w:cs="Times New Roman"/>
                <w:color w:val="auto"/>
                <w:sz w:val="24"/>
                <w:szCs w:val="32"/>
              </w:rPr>
              <w:t>。</w:t>
            </w:r>
            <w:r>
              <w:rPr>
                <w:rFonts w:hint="eastAsia"/>
                <w:color w:val="auto"/>
                <w:sz w:val="24"/>
                <w:szCs w:val="32"/>
              </w:rPr>
              <w:t>喷淋水在循环过程中，由于蒸发损耗需定期补充新鲜水，每天损耗补充量为20%，则</w:t>
            </w:r>
            <w:r>
              <w:rPr>
                <w:rFonts w:hint="eastAsia"/>
                <w:color w:val="auto"/>
                <w:sz w:val="24"/>
                <w:szCs w:val="32"/>
                <w:lang w:val="en-US" w:eastAsia="zh-CN"/>
              </w:rPr>
              <w:t>年</w:t>
            </w:r>
            <w:r>
              <w:rPr>
                <w:rFonts w:hint="eastAsia"/>
                <w:color w:val="auto"/>
                <w:sz w:val="24"/>
                <w:szCs w:val="32"/>
              </w:rPr>
              <w:t>补充</w:t>
            </w:r>
            <w:r>
              <w:rPr>
                <w:rFonts w:hint="eastAsia"/>
                <w:color w:val="auto"/>
                <w:sz w:val="24"/>
                <w:szCs w:val="32"/>
                <w:lang w:val="en-US" w:eastAsia="zh-CN"/>
              </w:rPr>
              <w:t>损耗</w:t>
            </w:r>
            <w:r>
              <w:rPr>
                <w:rFonts w:hint="eastAsia"/>
                <w:color w:val="auto"/>
                <w:sz w:val="24"/>
                <w:szCs w:val="32"/>
              </w:rPr>
              <w:t>水量为0.72t/a</w:t>
            </w:r>
            <w:r>
              <w:rPr>
                <w:rFonts w:hint="eastAsia"/>
                <w:color w:val="auto"/>
                <w:sz w:val="24"/>
                <w:szCs w:val="32"/>
                <w:lang w:eastAsia="zh-CN"/>
              </w:rPr>
              <w:t>。</w:t>
            </w:r>
          </w:p>
          <w:p w14:paraId="173821B3">
            <w:pPr>
              <w:spacing w:line="360" w:lineRule="auto"/>
              <w:ind w:firstLine="480" w:firstLineChars="200"/>
              <w:rPr>
                <w:color w:val="auto"/>
                <w:sz w:val="24"/>
                <w:szCs w:val="32"/>
              </w:rPr>
            </w:pPr>
            <w:r>
              <w:rPr>
                <w:rFonts w:hint="eastAsia"/>
                <w:color w:val="auto"/>
                <w:sz w:val="24"/>
                <w:szCs w:val="32"/>
              </w:rPr>
              <w:t>（3）注塑冷却用水</w:t>
            </w:r>
          </w:p>
          <w:p w14:paraId="00515DD4">
            <w:pPr>
              <w:spacing w:line="360" w:lineRule="auto"/>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本项目在注塑工序需使用新鲜水作为冷却介质进行间接冷却，循环水量为10m</w:t>
            </w:r>
            <w:r>
              <w:rPr>
                <w:rFonts w:hint="default" w:ascii="Times New Roman" w:hAnsi="Times New Roman" w:eastAsia="宋体" w:cs="Times New Roman"/>
                <w:color w:val="auto"/>
                <w:sz w:val="24"/>
                <w:szCs w:val="24"/>
                <w:vertAlign w:val="superscript"/>
              </w:rPr>
              <w:t>3</w:t>
            </w:r>
            <w:r>
              <w:rPr>
                <w:rFonts w:hint="default" w:ascii="Times New Roman" w:hAnsi="Times New Roman" w:eastAsia="宋体" w:cs="Times New Roman"/>
                <w:color w:val="auto"/>
                <w:sz w:val="24"/>
                <w:szCs w:val="24"/>
              </w:rPr>
              <w:t>/h，</w:t>
            </w:r>
            <w:r>
              <w:rPr>
                <w:rFonts w:hint="default" w:ascii="Times New Roman" w:hAnsi="Times New Roman" w:eastAsia="宋体" w:cs="Times New Roman"/>
                <w:color w:val="auto"/>
                <w:sz w:val="24"/>
                <w:szCs w:val="24"/>
                <w:lang w:val="en-US" w:eastAsia="zh-CN"/>
              </w:rPr>
              <w:t>循环水池容积为5m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，有效容积80%，即循环水池初次补充水量为4t，</w:t>
            </w:r>
            <w:r>
              <w:rPr>
                <w:rFonts w:hint="default" w:ascii="Times New Roman" w:hAnsi="Times New Roman" w:eastAsia="宋体" w:cs="Times New Roman"/>
                <w:color w:val="auto"/>
                <w:sz w:val="24"/>
                <w:szCs w:val="24"/>
              </w:rPr>
              <w:t>冷却水循环使用，</w:t>
            </w:r>
            <w:r>
              <w:rPr>
                <w:rFonts w:hint="default" w:ascii="Times New Roman" w:hAnsi="Times New Roman" w:eastAsia="宋体" w:cs="Times New Roman"/>
                <w:color w:val="auto"/>
                <w:sz w:val="24"/>
                <w:szCs w:val="24"/>
                <w:lang w:val="en-US" w:eastAsia="zh-CN"/>
              </w:rPr>
              <w:t>不外排</w:t>
            </w:r>
            <w:r>
              <w:rPr>
                <w:rFonts w:hint="default" w:ascii="Times New Roman" w:hAnsi="Times New Roman" w:eastAsia="宋体" w:cs="Times New Roman"/>
                <w:color w:val="auto"/>
                <w:sz w:val="24"/>
                <w:szCs w:val="24"/>
              </w:rPr>
              <w:t>。由于蒸发损耗等，需定期补充新鲜水，根据《工业循环水冷却设计规范》（GB/T50102-2014），损失水量为2%（包括飞溅损失、蒸发损耗），则补充损耗水量为480t/a。</w:t>
            </w:r>
          </w:p>
          <w:p w14:paraId="173821B5">
            <w:pPr>
              <w:spacing w:line="360" w:lineRule="auto"/>
              <w:ind w:firstLine="480" w:firstLineChars="200"/>
              <w:rPr>
                <w:color w:val="auto"/>
                <w:sz w:val="24"/>
                <w:szCs w:val="32"/>
              </w:rPr>
            </w:pPr>
            <w:r>
              <w:rPr>
                <w:color w:val="auto"/>
                <w:sz w:val="24"/>
                <w:szCs w:val="32"/>
              </w:rPr>
              <w:t>（4）热处理冷却用水</w:t>
            </w:r>
          </w:p>
          <w:p w14:paraId="173821B6">
            <w:pPr>
              <w:spacing w:line="360" w:lineRule="auto"/>
              <w:ind w:firstLine="480" w:firstLineChars="200"/>
              <w:rPr>
                <w:rFonts w:hint="default" w:eastAsia="宋体"/>
                <w:color w:val="auto"/>
                <w:sz w:val="24"/>
                <w:szCs w:val="32"/>
                <w:lang w:val="en-US" w:eastAsia="zh-CN"/>
              </w:rPr>
            </w:pPr>
            <w:r>
              <w:rPr>
                <w:color w:val="auto"/>
                <w:sz w:val="24"/>
                <w:szCs w:val="32"/>
              </w:rPr>
              <w:t>本项目</w:t>
            </w:r>
            <w:r>
              <w:rPr>
                <w:color w:val="auto"/>
                <w:sz w:val="24"/>
              </w:rPr>
              <w:t>锤子、斧头、钢镐锹毛坯等在热处理后，需用水进行最终的冷却，根据建设单位提供资料，冷却水</w:t>
            </w:r>
            <w:r>
              <w:rPr>
                <w:rFonts w:hint="eastAsia"/>
                <w:color w:val="auto"/>
                <w:sz w:val="24"/>
              </w:rPr>
              <w:t>水</w:t>
            </w:r>
            <w:r>
              <w:rPr>
                <w:color w:val="auto"/>
                <w:sz w:val="24"/>
              </w:rPr>
              <w:t>箱尺寸为100cm×100cm×200cm</w:t>
            </w:r>
            <w:r>
              <w:rPr>
                <w:rFonts w:hint="eastAsia"/>
                <w:color w:val="auto"/>
                <w:sz w:val="24"/>
              </w:rPr>
              <w:t>，</w:t>
            </w:r>
            <w:r>
              <w:rPr>
                <w:rFonts w:hint="eastAsia"/>
                <w:color w:val="auto"/>
                <w:sz w:val="24"/>
                <w:lang w:val="en-US" w:eastAsia="zh-CN"/>
              </w:rPr>
              <w:t>容积为2</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color w:val="auto"/>
                <w:sz w:val="24"/>
              </w:rPr>
              <w:t>有效容积80%，即初次补充水量为1.6</w:t>
            </w:r>
            <w:r>
              <w:rPr>
                <w:rFonts w:hint="eastAsia"/>
                <w:color w:val="auto"/>
                <w:sz w:val="24"/>
                <w:szCs w:val="32"/>
              </w:rPr>
              <w:t>t，冷却水经沉淀池处理，定期清渣后循环使用，</w:t>
            </w:r>
            <w:r>
              <w:rPr>
                <w:rFonts w:hint="eastAsia"/>
                <w:color w:val="auto"/>
                <w:sz w:val="24"/>
                <w:szCs w:val="32"/>
                <w:lang w:val="en-US" w:eastAsia="zh-CN"/>
              </w:rPr>
              <w:t>不外排。冷却过程</w:t>
            </w:r>
            <w:r>
              <w:rPr>
                <w:rFonts w:hint="eastAsia"/>
                <w:color w:val="auto"/>
                <w:sz w:val="24"/>
                <w:szCs w:val="32"/>
              </w:rPr>
              <w:t>需定期补充新鲜水，每天损耗补充量为20%，则补充水量为96t/a</w:t>
            </w:r>
            <w:r>
              <w:rPr>
                <w:color w:val="auto"/>
                <w:sz w:val="24"/>
                <w:szCs w:val="32"/>
              </w:rPr>
              <w:t>。</w:t>
            </w:r>
          </w:p>
          <w:p w14:paraId="173821B7">
            <w:pPr>
              <w:pStyle w:val="87"/>
              <w:spacing w:after="0" w:line="360" w:lineRule="auto"/>
              <w:ind w:left="0" w:leftChars="0" w:firstLine="480"/>
              <w:rPr>
                <w:color w:val="auto"/>
                <w:szCs w:val="24"/>
                <w:lang w:val="en-US"/>
              </w:rPr>
            </w:pPr>
            <w:r>
              <w:rPr>
                <w:rFonts w:hint="eastAsia"/>
                <w:color w:val="auto"/>
                <w:szCs w:val="24"/>
                <w:lang w:val="en-US"/>
              </w:rPr>
              <w:t>（5）清洗用水</w:t>
            </w:r>
          </w:p>
          <w:p w14:paraId="7AE78913">
            <w:pPr>
              <w:numPr>
                <w:ilvl w:val="0"/>
                <w:numId w:val="0"/>
              </w:numPr>
              <w:spacing w:line="360" w:lineRule="auto"/>
              <w:ind w:firstLine="480" w:firstLineChars="200"/>
              <w:rPr>
                <w:rFonts w:hint="default"/>
                <w:color w:val="auto"/>
                <w:sz w:val="24"/>
                <w:szCs w:val="24"/>
                <w:lang w:val="en-US" w:eastAsia="zh-CN"/>
              </w:rPr>
            </w:pPr>
            <w:r>
              <w:rPr>
                <w:rFonts w:hint="eastAsia"/>
                <w:color w:val="auto"/>
                <w:sz w:val="24"/>
              </w:rPr>
              <w:t>本项目锤子、斧头、</w:t>
            </w:r>
            <w:r>
              <w:rPr>
                <w:color w:val="auto"/>
                <w:sz w:val="24"/>
              </w:rPr>
              <w:t>钢镐锹</w:t>
            </w:r>
            <w:r>
              <w:rPr>
                <w:rFonts w:hint="eastAsia"/>
                <w:color w:val="auto"/>
                <w:sz w:val="24"/>
              </w:rPr>
              <w:t>等抛光后需</w:t>
            </w:r>
            <w:r>
              <w:rPr>
                <w:rFonts w:hint="eastAsia"/>
                <w:bCs/>
                <w:color w:val="auto"/>
                <w:sz w:val="24"/>
              </w:rPr>
              <w:t>使用自来水人工</w:t>
            </w:r>
            <w:r>
              <w:rPr>
                <w:rFonts w:hint="eastAsia"/>
                <w:color w:val="auto"/>
                <w:sz w:val="24"/>
              </w:rPr>
              <w:t>清洗去除工件表面残留废屑，清洗过程在清洗池内进行，池体</w:t>
            </w:r>
            <w:r>
              <w:rPr>
                <w:color w:val="auto"/>
                <w:sz w:val="24"/>
              </w:rPr>
              <w:t>长*宽*高</w:t>
            </w:r>
            <w:r>
              <w:rPr>
                <w:rFonts w:hint="eastAsia"/>
                <w:color w:val="auto"/>
                <w:sz w:val="24"/>
              </w:rPr>
              <w:t>为2.4</w:t>
            </w:r>
            <w:r>
              <w:rPr>
                <w:color w:val="auto"/>
                <w:sz w:val="24"/>
              </w:rPr>
              <w:t>m*</w:t>
            </w:r>
            <w:r>
              <w:rPr>
                <w:rFonts w:hint="eastAsia"/>
                <w:color w:val="auto"/>
                <w:sz w:val="24"/>
              </w:rPr>
              <w:t>2.4</w:t>
            </w:r>
            <w:r>
              <w:rPr>
                <w:color w:val="auto"/>
                <w:sz w:val="24"/>
              </w:rPr>
              <w:t>m*</w:t>
            </w:r>
            <w:r>
              <w:rPr>
                <w:rFonts w:hint="eastAsia"/>
                <w:color w:val="auto"/>
                <w:sz w:val="24"/>
              </w:rPr>
              <w:t>3</w:t>
            </w:r>
            <w:r>
              <w:rPr>
                <w:color w:val="auto"/>
                <w:sz w:val="24"/>
              </w:rPr>
              <w:t>m</w:t>
            </w:r>
            <w:r>
              <w:rPr>
                <w:rFonts w:hint="eastAsia"/>
                <w:color w:val="auto"/>
                <w:sz w:val="24"/>
                <w:lang w:eastAsia="zh-CN"/>
              </w:rPr>
              <w:t>，</w:t>
            </w:r>
            <w:r>
              <w:rPr>
                <w:rFonts w:hint="eastAsia"/>
                <w:color w:val="auto"/>
                <w:sz w:val="24"/>
                <w:lang w:val="en-US" w:eastAsia="zh-CN"/>
              </w:rPr>
              <w:t>容积为17.28</w:t>
            </w:r>
            <w:r>
              <w:rPr>
                <w:rFonts w:hint="default" w:ascii="Times New Roman" w:hAnsi="Times New Roman" w:eastAsia="宋体" w:cs="Times New Roman"/>
                <w:color w:val="auto"/>
                <w:sz w:val="24"/>
                <w:szCs w:val="24"/>
                <w:lang w:val="en-US" w:eastAsia="zh-CN"/>
              </w:rPr>
              <w:t>m</w:t>
            </w:r>
            <w:r>
              <w:rPr>
                <w:rFonts w:hint="default" w:ascii="Times New Roman" w:hAnsi="Times New Roman" w:eastAsia="宋体" w:cs="Times New Roman"/>
                <w:color w:val="auto"/>
                <w:sz w:val="24"/>
                <w:szCs w:val="24"/>
                <w:vertAlign w:val="superscript"/>
                <w:lang w:val="en-US" w:eastAsia="zh-CN"/>
              </w:rPr>
              <w:t>3</w:t>
            </w:r>
            <w:r>
              <w:rPr>
                <w:rFonts w:hint="default" w:ascii="Times New Roman" w:hAnsi="Times New Roman" w:eastAsia="宋体" w:cs="Times New Roman"/>
                <w:color w:val="auto"/>
                <w:sz w:val="24"/>
                <w:szCs w:val="24"/>
                <w:lang w:val="en-US" w:eastAsia="zh-CN"/>
              </w:rPr>
              <w:t>，</w:t>
            </w:r>
            <w:r>
              <w:rPr>
                <w:rFonts w:hint="eastAsia"/>
                <w:color w:val="auto"/>
                <w:sz w:val="24"/>
              </w:rPr>
              <w:t>有效容积80%，即初次清洗用水量为13.83t，</w:t>
            </w:r>
            <w:r>
              <w:rPr>
                <w:rFonts w:hint="eastAsia"/>
                <w:color w:val="auto"/>
                <w:sz w:val="24"/>
                <w:lang w:val="en-US" w:eastAsia="zh-CN"/>
              </w:rPr>
              <w:t>清洗废水经沉淀定期清渣后循环使用，不外排。</w:t>
            </w:r>
            <w:r>
              <w:rPr>
                <w:rFonts w:hint="eastAsia"/>
                <w:color w:val="auto"/>
                <w:sz w:val="24"/>
                <w:szCs w:val="24"/>
                <w:lang w:val="en-US" w:eastAsia="zh-CN"/>
              </w:rPr>
              <w:t>清洗过程中会有部分水损失，主要为工件带走及蒸发损耗，根据《涂装车间设计手册》P</w:t>
            </w:r>
            <w:r>
              <w:rPr>
                <w:rFonts w:hint="eastAsia"/>
                <w:color w:val="auto"/>
                <w:sz w:val="24"/>
                <w:szCs w:val="24"/>
                <w:vertAlign w:val="subscript"/>
                <w:lang w:val="en-US" w:eastAsia="zh-CN"/>
              </w:rPr>
              <w:t>262</w:t>
            </w:r>
            <w:r>
              <w:rPr>
                <w:rFonts w:hint="eastAsia"/>
                <w:color w:val="auto"/>
                <w:sz w:val="24"/>
                <w:szCs w:val="24"/>
                <w:lang w:val="en-US" w:eastAsia="zh-CN"/>
              </w:rPr>
              <w:t>中工件清洗的耗水量一般为1.5-2.0L/m</w:t>
            </w:r>
            <w:r>
              <w:rPr>
                <w:rFonts w:hint="eastAsia"/>
                <w:color w:val="auto"/>
                <w:sz w:val="24"/>
                <w:szCs w:val="24"/>
                <w:vertAlign w:val="superscript"/>
                <w:lang w:val="en-US" w:eastAsia="zh-CN"/>
              </w:rPr>
              <w:t>2</w:t>
            </w:r>
            <w:r>
              <w:rPr>
                <w:rFonts w:hint="eastAsia"/>
                <w:color w:val="auto"/>
                <w:vertAlign w:val="baseline"/>
                <w:lang w:val="en-US" w:eastAsia="zh-CN"/>
              </w:rPr>
              <w:t>，</w:t>
            </w:r>
            <w:r>
              <w:rPr>
                <w:rFonts w:hint="eastAsia"/>
                <w:color w:val="auto"/>
                <w:sz w:val="24"/>
                <w:szCs w:val="24"/>
                <w:lang w:val="en-US" w:eastAsia="zh-CN"/>
              </w:rPr>
              <w:t>本项目为整个工件浸泡清洗，清洗总面积约为2500平方米，清洗的耗水量取2.0L/m</w:t>
            </w:r>
            <w:r>
              <w:rPr>
                <w:rFonts w:hint="eastAsia"/>
                <w:color w:val="auto"/>
                <w:sz w:val="24"/>
                <w:szCs w:val="24"/>
                <w:vertAlign w:val="superscript"/>
                <w:lang w:val="en-US" w:eastAsia="zh-CN"/>
              </w:rPr>
              <w:t>2</w:t>
            </w:r>
            <w:r>
              <w:rPr>
                <w:rFonts w:hint="eastAsia"/>
                <w:color w:val="auto"/>
                <w:sz w:val="24"/>
                <w:szCs w:val="24"/>
                <w:lang w:val="en-US" w:eastAsia="zh-CN"/>
              </w:rPr>
              <w:t>，则清洗工件带走及蒸发损耗量为5t/a，即补充用水量为5t/a。</w:t>
            </w:r>
          </w:p>
          <w:p w14:paraId="173821B9">
            <w:pPr>
              <w:widowControl/>
              <w:spacing w:line="360" w:lineRule="auto"/>
              <w:ind w:firstLine="480" w:firstLineChars="200"/>
              <w:rPr>
                <w:color w:val="auto"/>
                <w:sz w:val="24"/>
              </w:rPr>
            </w:pPr>
            <w:r>
              <w:rPr>
                <w:color w:val="auto"/>
                <w:sz w:val="24"/>
              </w:rPr>
              <w:t>本项目全厂水平衡如下图所示</w:t>
            </w:r>
            <w:r>
              <w:rPr>
                <w:rFonts w:hint="eastAsia"/>
                <w:color w:val="auto"/>
                <w:sz w:val="24"/>
              </w:rPr>
              <w:t>。</w:t>
            </w:r>
          </w:p>
          <w:p w14:paraId="57131F23">
            <w:pPr>
              <w:widowControl/>
              <w:adjustRightInd w:val="0"/>
              <w:snapToGrid w:val="0"/>
              <w:spacing w:line="360" w:lineRule="auto"/>
              <w:jc w:val="center"/>
              <w:rPr>
                <w:color w:val="auto"/>
                <w:sz w:val="24"/>
              </w:rPr>
            </w:pPr>
          </w:p>
          <w:p w14:paraId="0DF1E49E">
            <w:pPr>
              <w:widowControl/>
              <w:adjustRightInd w:val="0"/>
              <w:snapToGrid w:val="0"/>
              <w:spacing w:line="360" w:lineRule="auto"/>
              <w:jc w:val="center"/>
              <w:rPr>
                <w:color w:val="auto"/>
                <w:sz w:val="24"/>
              </w:rPr>
            </w:pPr>
          </w:p>
          <w:p w14:paraId="39B773DC">
            <w:pPr>
              <w:widowControl/>
              <w:adjustRightInd w:val="0"/>
              <w:snapToGrid w:val="0"/>
              <w:spacing w:line="360" w:lineRule="auto"/>
              <w:jc w:val="center"/>
              <w:rPr>
                <w:color w:val="auto"/>
                <w:sz w:val="24"/>
              </w:rPr>
            </w:pPr>
          </w:p>
          <w:p w14:paraId="21EA468F">
            <w:pPr>
              <w:widowControl/>
              <w:adjustRightInd w:val="0"/>
              <w:snapToGrid w:val="0"/>
              <w:spacing w:line="360" w:lineRule="auto"/>
              <w:jc w:val="center"/>
              <w:rPr>
                <w:color w:val="auto"/>
                <w:sz w:val="24"/>
              </w:rPr>
            </w:pPr>
            <w:r>
              <w:rPr>
                <w:bCs/>
                <w:color w:val="auto"/>
                <w:szCs w:val="21"/>
              </w:rPr>
              <mc:AlternateContent>
                <mc:Choice Requires="wpc">
                  <w:drawing>
                    <wp:inline distT="0" distB="0" distL="114300" distR="114300">
                      <wp:extent cx="5730240" cy="4919345"/>
                      <wp:effectExtent l="0" t="0" r="0" b="0"/>
                      <wp:docPr id="1" name="画布 1"/>
                      <wp:cNvGraphicFramePr/>
                      <a:graphic xmlns:a="http://schemas.openxmlformats.org/drawingml/2006/main">
                        <a:graphicData uri="http://schemas.microsoft.com/office/word/2010/wordprocessingCanvas">
                          <wpc:wpc>
                            <wpc:bg>
                              <a:noFill/>
                            </wpc:bg>
                            <wpc:whole>
                              <a:ln>
                                <a:noFill/>
                              </a:ln>
                            </wpc:whole>
                            <wps:wsp>
                              <wps:cNvPr id="7" name="文本框 55"/>
                              <wps:cNvSpPr txBox="1"/>
                              <wps:spPr>
                                <a:xfrm>
                                  <a:off x="103505" y="1610995"/>
                                  <a:ext cx="586105" cy="323215"/>
                                </a:xfrm>
                                <a:prstGeom prst="rect">
                                  <a:avLst/>
                                </a:prstGeom>
                                <a:noFill/>
                                <a:ln>
                                  <a:noFill/>
                                </a:ln>
                              </wps:spPr>
                              <wps:txbx>
                                <w:txbxContent>
                                  <w:p w14:paraId="3D98F95C">
                                    <w:pPr>
                                      <w:jc w:val="center"/>
                                    </w:pPr>
                                    <w:r>
                                      <w:rPr>
                                        <w:rFonts w:hint="eastAsia"/>
                                      </w:rPr>
                                      <w:t>新鲜水</w:t>
                                    </w:r>
                                  </w:p>
                                </w:txbxContent>
                              </wps:txbx>
                              <wps:bodyPr upright="1"/>
                            </wps:wsp>
                            <wps:wsp>
                              <wps:cNvPr id="8" name="文本框 56"/>
                              <wps:cNvSpPr txBox="1"/>
                              <wps:spPr>
                                <a:xfrm>
                                  <a:off x="1230630" y="409575"/>
                                  <a:ext cx="910590" cy="3175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9991C3">
                                    <w:pPr>
                                      <w:jc w:val="center"/>
                                    </w:pPr>
                                    <w:r>
                                      <w:rPr>
                                        <w:rFonts w:hint="eastAsia"/>
                                      </w:rPr>
                                      <w:t>生活废水</w:t>
                                    </w:r>
                                  </w:p>
                                </w:txbxContent>
                              </wps:txbx>
                              <wps:bodyPr upright="1"/>
                            </wps:wsp>
                            <wps:wsp>
                              <wps:cNvPr id="94" name="直接连接符 57"/>
                              <wps:cNvCnPr>
                                <a:stCxn id="93" idx="3"/>
                              </wps:cNvCnPr>
                              <wps:spPr>
                                <a:xfrm flipV="1">
                                  <a:off x="2141220" y="567690"/>
                                  <a:ext cx="1249045" cy="635"/>
                                </a:xfrm>
                                <a:prstGeom prst="line">
                                  <a:avLst/>
                                </a:prstGeom>
                                <a:ln w="9525" cap="flat" cmpd="sng">
                                  <a:solidFill>
                                    <a:srgbClr val="000000"/>
                                  </a:solidFill>
                                  <a:prstDash val="solid"/>
                                  <a:headEnd type="none" w="med" len="med"/>
                                  <a:tailEnd type="stealth" w="sm" len="med"/>
                                </a:ln>
                              </wps:spPr>
                              <wps:bodyPr/>
                            </wps:wsp>
                            <wps:wsp>
                              <wps:cNvPr id="23" name="文本框 58"/>
                              <wps:cNvSpPr txBox="1"/>
                              <wps:spPr>
                                <a:xfrm>
                                  <a:off x="4585970" y="395605"/>
                                  <a:ext cx="690245" cy="455295"/>
                                </a:xfrm>
                                <a:prstGeom prst="rect">
                                  <a:avLst/>
                                </a:prstGeom>
                                <a:solidFill>
                                  <a:srgbClr val="FFFFFF"/>
                                </a:solidFill>
                                <a:ln>
                                  <a:noFill/>
                                </a:ln>
                              </wps:spPr>
                              <wps:txbx>
                                <w:txbxContent>
                                  <w:p w14:paraId="195B3A02">
                                    <w:pPr>
                                      <w:jc w:val="center"/>
                                      <w:rPr>
                                        <w:rFonts w:hint="default" w:eastAsia="宋体"/>
                                        <w:lang w:val="en-US" w:eastAsia="zh-CN"/>
                                      </w:rPr>
                                    </w:pPr>
                                    <w:r>
                                      <w:rPr>
                                        <w:rFonts w:hint="eastAsia"/>
                                      </w:rPr>
                                      <w:t>用作</w:t>
                                    </w:r>
                                    <w:r>
                                      <w:rPr>
                                        <w:rFonts w:hint="eastAsia"/>
                                        <w:lang w:val="en-US" w:eastAsia="zh-CN"/>
                                      </w:rPr>
                                      <w:t>农田灌溉</w:t>
                                    </w:r>
                                  </w:p>
                                </w:txbxContent>
                              </wps:txbx>
                              <wps:bodyPr upright="1"/>
                            </wps:wsp>
                            <wps:wsp>
                              <wps:cNvPr id="27" name="文本框 59"/>
                              <wps:cNvSpPr txBox="1"/>
                              <wps:spPr>
                                <a:xfrm>
                                  <a:off x="716280" y="339725"/>
                                  <a:ext cx="552450" cy="311785"/>
                                </a:xfrm>
                                <a:prstGeom prst="rect">
                                  <a:avLst/>
                                </a:prstGeom>
                                <a:noFill/>
                                <a:ln>
                                  <a:noFill/>
                                </a:ln>
                              </wps:spPr>
                              <wps:txbx>
                                <w:txbxContent>
                                  <w:p w14:paraId="7168C426">
                                    <w:r>
                                      <w:rPr>
                                        <w:rFonts w:hint="eastAsia"/>
                                      </w:rPr>
                                      <w:t>180</w:t>
                                    </w:r>
                                  </w:p>
                                </w:txbxContent>
                              </wps:txbx>
                              <wps:bodyPr upright="1"/>
                            </wps:wsp>
                            <wps:wsp>
                              <wps:cNvPr id="30" name="文本框 60"/>
                              <wps:cNvSpPr txBox="1"/>
                              <wps:spPr>
                                <a:xfrm>
                                  <a:off x="2200275" y="339725"/>
                                  <a:ext cx="546100" cy="299720"/>
                                </a:xfrm>
                                <a:prstGeom prst="rect">
                                  <a:avLst/>
                                </a:prstGeom>
                                <a:noFill/>
                                <a:ln>
                                  <a:noFill/>
                                </a:ln>
                              </wps:spPr>
                              <wps:txbx>
                                <w:txbxContent>
                                  <w:p w14:paraId="3831493B">
                                    <w:r>
                                      <w:rPr>
                                        <w:rFonts w:hint="eastAsia"/>
                                      </w:rPr>
                                      <w:t>144</w:t>
                                    </w:r>
                                  </w:p>
                                </w:txbxContent>
                              </wps:txbx>
                              <wps:bodyPr upright="1"/>
                            </wps:wsp>
                            <wps:wsp>
                              <wps:cNvPr id="33" name="下弧形箭头 61"/>
                              <wps:cNvSpPr/>
                              <wps:spPr>
                                <a:xfrm>
                                  <a:off x="1341120" y="283210"/>
                                  <a:ext cx="570230" cy="104774"/>
                                </a:xfrm>
                                <a:prstGeom prst="curvedUpArrow">
                                  <a:avLst>
                                    <a:gd name="adj1" fmla="val 108849"/>
                                    <a:gd name="adj2" fmla="val 217699"/>
                                    <a:gd name="adj3" fmla="val 33333"/>
                                  </a:avLst>
                                </a:prstGeom>
                                <a:solidFill>
                                  <a:srgbClr val="FFFFFF"/>
                                </a:solidFill>
                                <a:ln w="9525" cap="flat" cmpd="sng">
                                  <a:solidFill>
                                    <a:srgbClr val="000000"/>
                                  </a:solidFill>
                                  <a:prstDash val="solid"/>
                                  <a:miter/>
                                  <a:headEnd type="none" w="med" len="med"/>
                                  <a:tailEnd type="none" w="med" len="med"/>
                                </a:ln>
                              </wps:spPr>
                              <wps:bodyPr upright="1"/>
                            </wps:wsp>
                            <wps:wsp>
                              <wps:cNvPr id="34" name="文本框 62"/>
                              <wps:cNvSpPr txBox="1"/>
                              <wps:spPr>
                                <a:xfrm>
                                  <a:off x="1525905" y="0"/>
                                  <a:ext cx="805180" cy="372745"/>
                                </a:xfrm>
                                <a:prstGeom prst="rect">
                                  <a:avLst/>
                                </a:prstGeom>
                                <a:noFill/>
                                <a:ln>
                                  <a:noFill/>
                                </a:ln>
                              </wps:spPr>
                              <wps:txbx>
                                <w:txbxContent>
                                  <w:p w14:paraId="76826A61">
                                    <w:r>
                                      <w:rPr>
                                        <w:rFonts w:hint="eastAsia"/>
                                      </w:rPr>
                                      <w:t>损耗36</w:t>
                                    </w:r>
                                  </w:p>
                                </w:txbxContent>
                              </wps:txbx>
                              <wps:bodyPr upright="1"/>
                            </wps:wsp>
                            <wps:wsp>
                              <wps:cNvPr id="35" name="直接连接符 63"/>
                              <wps:cNvCnPr/>
                              <wps:spPr>
                                <a:xfrm>
                                  <a:off x="672465" y="567690"/>
                                  <a:ext cx="569595" cy="635"/>
                                </a:xfrm>
                                <a:prstGeom prst="line">
                                  <a:avLst/>
                                </a:prstGeom>
                                <a:ln w="9525" cap="flat" cmpd="sng">
                                  <a:solidFill>
                                    <a:srgbClr val="000000"/>
                                  </a:solidFill>
                                  <a:prstDash val="solid"/>
                                  <a:headEnd type="none" w="med" len="med"/>
                                  <a:tailEnd type="stealth" w="sm" len="med"/>
                                </a:ln>
                              </wps:spPr>
                              <wps:bodyPr/>
                            </wps:wsp>
                            <wps:wsp>
                              <wps:cNvPr id="37" name="直接连接符 67"/>
                              <wps:cNvCnPr/>
                              <wps:spPr>
                                <a:xfrm>
                                  <a:off x="120650" y="1609725"/>
                                  <a:ext cx="558800" cy="0"/>
                                </a:xfrm>
                                <a:prstGeom prst="line">
                                  <a:avLst/>
                                </a:prstGeom>
                                <a:ln w="9525" cap="flat" cmpd="sng">
                                  <a:solidFill>
                                    <a:srgbClr val="000000"/>
                                  </a:solidFill>
                                  <a:prstDash val="solid"/>
                                  <a:headEnd type="none" w="med" len="med"/>
                                  <a:tailEnd type="stealth" w="sm" len="med"/>
                                </a:ln>
                              </wps:spPr>
                              <wps:bodyPr/>
                            </wps:wsp>
                            <wps:wsp>
                              <wps:cNvPr id="47" name="文本框 68"/>
                              <wps:cNvSpPr txBox="1"/>
                              <wps:spPr>
                                <a:xfrm>
                                  <a:off x="99060" y="1315085"/>
                                  <a:ext cx="680720" cy="333375"/>
                                </a:xfrm>
                                <a:prstGeom prst="rect">
                                  <a:avLst/>
                                </a:prstGeom>
                                <a:noFill/>
                                <a:ln>
                                  <a:noFill/>
                                </a:ln>
                              </wps:spPr>
                              <wps:txbx>
                                <w:txbxContent>
                                  <w:p w14:paraId="647665EF">
                                    <w:pPr>
                                      <w:rPr>
                                        <w:rFonts w:hint="default" w:eastAsia="宋体"/>
                                        <w:lang w:val="en-US" w:eastAsia="zh-CN"/>
                                      </w:rPr>
                                    </w:pPr>
                                    <w:r>
                                      <w:rPr>
                                        <w:rFonts w:hint="eastAsia"/>
                                        <w:lang w:val="en-US" w:eastAsia="zh-CN"/>
                                      </w:rPr>
                                      <w:t>761.72</w:t>
                                    </w:r>
                                  </w:p>
                                </w:txbxContent>
                              </wps:txbx>
                              <wps:bodyPr upright="1"/>
                            </wps:wsp>
                            <wps:wsp>
                              <wps:cNvPr id="52" name="文本框 69"/>
                              <wps:cNvSpPr txBox="1"/>
                              <wps:spPr>
                                <a:xfrm>
                                  <a:off x="1231265" y="1213485"/>
                                  <a:ext cx="1034415" cy="3175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65CDBD">
                                    <w:pPr>
                                      <w:jc w:val="center"/>
                                    </w:pPr>
                                    <w:r>
                                      <w:rPr>
                                        <w:rFonts w:hint="eastAsia"/>
                                      </w:rPr>
                                      <w:t>切割喷淋用水</w:t>
                                    </w:r>
                                  </w:p>
                                </w:txbxContent>
                              </wps:txbx>
                              <wps:bodyPr upright="1"/>
                            </wps:wsp>
                            <wps:wsp>
                              <wps:cNvPr id="54" name="文本框 71"/>
                              <wps:cNvSpPr txBox="1"/>
                              <wps:spPr>
                                <a:xfrm>
                                  <a:off x="685800" y="1132205"/>
                                  <a:ext cx="520700" cy="345440"/>
                                </a:xfrm>
                                <a:prstGeom prst="rect">
                                  <a:avLst/>
                                </a:prstGeom>
                                <a:noFill/>
                                <a:ln>
                                  <a:noFill/>
                                </a:ln>
                              </wps:spPr>
                              <wps:txbx>
                                <w:txbxContent>
                                  <w:p w14:paraId="3DE3B34A">
                                    <w:r>
                                      <w:rPr>
                                        <w:rFonts w:hint="eastAsia"/>
                                        <w:szCs w:val="21"/>
                                      </w:rPr>
                                      <w:t>0.72</w:t>
                                    </w:r>
                                  </w:p>
                                </w:txbxContent>
                              </wps:txbx>
                              <wps:bodyPr upright="1"/>
                            </wps:wsp>
                            <wps:wsp>
                              <wps:cNvPr id="55" name="直接连接符 72"/>
                              <wps:cNvCnPr/>
                              <wps:spPr>
                                <a:xfrm>
                                  <a:off x="671195" y="2421255"/>
                                  <a:ext cx="558800" cy="0"/>
                                </a:xfrm>
                                <a:prstGeom prst="line">
                                  <a:avLst/>
                                </a:prstGeom>
                                <a:ln w="9525" cap="flat" cmpd="sng">
                                  <a:solidFill>
                                    <a:srgbClr val="000000"/>
                                  </a:solidFill>
                                  <a:prstDash val="solid"/>
                                  <a:headEnd type="none" w="med" len="med"/>
                                  <a:tailEnd type="stealth" w="sm" len="med"/>
                                </a:ln>
                              </wps:spPr>
                              <wps:bodyPr/>
                            </wps:wsp>
                            <wps:wsp>
                              <wps:cNvPr id="56" name="文本框 74"/>
                              <wps:cNvSpPr txBox="1"/>
                              <wps:spPr>
                                <a:xfrm>
                                  <a:off x="3364865" y="398780"/>
                                  <a:ext cx="710565" cy="306705"/>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C8DB184">
                                    <w:pPr>
                                      <w:jc w:val="center"/>
                                    </w:pPr>
                                    <w:r>
                                      <w:rPr>
                                        <w:rFonts w:hint="eastAsia"/>
                                      </w:rPr>
                                      <w:t>化粪池</w:t>
                                    </w:r>
                                  </w:p>
                                </w:txbxContent>
                              </wps:txbx>
                              <wps:bodyPr upright="1"/>
                            </wps:wsp>
                            <wps:wsp>
                              <wps:cNvPr id="57" name="下弧形箭头 75"/>
                              <wps:cNvSpPr/>
                              <wps:spPr>
                                <a:xfrm>
                                  <a:off x="1444625" y="1098550"/>
                                  <a:ext cx="558800" cy="101600"/>
                                </a:xfrm>
                                <a:prstGeom prst="curvedUpArrow">
                                  <a:avLst>
                                    <a:gd name="adj1" fmla="val 110000"/>
                                    <a:gd name="adj2" fmla="val 220000"/>
                                    <a:gd name="adj3" fmla="val 33333"/>
                                  </a:avLst>
                                </a:prstGeom>
                                <a:solidFill>
                                  <a:srgbClr val="FFFFFF"/>
                                </a:solidFill>
                                <a:ln w="9525" cap="flat" cmpd="sng">
                                  <a:solidFill>
                                    <a:srgbClr val="000000"/>
                                  </a:solidFill>
                                  <a:prstDash val="solid"/>
                                  <a:miter/>
                                  <a:headEnd type="none" w="med" len="med"/>
                                  <a:tailEnd type="none" w="med" len="med"/>
                                </a:ln>
                              </wps:spPr>
                              <wps:bodyPr upright="1"/>
                            </wps:wsp>
                            <wps:wsp>
                              <wps:cNvPr id="58" name="文本框 76"/>
                              <wps:cNvSpPr txBox="1"/>
                              <wps:spPr>
                                <a:xfrm>
                                  <a:off x="1525905" y="840105"/>
                                  <a:ext cx="800100" cy="319405"/>
                                </a:xfrm>
                                <a:prstGeom prst="rect">
                                  <a:avLst/>
                                </a:prstGeom>
                                <a:noFill/>
                                <a:ln>
                                  <a:noFill/>
                                </a:ln>
                              </wps:spPr>
                              <wps:txbx>
                                <w:txbxContent>
                                  <w:p w14:paraId="47EB7D7B">
                                    <w:pPr>
                                      <w:rPr>
                                        <w:color w:val="000000" w:themeColor="text1"/>
                                        <w14:textFill>
                                          <w14:solidFill>
                                            <w14:schemeClr w14:val="tx1"/>
                                          </w14:solidFill>
                                        </w14:textFill>
                                      </w:rPr>
                                    </w:pPr>
                                    <w:r>
                                      <w:rPr>
                                        <w:rFonts w:hint="eastAsia"/>
                                        <w:color w:val="000000" w:themeColor="text1"/>
                                        <w14:textFill>
                                          <w14:solidFill>
                                            <w14:schemeClr w14:val="tx1"/>
                                          </w14:solidFill>
                                        </w14:textFill>
                                      </w:rPr>
                                      <w:t>损耗0.72</w:t>
                                    </w:r>
                                  </w:p>
                                </w:txbxContent>
                              </wps:txbx>
                              <wps:bodyPr upright="1"/>
                            </wps:wsp>
                            <wps:wsp>
                              <wps:cNvPr id="59" name="直接连接符 77"/>
                              <wps:cNvCnPr/>
                              <wps:spPr>
                                <a:xfrm>
                                  <a:off x="672465" y="1366521"/>
                                  <a:ext cx="558800" cy="0"/>
                                </a:xfrm>
                                <a:prstGeom prst="line">
                                  <a:avLst/>
                                </a:prstGeom>
                                <a:ln w="9525" cap="flat" cmpd="sng">
                                  <a:solidFill>
                                    <a:srgbClr val="000000"/>
                                  </a:solidFill>
                                  <a:prstDash val="solid"/>
                                  <a:headEnd type="none" w="med" len="med"/>
                                  <a:tailEnd type="stealth" w="sm" len="med"/>
                                </a:ln>
                              </wps:spPr>
                              <wps:bodyPr/>
                            </wps:wsp>
                            <wps:wsp>
                              <wps:cNvPr id="60" name="下弧形箭头 79"/>
                              <wps:cNvSpPr/>
                              <wps:spPr>
                                <a:xfrm>
                                  <a:off x="1574800" y="3112135"/>
                                  <a:ext cx="558800" cy="101600"/>
                                </a:xfrm>
                                <a:prstGeom prst="curvedUpArrow">
                                  <a:avLst>
                                    <a:gd name="adj1" fmla="val 110001"/>
                                    <a:gd name="adj2" fmla="val 220002"/>
                                    <a:gd name="adj3" fmla="val 33333"/>
                                  </a:avLst>
                                </a:prstGeom>
                                <a:solidFill>
                                  <a:srgbClr val="FFFFFF"/>
                                </a:solidFill>
                                <a:ln w="9525" cap="flat" cmpd="sng">
                                  <a:solidFill>
                                    <a:srgbClr val="000000"/>
                                  </a:solidFill>
                                  <a:prstDash val="solid"/>
                                  <a:miter/>
                                  <a:headEnd type="none" w="med" len="med"/>
                                  <a:tailEnd type="none" w="med" len="med"/>
                                </a:ln>
                              </wps:spPr>
                              <wps:bodyPr upright="1"/>
                            </wps:wsp>
                            <wps:wsp>
                              <wps:cNvPr id="61" name="文本框 86"/>
                              <wps:cNvSpPr txBox="1"/>
                              <wps:spPr>
                                <a:xfrm>
                                  <a:off x="3217545" y="1899285"/>
                                  <a:ext cx="389255" cy="325120"/>
                                </a:xfrm>
                                <a:prstGeom prst="rect">
                                  <a:avLst/>
                                </a:prstGeom>
                                <a:noFill/>
                                <a:ln>
                                  <a:noFill/>
                                </a:ln>
                              </wps:spPr>
                              <wps:txbx>
                                <w:txbxContent>
                                  <w:p w14:paraId="578E3A63"/>
                                </w:txbxContent>
                              </wps:txbx>
                              <wps:bodyPr upright="1"/>
                            </wps:wsp>
                            <wps:wsp>
                              <wps:cNvPr id="62" name="文本框 90"/>
                              <wps:cNvSpPr txBox="1"/>
                              <wps:spPr>
                                <a:xfrm>
                                  <a:off x="4182745" y="327025"/>
                                  <a:ext cx="702945" cy="292100"/>
                                </a:xfrm>
                                <a:prstGeom prst="rect">
                                  <a:avLst/>
                                </a:prstGeom>
                                <a:noFill/>
                                <a:ln>
                                  <a:noFill/>
                                </a:ln>
                              </wps:spPr>
                              <wps:txbx>
                                <w:txbxContent>
                                  <w:p w14:paraId="2CBFC0DE">
                                    <w:r>
                                      <w:rPr>
                                        <w:rFonts w:hint="eastAsia"/>
                                      </w:rPr>
                                      <w:t>144</w:t>
                                    </w:r>
                                  </w:p>
                                </w:txbxContent>
                              </wps:txbx>
                              <wps:bodyPr upright="1"/>
                            </wps:wsp>
                            <wps:wsp>
                              <wps:cNvPr id="63" name="文本框 73"/>
                              <wps:cNvSpPr txBox="1"/>
                              <wps:spPr>
                                <a:xfrm>
                                  <a:off x="1227455" y="2289810"/>
                                  <a:ext cx="1169670" cy="3175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260AE6E">
                                    <w:pPr>
                                      <w:jc w:val="center"/>
                                    </w:pPr>
                                    <w:r>
                                      <w:rPr>
                                        <w:rFonts w:hint="eastAsia"/>
                                      </w:rPr>
                                      <w:t>注塑冷却用水</w:t>
                                    </w:r>
                                  </w:p>
                                </w:txbxContent>
                              </wps:txbx>
                              <wps:bodyPr upright="1"/>
                            </wps:wsp>
                            <wps:wsp>
                              <wps:cNvPr id="64" name="文本框 71"/>
                              <wps:cNvSpPr txBox="1"/>
                              <wps:spPr>
                                <a:xfrm>
                                  <a:off x="741045" y="2190750"/>
                                  <a:ext cx="520700" cy="345440"/>
                                </a:xfrm>
                                <a:prstGeom prst="rect">
                                  <a:avLst/>
                                </a:prstGeom>
                                <a:noFill/>
                                <a:ln>
                                  <a:noFill/>
                                </a:ln>
                              </wps:spPr>
                              <wps:txbx>
                                <w:txbxContent>
                                  <w:p w14:paraId="75786C1B">
                                    <w:r>
                                      <w:rPr>
                                        <w:rFonts w:hint="eastAsia"/>
                                        <w:szCs w:val="21"/>
                                      </w:rPr>
                                      <w:t>480</w:t>
                                    </w:r>
                                  </w:p>
                                </w:txbxContent>
                              </wps:txbx>
                              <wps:bodyPr upright="1"/>
                            </wps:wsp>
                            <wps:wsp>
                              <wps:cNvPr id="65" name="直接连接符 8"/>
                              <wps:cNvCnPr/>
                              <wps:spPr>
                                <a:xfrm>
                                  <a:off x="675640" y="557530"/>
                                  <a:ext cx="24765" cy="3837940"/>
                                </a:xfrm>
                                <a:prstGeom prst="line">
                                  <a:avLst/>
                                </a:prstGeom>
                                <a:ln w="12700">
                                  <a:solidFill>
                                    <a:schemeClr val="tx1"/>
                                  </a:solidFill>
                                </a:ln>
                              </wps:spPr>
                              <wps:style>
                                <a:lnRef idx="2">
                                  <a:schemeClr val="accent1"/>
                                </a:lnRef>
                                <a:fillRef idx="0">
                                  <a:srgbClr val="FFFFFF"/>
                                </a:fillRef>
                                <a:effectRef idx="0">
                                  <a:srgbClr val="FFFFFF"/>
                                </a:effectRef>
                                <a:fontRef idx="minor">
                                  <a:schemeClr val="tx1"/>
                                </a:fontRef>
                              </wps:style>
                              <wps:bodyPr/>
                            </wps:wsp>
                            <wps:wsp>
                              <wps:cNvPr id="66" name="文本框 73"/>
                              <wps:cNvSpPr txBox="1"/>
                              <wps:spPr>
                                <a:xfrm>
                                  <a:off x="1276350" y="3215005"/>
                                  <a:ext cx="1320165" cy="3175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1CEA00C1">
                                    <w:pPr>
                                      <w:jc w:val="center"/>
                                    </w:pPr>
                                    <w:r>
                                      <w:rPr>
                                        <w:rFonts w:hint="eastAsia"/>
                                      </w:rPr>
                                      <w:t>热处理冷却用水</w:t>
                                    </w:r>
                                  </w:p>
                                </w:txbxContent>
                              </wps:txbx>
                              <wps:bodyPr upright="1"/>
                            </wps:wsp>
                            <wps:wsp>
                              <wps:cNvPr id="67" name="文本框 80"/>
                              <wps:cNvSpPr txBox="1"/>
                              <wps:spPr>
                                <a:xfrm>
                                  <a:off x="1914525" y="1903730"/>
                                  <a:ext cx="1824990" cy="330200"/>
                                </a:xfrm>
                                <a:prstGeom prst="rect">
                                  <a:avLst/>
                                </a:prstGeom>
                                <a:noFill/>
                                <a:ln>
                                  <a:noFill/>
                                </a:ln>
                              </wps:spPr>
                              <wps:txbx>
                                <w:txbxContent>
                                  <w:p w14:paraId="28F99701">
                                    <w:r>
                                      <w:rPr>
                                        <w:rFonts w:hint="eastAsia"/>
                                      </w:rPr>
                                      <w:t>损耗480</w:t>
                                    </w:r>
                                  </w:p>
                                </w:txbxContent>
                              </wps:txbx>
                              <wps:bodyPr upright="1"/>
                            </wps:wsp>
                            <wps:wsp>
                              <wps:cNvPr id="68" name="直接连接符 77"/>
                              <wps:cNvCnPr/>
                              <wps:spPr>
                                <a:xfrm>
                                  <a:off x="706755" y="3373120"/>
                                  <a:ext cx="558800" cy="0"/>
                                </a:xfrm>
                                <a:prstGeom prst="line">
                                  <a:avLst/>
                                </a:prstGeom>
                                <a:ln w="9525" cap="flat" cmpd="sng">
                                  <a:solidFill>
                                    <a:srgbClr val="000000"/>
                                  </a:solidFill>
                                  <a:prstDash val="solid"/>
                                  <a:headEnd type="none" w="med" len="med"/>
                                  <a:tailEnd type="stealth" w="sm" len="med"/>
                                </a:ln>
                              </wps:spPr>
                              <wps:bodyPr/>
                            </wps:wsp>
                            <wps:wsp>
                              <wps:cNvPr id="69" name="文本框 71"/>
                              <wps:cNvSpPr txBox="1"/>
                              <wps:spPr>
                                <a:xfrm>
                                  <a:off x="1962785" y="2644140"/>
                                  <a:ext cx="689610" cy="345440"/>
                                </a:xfrm>
                                <a:prstGeom prst="rect">
                                  <a:avLst/>
                                </a:prstGeom>
                                <a:noFill/>
                                <a:ln>
                                  <a:noFill/>
                                </a:ln>
                              </wps:spPr>
                              <wps:txbx>
                                <w:txbxContent>
                                  <w:p w14:paraId="2BB363EC">
                                    <w:r>
                                      <w:rPr>
                                        <w:rFonts w:hint="eastAsia"/>
                                        <w:szCs w:val="21"/>
                                      </w:rPr>
                                      <w:t>24000</w:t>
                                    </w:r>
                                  </w:p>
                                </w:txbxContent>
                              </wps:txbx>
                              <wps:bodyPr upright="1"/>
                            </wps:wsp>
                            <wps:wsp>
                              <wps:cNvPr id="70" name="肘形连接符 81"/>
                              <wps:cNvCnPr/>
                              <wps:spPr>
                                <a:xfrm flipH="1">
                                  <a:off x="1932940" y="2511425"/>
                                  <a:ext cx="457835" cy="104140"/>
                                </a:xfrm>
                                <a:prstGeom prst="bentConnector4">
                                  <a:avLst>
                                    <a:gd name="adj1" fmla="val -52009"/>
                                    <a:gd name="adj2" fmla="val 333537"/>
                                  </a:avLst>
                                </a:prstGeom>
                                <a:ln w="3175" cap="flat" cmpd="sng">
                                  <a:solidFill>
                                    <a:srgbClr val="000000"/>
                                  </a:solidFill>
                                  <a:prstDash val="solid"/>
                                  <a:miter/>
                                  <a:headEnd type="none" w="med" len="med"/>
                                  <a:tailEnd type="stealth" w="med" len="med"/>
                                </a:ln>
                              </wps:spPr>
                              <wps:bodyPr/>
                            </wps:wsp>
                            <wps:wsp>
                              <wps:cNvPr id="71" name="下弧形箭头 79"/>
                              <wps:cNvSpPr/>
                              <wps:spPr>
                                <a:xfrm>
                                  <a:off x="1584325" y="2170430"/>
                                  <a:ext cx="558800" cy="101600"/>
                                </a:xfrm>
                                <a:prstGeom prst="curvedUpArrow">
                                  <a:avLst>
                                    <a:gd name="adj1" fmla="val 110001"/>
                                    <a:gd name="adj2" fmla="val 220002"/>
                                    <a:gd name="adj3" fmla="val 33333"/>
                                  </a:avLst>
                                </a:prstGeom>
                                <a:solidFill>
                                  <a:srgbClr val="FFFFFF"/>
                                </a:solidFill>
                                <a:ln w="9525" cap="flat" cmpd="sng">
                                  <a:solidFill>
                                    <a:srgbClr val="000000"/>
                                  </a:solidFill>
                                  <a:prstDash val="solid"/>
                                  <a:miter/>
                                  <a:headEnd type="none" w="med" len="med"/>
                                  <a:tailEnd type="none" w="med" len="med"/>
                                </a:ln>
                              </wps:spPr>
                              <wps:bodyPr upright="1"/>
                            </wps:wsp>
                            <wps:wsp>
                              <wps:cNvPr id="72" name="直接连接符 72"/>
                              <wps:cNvCnPr/>
                              <wps:spPr>
                                <a:xfrm>
                                  <a:off x="4084955" y="560705"/>
                                  <a:ext cx="558800" cy="0"/>
                                </a:xfrm>
                                <a:prstGeom prst="line">
                                  <a:avLst/>
                                </a:prstGeom>
                                <a:ln w="9525" cap="flat" cmpd="sng">
                                  <a:solidFill>
                                    <a:srgbClr val="000000"/>
                                  </a:solidFill>
                                  <a:prstDash val="solid"/>
                                  <a:headEnd type="none" w="med" len="med"/>
                                  <a:tailEnd type="stealth" w="sm" len="med"/>
                                </a:ln>
                              </wps:spPr>
                              <wps:bodyPr/>
                            </wps:wsp>
                            <wps:wsp>
                              <wps:cNvPr id="73" name="文本框 71"/>
                              <wps:cNvSpPr txBox="1"/>
                              <wps:spPr>
                                <a:xfrm>
                                  <a:off x="1892935" y="1551305"/>
                                  <a:ext cx="689610" cy="260985"/>
                                </a:xfrm>
                                <a:prstGeom prst="rect">
                                  <a:avLst/>
                                </a:prstGeom>
                                <a:noFill/>
                                <a:ln>
                                  <a:noFill/>
                                </a:ln>
                              </wps:spPr>
                              <wps:txbx>
                                <w:txbxContent>
                                  <w:p w14:paraId="429551F9">
                                    <w:pPr>
                                      <w:rPr>
                                        <w:rFonts w:hint="default" w:eastAsia="宋体"/>
                                        <w:lang w:val="en-US" w:eastAsia="zh-CN"/>
                                      </w:rPr>
                                    </w:pPr>
                                    <w:r>
                                      <w:rPr>
                                        <w:rFonts w:hint="eastAsia"/>
                                        <w:szCs w:val="21"/>
                                        <w:lang w:val="en-US" w:eastAsia="zh-CN"/>
                                      </w:rPr>
                                      <w:t>2400</w:t>
                                    </w:r>
                                  </w:p>
                                </w:txbxContent>
                              </wps:txbx>
                              <wps:bodyPr upright="1"/>
                            </wps:wsp>
                            <wps:wsp>
                              <wps:cNvPr id="74" name="肘形连接符 81"/>
                              <wps:cNvCnPr/>
                              <wps:spPr>
                                <a:xfrm flipH="1">
                                  <a:off x="1823085" y="1417955"/>
                                  <a:ext cx="457835" cy="104140"/>
                                </a:xfrm>
                                <a:prstGeom prst="bentConnector4">
                                  <a:avLst>
                                    <a:gd name="adj1" fmla="val -52009"/>
                                    <a:gd name="adj2" fmla="val 333537"/>
                                  </a:avLst>
                                </a:prstGeom>
                                <a:ln w="3175" cap="flat" cmpd="sng">
                                  <a:solidFill>
                                    <a:srgbClr val="000000"/>
                                  </a:solidFill>
                                  <a:prstDash val="solid"/>
                                  <a:miter/>
                                  <a:headEnd type="none" w="med" len="med"/>
                                  <a:tailEnd type="stealth" w="med" len="med"/>
                                </a:ln>
                              </wps:spPr>
                              <wps:bodyPr/>
                            </wps:wsp>
                            <wps:wsp>
                              <wps:cNvPr id="75" name="文本框 71"/>
                              <wps:cNvSpPr txBox="1"/>
                              <wps:spPr>
                                <a:xfrm>
                                  <a:off x="774700" y="3168650"/>
                                  <a:ext cx="520700" cy="345440"/>
                                </a:xfrm>
                                <a:prstGeom prst="rect">
                                  <a:avLst/>
                                </a:prstGeom>
                                <a:noFill/>
                                <a:ln>
                                  <a:noFill/>
                                </a:ln>
                              </wps:spPr>
                              <wps:txbx>
                                <w:txbxContent>
                                  <w:p w14:paraId="4F38845A">
                                    <w:r>
                                      <w:rPr>
                                        <w:rFonts w:hint="eastAsia"/>
                                        <w:szCs w:val="21"/>
                                      </w:rPr>
                                      <w:t>96</w:t>
                                    </w:r>
                                  </w:p>
                                </w:txbxContent>
                              </wps:txbx>
                              <wps:bodyPr upright="1"/>
                            </wps:wsp>
                            <wps:wsp>
                              <wps:cNvPr id="76" name="肘形连接符 81"/>
                              <wps:cNvCnPr/>
                              <wps:spPr>
                                <a:xfrm flipH="1">
                                  <a:off x="2144395" y="3406140"/>
                                  <a:ext cx="457835" cy="104140"/>
                                </a:xfrm>
                                <a:prstGeom prst="bentConnector4">
                                  <a:avLst>
                                    <a:gd name="adj1" fmla="val -52009"/>
                                    <a:gd name="adj2" fmla="val 333537"/>
                                  </a:avLst>
                                </a:prstGeom>
                                <a:ln w="3175" cap="flat" cmpd="sng">
                                  <a:solidFill>
                                    <a:srgbClr val="000000"/>
                                  </a:solidFill>
                                  <a:prstDash val="solid"/>
                                  <a:miter/>
                                  <a:headEnd type="none" w="med" len="med"/>
                                  <a:tailEnd type="stealth" w="med" len="med"/>
                                </a:ln>
                              </wps:spPr>
                              <wps:bodyPr/>
                            </wps:wsp>
                            <wps:wsp>
                              <wps:cNvPr id="77" name="文本框 80"/>
                              <wps:cNvSpPr txBox="1"/>
                              <wps:spPr>
                                <a:xfrm>
                                  <a:off x="1965960" y="2882265"/>
                                  <a:ext cx="1824990" cy="330200"/>
                                </a:xfrm>
                                <a:prstGeom prst="rect">
                                  <a:avLst/>
                                </a:prstGeom>
                                <a:noFill/>
                                <a:ln>
                                  <a:noFill/>
                                </a:ln>
                              </wps:spPr>
                              <wps:txbx>
                                <w:txbxContent>
                                  <w:p w14:paraId="5EB3E2E3">
                                    <w:r>
                                      <w:rPr>
                                        <w:rFonts w:hint="eastAsia"/>
                                      </w:rPr>
                                      <w:t>损耗96</w:t>
                                    </w:r>
                                  </w:p>
                                </w:txbxContent>
                              </wps:txbx>
                              <wps:bodyPr upright="1"/>
                            </wps:wsp>
                            <wps:wsp>
                              <wps:cNvPr id="78" name="文本框 71"/>
                              <wps:cNvSpPr txBox="1"/>
                              <wps:spPr>
                                <a:xfrm>
                                  <a:off x="2155825" y="3538855"/>
                                  <a:ext cx="689610" cy="260985"/>
                                </a:xfrm>
                                <a:prstGeom prst="rect">
                                  <a:avLst/>
                                </a:prstGeom>
                                <a:noFill/>
                                <a:ln>
                                  <a:noFill/>
                                </a:ln>
                              </wps:spPr>
                              <wps:txbx>
                                <w:txbxContent>
                                  <w:p w14:paraId="263821DF">
                                    <w:r>
                                      <w:rPr>
                                        <w:rFonts w:hint="eastAsia"/>
                                        <w:szCs w:val="21"/>
                                      </w:rPr>
                                      <w:t>1.6</w:t>
                                    </w:r>
                                  </w:p>
                                </w:txbxContent>
                              </wps:txbx>
                              <wps:bodyPr upright="1"/>
                            </wps:wsp>
                            <wps:wsp>
                              <wps:cNvPr id="79" name="文本框 71"/>
                              <wps:cNvSpPr txBox="1"/>
                              <wps:spPr>
                                <a:xfrm>
                                  <a:off x="738505" y="4168775"/>
                                  <a:ext cx="520700" cy="345440"/>
                                </a:xfrm>
                                <a:prstGeom prst="rect">
                                  <a:avLst/>
                                </a:prstGeom>
                                <a:noFill/>
                                <a:ln>
                                  <a:noFill/>
                                </a:ln>
                              </wps:spPr>
                              <wps:txbx>
                                <w:txbxContent>
                                  <w:p w14:paraId="367810DC">
                                    <w:pPr>
                                      <w:rPr>
                                        <w:rFonts w:hint="eastAsia" w:eastAsia="宋体"/>
                                        <w:lang w:val="en-US" w:eastAsia="zh-CN"/>
                                      </w:rPr>
                                    </w:pPr>
                                    <w:r>
                                      <w:rPr>
                                        <w:rFonts w:hint="eastAsia"/>
                                        <w:szCs w:val="21"/>
                                        <w:lang w:val="en-US" w:eastAsia="zh-CN"/>
                                      </w:rPr>
                                      <w:t>5</w:t>
                                    </w:r>
                                  </w:p>
                                </w:txbxContent>
                              </wps:txbx>
                              <wps:bodyPr upright="1"/>
                            </wps:wsp>
                            <wps:wsp>
                              <wps:cNvPr id="80" name="直接连接符 63"/>
                              <wps:cNvCnPr/>
                              <wps:spPr>
                                <a:xfrm>
                                  <a:off x="703580" y="4382770"/>
                                  <a:ext cx="569595" cy="635"/>
                                </a:xfrm>
                                <a:prstGeom prst="line">
                                  <a:avLst/>
                                </a:prstGeom>
                                <a:ln w="9525" cap="flat" cmpd="sng">
                                  <a:solidFill>
                                    <a:srgbClr val="000000"/>
                                  </a:solidFill>
                                  <a:prstDash val="solid"/>
                                  <a:headEnd type="none" w="med" len="med"/>
                                  <a:tailEnd type="stealth" w="sm" len="med"/>
                                </a:ln>
                              </wps:spPr>
                              <wps:bodyPr/>
                            </wps:wsp>
                            <wps:wsp>
                              <wps:cNvPr id="81" name="文本框 73"/>
                              <wps:cNvSpPr txBox="1"/>
                              <wps:spPr>
                                <a:xfrm>
                                  <a:off x="1263015" y="4215765"/>
                                  <a:ext cx="1320165" cy="3175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6D9A098">
                                    <w:pPr>
                                      <w:jc w:val="center"/>
                                    </w:pPr>
                                    <w:r>
                                      <w:rPr>
                                        <w:rFonts w:hint="eastAsia"/>
                                      </w:rPr>
                                      <w:t>清洗用水</w:t>
                                    </w:r>
                                  </w:p>
                                </w:txbxContent>
                              </wps:txbx>
                              <wps:bodyPr upright="1"/>
                            </wps:wsp>
                            <wps:wsp>
                              <wps:cNvPr id="82" name="下弧形箭头 79"/>
                              <wps:cNvSpPr/>
                              <wps:spPr>
                                <a:xfrm>
                                  <a:off x="1632585" y="4084955"/>
                                  <a:ext cx="558800" cy="101600"/>
                                </a:xfrm>
                                <a:prstGeom prst="curvedUpArrow">
                                  <a:avLst>
                                    <a:gd name="adj1" fmla="val 110001"/>
                                    <a:gd name="adj2" fmla="val 220002"/>
                                    <a:gd name="adj3" fmla="val 33333"/>
                                  </a:avLst>
                                </a:prstGeom>
                                <a:solidFill>
                                  <a:srgbClr val="FFFFFF"/>
                                </a:solidFill>
                                <a:ln w="9525" cap="flat" cmpd="sng">
                                  <a:solidFill>
                                    <a:srgbClr val="000000"/>
                                  </a:solidFill>
                                  <a:prstDash val="solid"/>
                                  <a:miter/>
                                  <a:headEnd type="none" w="med" len="med"/>
                                  <a:tailEnd type="none" w="med" len="med"/>
                                </a:ln>
                              </wps:spPr>
                              <wps:bodyPr upright="1"/>
                            </wps:wsp>
                            <wps:wsp>
                              <wps:cNvPr id="83" name="文本框 80"/>
                              <wps:cNvSpPr txBox="1"/>
                              <wps:spPr>
                                <a:xfrm>
                                  <a:off x="2084705" y="3906520"/>
                                  <a:ext cx="1824990" cy="330200"/>
                                </a:xfrm>
                                <a:prstGeom prst="rect">
                                  <a:avLst/>
                                </a:prstGeom>
                                <a:noFill/>
                                <a:ln>
                                  <a:noFill/>
                                </a:ln>
                              </wps:spPr>
                              <wps:txbx>
                                <w:txbxContent>
                                  <w:p w14:paraId="36CE9F04">
                                    <w:pPr>
                                      <w:rPr>
                                        <w:rFonts w:hint="eastAsia" w:eastAsia="宋体"/>
                                        <w:lang w:val="en-US" w:eastAsia="zh-CN"/>
                                      </w:rPr>
                                    </w:pPr>
                                    <w:r>
                                      <w:rPr>
                                        <w:rFonts w:hint="eastAsia"/>
                                      </w:rPr>
                                      <w:t>损耗</w:t>
                                    </w:r>
                                    <w:r>
                                      <w:rPr>
                                        <w:rFonts w:hint="eastAsia"/>
                                        <w:lang w:val="en-US" w:eastAsia="zh-CN"/>
                                      </w:rPr>
                                      <w:t>5</w:t>
                                    </w:r>
                                  </w:p>
                                </w:txbxContent>
                              </wps:txbx>
                              <wps:bodyPr upright="1"/>
                            </wps:wsp>
                            <wps:wsp>
                              <wps:cNvPr id="84" name="肘形连接符 81"/>
                              <wps:cNvCnPr/>
                              <wps:spPr>
                                <a:xfrm flipH="1">
                                  <a:off x="2120265" y="4430395"/>
                                  <a:ext cx="457835" cy="104140"/>
                                </a:xfrm>
                                <a:prstGeom prst="bentConnector4">
                                  <a:avLst>
                                    <a:gd name="adj1" fmla="val -52009"/>
                                    <a:gd name="adj2" fmla="val 333537"/>
                                  </a:avLst>
                                </a:prstGeom>
                                <a:ln w="3175" cap="flat" cmpd="sng">
                                  <a:solidFill>
                                    <a:srgbClr val="000000"/>
                                  </a:solidFill>
                                  <a:prstDash val="solid"/>
                                  <a:miter/>
                                  <a:headEnd type="none" w="med" len="med"/>
                                  <a:tailEnd type="stealth" w="med" len="med"/>
                                </a:ln>
                              </wps:spPr>
                              <wps:bodyPr/>
                            </wps:wsp>
                            <wps:wsp>
                              <wps:cNvPr id="85" name="文本框 71"/>
                              <wps:cNvSpPr txBox="1"/>
                              <wps:spPr>
                                <a:xfrm>
                                  <a:off x="2263140" y="4584700"/>
                                  <a:ext cx="689610" cy="260985"/>
                                </a:xfrm>
                                <a:prstGeom prst="rect">
                                  <a:avLst/>
                                </a:prstGeom>
                                <a:noFill/>
                                <a:ln>
                                  <a:noFill/>
                                </a:ln>
                              </wps:spPr>
                              <wps:txbx>
                                <w:txbxContent>
                                  <w:p w14:paraId="18C47C05">
                                    <w:r>
                                      <w:rPr>
                                        <w:rFonts w:hint="eastAsia"/>
                                        <w:szCs w:val="21"/>
                                      </w:rPr>
                                      <w:t>13.83</w:t>
                                    </w:r>
                                  </w:p>
                                </w:txbxContent>
                              </wps:txbx>
                              <wps:bodyPr upright="1"/>
                            </wps:wsp>
                          </wpc:wpc>
                        </a:graphicData>
                      </a:graphic>
                    </wp:inline>
                  </w:drawing>
                </mc:Choice>
                <mc:Fallback>
                  <w:pict>
                    <v:group id="_x0000_s1026" o:spid="_x0000_s1026" o:spt="203" style="height:387.35pt;width:451.2pt;" coordsize="5730240,4919345" editas="canvas" o:gfxdata="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">
                      <o:lock v:ext="edit" aspectratio="f"/>
                      <v:shape id="_x0000_s1026" o:spid="_x0000_s1026" style="position:absolute;left:0;top:0;height:4919345;width:5730240;" filled="f" stroked="f" coordsize="21600,21600" o:gfxdata="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">
                        <v:fill on="f" focussize="0,0"/>
                        <v:stroke on="f"/>
                        <v:imagedata o:title=""/>
                        <o:lock v:ext="edit" aspectratio="f"/>
                      </v:shape>
                      <v:shape id="文本框 55" o:spid="_x0000_s1026" o:spt="202" type="#_x0000_t202" style="position:absolute;left:103505;top:1610995;height:323215;width:586105;"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HjVH&#10;atMAAAAFAQAADwAAAAAAAAABACAAAAAiAAAAZHJzL2Rvd25yZXYueG1sUEsBAhQAFAAAAAgAh07i&#10;QBvS+qG1AQAAWQMAAA4AAAAAAAAAAQAgAAAAIgEAAGRycy9lMm9Eb2MueG1sUEsFBgAAAAAGAAYA&#10;WQEAAEkFAAAAAA==&#10;">
                        <v:fill on="f" focussize="0,0"/>
                        <v:stroke on="f"/>
                        <v:imagedata o:title=""/>
                        <o:lock v:ext="edit" aspectratio="f"/>
                        <v:textbox>
                          <w:txbxContent>
                            <w:p w14:paraId="3D98F95C">
                              <w:pPr>
                                <w:jc w:val="center"/>
                              </w:pPr>
                              <w:r>
                                <w:rPr>
                                  <w:rFonts w:hint="eastAsia"/>
                                </w:rPr>
                                <w:t>新鲜水</w:t>
                              </w:r>
                            </w:p>
                          </w:txbxContent>
                        </v:textbox>
                      </v:shape>
                      <v:shape id="文本框 56" o:spid="_x0000_s1026" o:spt="202" type="#_x0000_t202" style="position:absolute;left:1230630;top:409575;height:317500;width:910590;" fillcolor="#FFFFFF" filled="t" stroked="t" coordsize="21600,21600" o:gfxdata="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K0GG9fWAAAABQEAAA8AAAAA&#10;AAAAAQAgAAAAIgAAAGRycy9kb3ducmV2LnhtbFBLAQIUABQAAAAIAIdO4kCcCwqqFgIAAEEEAAAO&#10;AAAAAAAAAAEAIAAAACUBAABkcnMvZTJvRG9jLnhtbFBLBQYAAAAABgAGAFkBAACtBQAAAAA=&#10;">
                        <v:fill on="t" focussize="0,0"/>
                        <v:stroke color="#000000" joinstyle="miter"/>
                        <v:imagedata o:title=""/>
                        <o:lock v:ext="edit" aspectratio="f"/>
                        <v:textbox>
                          <w:txbxContent>
                            <w:p w14:paraId="719991C3">
                              <w:pPr>
                                <w:jc w:val="center"/>
                              </w:pPr>
                              <w:r>
                                <w:rPr>
                                  <w:rFonts w:hint="eastAsia"/>
                                </w:rPr>
                                <w:t>生活废水</w:t>
                              </w:r>
                            </w:p>
                          </w:txbxContent>
                        </v:textbox>
                      </v:shape>
                      <v:line id="直接连接符 57" o:spid="_x0000_s1026" o:spt="20" style="position:absolute;left:2141220;top:567690;flip:y;height:635;width:1249045;" filled="f" stroked="t" coordsize="21600,21600" o:gfxdata="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th6bN1QAAAAUBAAAP&#10;AAAAAAAAAAEAIAAAACIAAABkcnMvZG93bnJldi54bWxQSwECFAAUAAAACACHTuJApth2ARsCAAAa&#10;BAAADgAAAAAAAAABACAAAAAkAQAAZHJzL2Uyb0RvYy54bWxQSwUGAAAAAAYABgBZAQAAsQUAAAAA&#10;">
                        <v:fill on="f" focussize="0,0"/>
                        <v:stroke color="#000000" joinstyle="round" endarrow="classic" endarrowwidth="narrow"/>
                        <v:imagedata o:title=""/>
                        <o:lock v:ext="edit" aspectratio="f"/>
                      </v:line>
                      <v:shape id="文本框 58" o:spid="_x0000_s1026" o:spt="202" type="#_x0000_t202" style="position:absolute;left:4585970;top:395605;height:455295;width:690245;" fillcolor="#FFFFFF" filled="t" stroked="f" coordsize="21600,21600" o:gfxdata="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">
                        <v:fill on="t" focussize="0,0"/>
                        <v:stroke on="f"/>
                        <v:imagedata o:title=""/>
                        <o:lock v:ext="edit" aspectratio="f"/>
                        <v:textbox>
                          <w:txbxContent>
                            <w:p w14:paraId="195B3A02">
                              <w:pPr>
                                <w:jc w:val="center"/>
                                <w:rPr>
                                  <w:rFonts w:hint="default" w:eastAsia="宋体"/>
                                  <w:lang w:val="en-US" w:eastAsia="zh-CN"/>
                                </w:rPr>
                              </w:pPr>
                              <w:r>
                                <w:rPr>
                                  <w:rFonts w:hint="eastAsia"/>
                                </w:rPr>
                                <w:t>用作</w:t>
                              </w:r>
                              <w:r>
                                <w:rPr>
                                  <w:rFonts w:hint="eastAsia"/>
                                  <w:lang w:val="en-US" w:eastAsia="zh-CN"/>
                                </w:rPr>
                                <w:t>农田灌溉</w:t>
                              </w:r>
                            </w:p>
                          </w:txbxContent>
                        </v:textbox>
                      </v:shape>
                      <v:shape id="文本框 59" o:spid="_x0000_s1026" o:spt="202" type="#_x0000_t202" style="position:absolute;left:716280;top:339725;height:311785;width:55245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HjVHatMAAAAFAQAADwAAAAAAAAABACAAAAAiAAAAZHJzL2Rvd25yZXYueG1sUEsBAhQAFAAAAAgA&#10;h07iQLJfkzG4AQAAWQMAAA4AAAAAAAAAAQAgAAAAIgEAAGRycy9lMm9Eb2MueG1sUEsFBgAAAAAG&#10;AAYAWQEAAEwFAAAAAA==&#10;">
                        <v:fill on="f" focussize="0,0"/>
                        <v:stroke on="f"/>
                        <v:imagedata o:title=""/>
                        <o:lock v:ext="edit" aspectratio="f"/>
                        <v:textbox>
                          <w:txbxContent>
                            <w:p w14:paraId="7168C426">
                              <w:r>
                                <w:rPr>
                                  <w:rFonts w:hint="eastAsia"/>
                                </w:rPr>
                                <w:t>180</w:t>
                              </w:r>
                            </w:p>
                          </w:txbxContent>
                        </v:textbox>
                      </v:shape>
                      <v:shape id="文本框 60" o:spid="_x0000_s1026" o:spt="202" type="#_x0000_t202" style="position:absolute;left:2200275;top:339725;height:299720;width:54610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B41&#10;R2rTAAAABQEAAA8AAAAAAAAAAQAgAAAAIgAAAGRycy9kb3ducmV2LnhtbFBLAQIUABQAAAAIAIdO&#10;4kCM6v5QtgEAAFoDAAAOAAAAAAAAAAEAIAAAACIBAABkcnMvZTJvRG9jLnhtbFBLBQYAAAAABgAG&#10;AFkBAABKBQAAAAA=&#10;">
                        <v:fill on="f" focussize="0,0"/>
                        <v:stroke on="f"/>
                        <v:imagedata o:title=""/>
                        <o:lock v:ext="edit" aspectratio="f"/>
                        <v:textbox>
                          <w:txbxContent>
                            <w:p w14:paraId="3831493B">
                              <w:r>
                                <w:rPr>
                                  <w:rFonts w:hint="eastAsia"/>
                                </w:rPr>
                                <w:t>144</w:t>
                              </w:r>
                            </w:p>
                          </w:txbxContent>
                        </v:textbox>
                      </v:shape>
                      <v:shape id="下弧形箭头 61" o:spid="_x0000_s1026" o:spt="104" type="#_x0000_t104" style="position:absolute;left:1341120;top:283210;height:104774;width:570230;" fillcolor="#FFFFFF" filled="t" stroked="t" coordsize="21600,21600" o:gfxdata="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r6m/iNMAAAAFAQAADwAAAAAAAAABACAA&#10;AAAiAAAAZHJzL2Rvd25yZXYueG1sUEsBAhQAFAAAAAgAh07iQGVwlMNLAgAAswQAAA4AAAAAAAAA&#10;AQAgAAAAIgEAAGRycy9lMm9Eb2MueG1sUEsFBgAAAAAGAAYAWQEAAN8FAAAAAA==&#10;" adj="12960,19440,7199">
                        <v:fill on="t" focussize="0,0"/>
                        <v:stroke color="#000000" joinstyle="miter"/>
                        <v:imagedata o:title=""/>
                        <o:lock v:ext="edit" aspectratio="f"/>
                      </v:shape>
                      <v:shape id="文本框 62" o:spid="_x0000_s1026" o:spt="202" type="#_x0000_t202" style="position:absolute;left:1525905;top:0;height:372745;width:80518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">
                        <v:fill on="f" focussize="0,0"/>
                        <v:stroke on="f"/>
                        <v:imagedata o:title=""/>
                        <o:lock v:ext="edit" aspectratio="f"/>
                        <v:textbox>
                          <w:txbxContent>
                            <w:p w14:paraId="76826A61">
                              <w:r>
                                <w:rPr>
                                  <w:rFonts w:hint="eastAsia"/>
                                </w:rPr>
                                <w:t>损耗36</w:t>
                              </w:r>
                            </w:p>
                          </w:txbxContent>
                        </v:textbox>
                      </v:shape>
                      <v:line id="直接连接符 63" o:spid="_x0000_s1026" o:spt="20" style="position:absolute;left:672465;top:567690;height:635;width:569595;" filled="f" stroked="t" coordsize="21600,21600" o:gfxdata="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KS5QJfWAAAABQEAAA8AAAAAAAAAAQAgAAAAIgAAAGRycy9kb3du&#10;cmV2LnhtbFBLAQIUABQAAAAIAIdO4kAXYgWLAQIAAOcDAAAOAAAAAAAAAAEAIAAAACUBAABkcnMv&#10;ZTJvRG9jLnhtbFBLBQYAAAAABgAGAFkBAACYBQAAAAA=&#10;">
                        <v:fill on="f" focussize="0,0"/>
                        <v:stroke color="#000000" joinstyle="round" endarrow="classic" endarrowwidth="narrow"/>
                        <v:imagedata o:title=""/>
                        <o:lock v:ext="edit" aspectratio="f"/>
                      </v:line>
                      <v:line id="直接连接符 67" o:spid="_x0000_s1026" o:spt="20" style="position:absolute;left:120650;top:1609725;height:0;width:558800;" filled="f" stroked="t" coordsize="21600,21600" o:gfxdata="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pLlAl9YAAAAFAQAADwAAAAAAAAABACAAAAAiAAAAZHJzL2Rv&#10;d25yZXYueG1sUEsBAhQAFAAAAAgAh07iQNc4i1kDAgAA5gMAAA4AAAAAAAAAAQAgAAAAJQEAAGRy&#10;cy9lMm9Eb2MueG1sUEsFBgAAAAAGAAYAWQEAAJoFAAAAAA==&#10;">
                        <v:fill on="f" focussize="0,0"/>
                        <v:stroke color="#000000" joinstyle="round" endarrow="classic" endarrowwidth="narrow"/>
                        <v:imagedata o:title=""/>
                        <o:lock v:ext="edit" aspectratio="f"/>
                      </v:line>
                      <v:shape id="文本框 68" o:spid="_x0000_s1026" o:spt="202" type="#_x0000_t202" style="position:absolute;left:99060;top:1315085;height:333375;width:68072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Ae&#10;NUdq0wAAAAUBAAAPAAAAAAAAAAEAIAAAACIAAABkcnMvZG93bnJldi54bWxQSwECFAAUAAAACACH&#10;TuJASvpPvLcBAABZAwAADgAAAAAAAAABACAAAAAiAQAAZHJzL2Uyb0RvYy54bWxQSwUGAAAAAAYA&#10;BgBZAQAASwUAAAAA&#10;">
                        <v:fill on="f" focussize="0,0"/>
                        <v:stroke on="f"/>
                        <v:imagedata o:title=""/>
                        <o:lock v:ext="edit" aspectratio="f"/>
                        <v:textbox>
                          <w:txbxContent>
                            <w:p w14:paraId="647665EF">
                              <w:pPr>
                                <w:rPr>
                                  <w:rFonts w:hint="default" w:eastAsia="宋体"/>
                                  <w:lang w:val="en-US" w:eastAsia="zh-CN"/>
                                </w:rPr>
                              </w:pPr>
                              <w:r>
                                <w:rPr>
                                  <w:rFonts w:hint="eastAsia"/>
                                  <w:lang w:val="en-US" w:eastAsia="zh-CN"/>
                                </w:rPr>
                                <w:t>761.72</w:t>
                              </w:r>
                            </w:p>
                          </w:txbxContent>
                        </v:textbox>
                      </v:shape>
                      <v:shape id="文本框 69" o:spid="_x0000_s1026" o:spt="202" type="#_x0000_t202" style="position:absolute;left:1231265;top:1213485;height:317500;width:1034415;" fillcolor="#FFFFFF" filled="t" stroked="t" coordsize="21600,21600" o:gfxdata="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K0GG9fWAAAABQEAAA8AAAAA&#10;AAAAAQAgAAAAIgAAAGRycy9kb3ducmV2LnhtbFBLAQIUABQAAAAIAIdO4kBi7meOFgIAAEQEAAAO&#10;AAAAAAAAAAEAIAAAACUBAABkcnMvZTJvRG9jLnhtbFBLBQYAAAAABgAGAFkBAACtBQAAAAA=&#10;">
                        <v:fill on="t" focussize="0,0"/>
                        <v:stroke color="#000000" joinstyle="miter"/>
                        <v:imagedata o:title=""/>
                        <o:lock v:ext="edit" aspectratio="f"/>
                        <v:textbox>
                          <w:txbxContent>
                            <w:p w14:paraId="7165CDBD">
                              <w:pPr>
                                <w:jc w:val="center"/>
                              </w:pPr>
                              <w:r>
                                <w:rPr>
                                  <w:rFonts w:hint="eastAsia"/>
                                </w:rPr>
                                <w:t>切割喷淋用水</w:t>
                              </w:r>
                            </w:p>
                          </w:txbxContent>
                        </v:textbox>
                      </v:shape>
                      <v:shape id="文本框 71" o:spid="_x0000_s1026" o:spt="202" type="#_x0000_t202" style="position:absolute;left:685800;top:1132205;height:345440;width:52070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HjVHatMAAAAFAQAADwAAAAAAAAABACAAAAAiAAAAZHJzL2Rvd25yZXYueG1sUEsBAhQAFAAAAAgA&#10;h07iQFBuVWW4AQAAWgMAAA4AAAAAAAAAAQAgAAAAIgEAAGRycy9lMm9Eb2MueG1sUEsFBgAAAAAG&#10;AAYAWQEAAEwFAAAAAA==&#10;">
                        <v:fill on="f" focussize="0,0"/>
                        <v:stroke on="f"/>
                        <v:imagedata o:title=""/>
                        <o:lock v:ext="edit" aspectratio="f"/>
                        <v:textbox>
                          <w:txbxContent>
                            <w:p w14:paraId="3DE3B34A">
                              <w:r>
                                <w:rPr>
                                  <w:rFonts w:hint="eastAsia"/>
                                  <w:szCs w:val="21"/>
                                </w:rPr>
                                <w:t>0.72</w:t>
                              </w:r>
                            </w:p>
                          </w:txbxContent>
                        </v:textbox>
                      </v:shape>
                      <v:line id="直接连接符 72" o:spid="_x0000_s1026" o:spt="20" style="position:absolute;left:671195;top:2421255;height:0;width:558800;" filled="f" stroked="t" coordsize="21600,21600" o:gfxdata="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pLlAl9YAAAAFAQAADwAAAAAAAAABACAAAAAiAAAAZHJzL2Rv&#10;d25yZXYueG1sUEsBAhQAFAAAAAgAh07iQPPAQVIDAgAA5gMAAA4AAAAAAAAAAQAgAAAAJQEAAGRy&#10;cy9lMm9Eb2MueG1sUEsFBgAAAAAGAAYAWQEAAJoFAAAAAA==&#10;">
                        <v:fill on="f" focussize="0,0"/>
                        <v:stroke color="#000000" joinstyle="round" endarrow="classic" endarrowwidth="narrow"/>
                        <v:imagedata o:title=""/>
                        <o:lock v:ext="edit" aspectratio="f"/>
                      </v:line>
                      <v:shape id="文本框 74" o:spid="_x0000_s1026" o:spt="202" type="#_x0000_t202" style="position:absolute;left:3364865;top:398780;height:306705;width:710565;" fillcolor="#FFFFFF" filled="t" stroked="t" coordsize="21600,21600" o:gfxdata="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CtBhvX1gAAAAUBAAAPAAAAAAAA&#10;AAEAIAAAACIAAABkcnMvZG93bnJldi54bWxQSwECFAAUAAAACACHTuJAkYfN3BQCAABCBAAADgAA&#10;AAAAAAABACAAAAAlAQAAZHJzL2Uyb0RvYy54bWxQSwUGAAAAAAYABgBZAQAAqwUAAAAA&#10;">
                        <v:fill on="t" focussize="0,0"/>
                        <v:stroke color="#000000" joinstyle="miter"/>
                        <v:imagedata o:title=""/>
                        <o:lock v:ext="edit" aspectratio="f"/>
                        <v:textbox>
                          <w:txbxContent>
                            <w:p w14:paraId="0C8DB184">
                              <w:pPr>
                                <w:jc w:val="center"/>
                              </w:pPr>
                              <w:r>
                                <w:rPr>
                                  <w:rFonts w:hint="eastAsia"/>
                                </w:rPr>
                                <w:t>化粪池</w:t>
                              </w:r>
                            </w:p>
                          </w:txbxContent>
                        </v:textbox>
                      </v:shape>
                      <v:shape id="下弧形箭头 75" o:spid="_x0000_s1026" o:spt="104" type="#_x0000_t104" style="position:absolute;left:1444625;top:1098550;height:101600;width:558800;" fillcolor="#FFFFFF" filled="t" stroked="t" coordsize="21600,21600" o:gfxdata="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r6m/iNMAAAAFAQAADwAAAAAAAAABACAAAAAi&#10;AAAAZHJzL2Rvd25yZXYueG1sUEsBAhQAFAAAAAgAh07iQLg84+5IAgAAtAQAAA4AAAAAAAAAAQAg&#10;AAAAIgEAAGRycy9lMm9Eb2MueG1sUEsFBgAAAAAGAAYAWQEAANwFAAAAAA==&#10;" adj="12960,19440,7199">
                        <v:fill on="t" focussize="0,0"/>
                        <v:stroke color="#000000" joinstyle="miter"/>
                        <v:imagedata o:title=""/>
                        <o:lock v:ext="edit" aspectratio="f"/>
                      </v:shape>
                      <v:shape id="文本框 76" o:spid="_x0000_s1026" o:spt="202" type="#_x0000_t202" style="position:absolute;left:1525905;top:840105;height:319405;width:80010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Ae&#10;NUdq0wAAAAUBAAAPAAAAAAAAAAEAIAAAACIAAABkcnMvZG93bnJldi54bWxQSwECFAAUAAAACACH&#10;TuJA+6Ls+LcBAABaAwAADgAAAAAAAAABACAAAAAiAQAAZHJzL2Uyb0RvYy54bWxQSwUGAAAAAAYA&#10;BgBZAQAASwUAAAAA&#10;">
                        <v:fill on="f" focussize="0,0"/>
                        <v:stroke on="f"/>
                        <v:imagedata o:title=""/>
                        <o:lock v:ext="edit" aspectratio="f"/>
                        <v:textbox>
                          <w:txbxContent>
                            <w:p w14:paraId="47EB7D7B">
                              <w:pPr>
                                <w:rPr>
                                  <w:color w:val="000000" w:themeColor="text1"/>
                                  <w14:textFill>
                                    <w14:solidFill>
                                      <w14:schemeClr w14:val="tx1"/>
                                    </w14:solidFill>
                                  </w14:textFill>
                                </w:rPr>
                              </w:pPr>
                              <w:r>
                                <w:rPr>
                                  <w:rFonts w:hint="eastAsia"/>
                                  <w:color w:val="000000" w:themeColor="text1"/>
                                  <w14:textFill>
                                    <w14:solidFill>
                                      <w14:schemeClr w14:val="tx1"/>
                                    </w14:solidFill>
                                  </w14:textFill>
                                </w:rPr>
                                <w:t>损耗0.72</w:t>
                              </w:r>
                            </w:p>
                          </w:txbxContent>
                        </v:textbox>
                      </v:shape>
                      <v:line id="直接连接符 77" o:spid="_x0000_s1026" o:spt="20" style="position:absolute;left:672465;top:1366521;height:0;width:558800;" filled="f" stroked="t" coordsize="21600,21600" o:gfxdata="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kuUCX1gAAAAUBAAAPAAAAAAAAAAEAIAAAACIAAABkcnMv&#10;ZG93bnJldi54bWxQSwECFAAUAAAACACHTuJA/pUkmQUCAADmAwAADgAAAAAAAAABACAAAAAlAQAA&#10;ZHJzL2Uyb0RvYy54bWxQSwUGAAAAAAYABgBZAQAAnAUAAAAA&#10;">
                        <v:fill on="f" focussize="0,0"/>
                        <v:stroke color="#000000" joinstyle="round" endarrow="classic" endarrowwidth="narrow"/>
                        <v:imagedata o:title=""/>
                        <o:lock v:ext="edit" aspectratio="f"/>
                      </v:line>
                      <v:shape id="下弧形箭头 79" o:spid="_x0000_s1026" o:spt="104" type="#_x0000_t104" style="position:absolute;left:1574800;top:3112135;height:101600;width:558800;" fillcolor="#FFFFFF" filled="t" stroked="t" coordsize="21600,21600" o:gfxdata="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r6m/iNMAAAAFAQAADwAAAAAAAAABACAA&#10;AAAiAAAAZHJzL2Rvd25yZXYueG1sUEsBAhQAFAAAAAgAh07iQHxW7d9LAgAAtAQAAA4AAAAAAAAA&#10;AQAgAAAAIgEAAGRycy9lMm9Eb2MueG1sUEsFBgAAAAAGAAYAWQEAAN8FAAAAAA==&#10;" adj="12960,19440,7199">
                        <v:fill on="t" focussize="0,0"/>
                        <v:stroke color="#000000" joinstyle="miter"/>
                        <v:imagedata o:title=""/>
                        <o:lock v:ext="edit" aspectratio="f"/>
                      </v:shape>
                      <v:shape id="文本框 86" o:spid="_x0000_s1026" o:spt="202" type="#_x0000_t202" style="position:absolute;left:3217545;top:1899285;height:325120;width:389255;"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eNUdq0wAAAAUBAAAPAAAAAAAAAAEAIAAAACIAAABkcnMvZG93bnJldi54bWxQSwECFAAUAAAA&#10;CACHTuJA1FeWproBAABbAwAADgAAAAAAAAABACAAAAAiAQAAZHJzL2Uyb0RvYy54bWxQSwUGAAAA&#10;AAYABgBZAQAATgUAAAAA&#10;">
                        <v:fill on="f" focussize="0,0"/>
                        <v:stroke on="f"/>
                        <v:imagedata o:title=""/>
                        <o:lock v:ext="edit" aspectratio="f"/>
                        <v:textbox>
                          <w:txbxContent>
                            <w:p w14:paraId="578E3A63"/>
                          </w:txbxContent>
                        </v:textbox>
                      </v:shape>
                      <v:shape id="文本框 90" o:spid="_x0000_s1026" o:spt="202" type="#_x0000_t202" style="position:absolute;left:4182745;top:327025;height:292100;width:702945;"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B41&#10;R2rTAAAABQEAAA8AAAAAAAAAAQAgAAAAIgAAAGRycy9kb3ducmV2LnhtbFBLAQIUABQAAAAIAIdO&#10;4kBm43m/tgEAAFoDAAAOAAAAAAAAAAEAIAAAACIBAABkcnMvZTJvRG9jLnhtbFBLBQYAAAAABgAG&#10;AFkBAABKBQAAAAA=&#10;">
                        <v:fill on="f" focussize="0,0"/>
                        <v:stroke on="f"/>
                        <v:imagedata o:title=""/>
                        <o:lock v:ext="edit" aspectratio="f"/>
                        <v:textbox>
                          <w:txbxContent>
                            <w:p w14:paraId="2CBFC0DE">
                              <w:r>
                                <w:rPr>
                                  <w:rFonts w:hint="eastAsia"/>
                                </w:rPr>
                                <w:t>144</w:t>
                              </w:r>
                            </w:p>
                          </w:txbxContent>
                        </v:textbox>
                      </v:shape>
                      <v:shape id="文本框 73" o:spid="_x0000_s1026" o:spt="202" type="#_x0000_t202" style="position:absolute;left:1227455;top:2289810;height:317500;width:1169670;" fillcolor="#FFFFFF" filled="t" stroked="t" coordsize="21600,21600" o:gfxdata="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rQYb19YAAAAFAQAADwAA&#10;AAAAAAABACAAAAAiAAAAZHJzL2Rvd25yZXYueG1sUEsBAhQAFAAAAAgAh07iQEZLnNkYAgAARAQA&#10;AA4AAAAAAAAAAQAgAAAAJQEAAGRycy9lMm9Eb2MueG1sUEsFBgAAAAAGAAYAWQEAAK8FAAAAAA==&#10;">
                        <v:fill on="t" focussize="0,0"/>
                        <v:stroke color="#000000" joinstyle="miter"/>
                        <v:imagedata o:title=""/>
                        <o:lock v:ext="edit" aspectratio="f"/>
                        <v:textbox>
                          <w:txbxContent>
                            <w:p w14:paraId="2260AE6E">
                              <w:pPr>
                                <w:jc w:val="center"/>
                              </w:pPr>
                              <w:r>
                                <w:rPr>
                                  <w:rFonts w:hint="eastAsia"/>
                                </w:rPr>
                                <w:t>注塑冷却用水</w:t>
                              </w:r>
                            </w:p>
                          </w:txbxContent>
                        </v:textbox>
                      </v:shape>
                      <v:shape id="文本框 71" o:spid="_x0000_s1026" o:spt="202" type="#_x0000_t202" style="position:absolute;left:741045;top:2190750;height:345440;width:52070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B41R2rTAAAABQEAAA8AAAAAAAAAAQAgAAAAIgAAAGRycy9kb3ducmV2LnhtbFBLAQIUABQAAAAI&#10;AIdO4kAjnD5quQEAAFoDAAAOAAAAAAAAAAEAIAAAACIBAABkcnMvZTJvRG9jLnhtbFBLBQYAAAAA&#10;BgAGAFkBAABNBQAAAAA=&#10;">
                        <v:fill on="f" focussize="0,0"/>
                        <v:stroke on="f"/>
                        <v:imagedata o:title=""/>
                        <o:lock v:ext="edit" aspectratio="f"/>
                        <v:textbox>
                          <w:txbxContent>
                            <w:p w14:paraId="75786C1B">
                              <w:r>
                                <w:rPr>
                                  <w:rFonts w:hint="eastAsia"/>
                                  <w:szCs w:val="21"/>
                                </w:rPr>
                                <w:t>480</w:t>
                              </w:r>
                            </w:p>
                          </w:txbxContent>
                        </v:textbox>
                      </v:shape>
                      <v:line id="直接连接符 8" o:spid="_x0000_s1026" o:spt="20" style="position:absolute;left:675640;top:557530;height:3837940;width:24765;" filled="f" stroked="t" coordsize="21600,21600" o:gfxdata="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D1pRpq1gAAAAUBAAAPAAAAAAAAAAEAIAAAACIAAABkcnMvZG93bnJldi54bWxQSwECFAAU&#10;AAAACACHTuJANX+WyfMBAADBAwAADgAAAAAAAAABACAAAAAlAQAAZHJzL2Uyb0RvYy54bWxQSwUG&#10;AAAAAAYABgBZAQAAigUAAAAA&#10;">
                        <v:fill on="f" focussize="0,0"/>
                        <v:stroke weight="1pt" color="#000000 [3213]" miterlimit="8" joinstyle="miter"/>
                        <v:imagedata o:title=""/>
                        <o:lock v:ext="edit" aspectratio="f"/>
                      </v:line>
                      <v:shape id="文本框 73" o:spid="_x0000_s1026" o:spt="202" type="#_x0000_t202" style="position:absolute;left:1276350;top:3215005;height:317500;width:1320165;" fillcolor="#FFFFFF" filled="t" stroked="t" coordsize="21600,21600" o:gfxdata="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K0GG9fWAAAABQEAAA8AAAAAAAAA&#10;AQAgAAAAIgAAAGRycy9kb3ducmV2LnhtbFBLAQIUABQAAAAIAIdO4kBlU3efEwIAAEQEAAAOAAAA&#10;AAAAAAEAIAAAACUBAABkcnMvZTJvRG9jLnhtbFBLBQYAAAAABgAGAFkBAACqBQAAAAA=&#10;">
                        <v:fill on="t" focussize="0,0"/>
                        <v:stroke color="#000000" joinstyle="miter"/>
                        <v:imagedata o:title=""/>
                        <o:lock v:ext="edit" aspectratio="f"/>
                        <v:textbox>
                          <w:txbxContent>
                            <w:p w14:paraId="1CEA00C1">
                              <w:pPr>
                                <w:jc w:val="center"/>
                              </w:pPr>
                              <w:r>
                                <w:rPr>
                                  <w:rFonts w:hint="eastAsia"/>
                                </w:rPr>
                                <w:t>热处理冷却用水</w:t>
                              </w:r>
                            </w:p>
                          </w:txbxContent>
                        </v:textbox>
                      </v:shape>
                      <v:shape id="文本框 80" o:spid="_x0000_s1026" o:spt="202" type="#_x0000_t202" style="position:absolute;left:1914525;top:1903730;height:330200;width:182499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Ae&#10;NUdq0wAAAAUBAAAPAAAAAAAAAAEAIAAAACIAAABkcnMvZG93bnJldi54bWxQSwECFAAUAAAACACH&#10;TuJA0bLYbLcBAABcAwAADgAAAAAAAAABACAAAAAiAQAAZHJzL2Uyb0RvYy54bWxQSwUGAAAAAAYA&#10;BgBZAQAASwUAAAAA&#10;">
                        <v:fill on="f" focussize="0,0"/>
                        <v:stroke on="f"/>
                        <v:imagedata o:title=""/>
                        <o:lock v:ext="edit" aspectratio="f"/>
                        <v:textbox>
                          <w:txbxContent>
                            <w:p w14:paraId="28F99701">
                              <w:r>
                                <w:rPr>
                                  <w:rFonts w:hint="eastAsia"/>
                                </w:rPr>
                                <w:t>损耗480</w:t>
                              </w:r>
                            </w:p>
                          </w:txbxContent>
                        </v:textbox>
                      </v:shape>
                      <v:line id="直接连接符 77" o:spid="_x0000_s1026" o:spt="20" style="position:absolute;left:706755;top:3373120;height:0;width:558800;" filled="f" stroked="t" coordsize="21600,21600" o:gfxdata="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S5QJfWAAAABQEAAA8AAAAAAAAAAQAgAAAAIgAAAGRycy9k&#10;b3ducmV2LnhtbFBLAQIUABQAAAAIAIdO4kAkntn9BAIAAOYDAAAOAAAAAAAAAAEAIAAAACUBAABk&#10;cnMvZTJvRG9jLnhtbFBLBQYAAAAABgAGAFkBAACbBQAAAAA=&#10;">
                        <v:fill on="f" focussize="0,0"/>
                        <v:stroke color="#000000" joinstyle="round" endarrow="classic" endarrowwidth="narrow"/>
                        <v:imagedata o:title=""/>
                        <o:lock v:ext="edit" aspectratio="f"/>
                      </v:line>
                      <v:shape id="文本框 71" o:spid="_x0000_s1026" o:spt="202" type="#_x0000_t202" style="position:absolute;left:1962785;top:2644140;height:345440;width:68961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B41R2rTAAAABQEAAA8AAAAAAAAAAQAgAAAAIgAAAGRycy9kb3ducmV2LnhtbFBLAQIUABQAAAAI&#10;AIdO4kBMfzxruQEAAFsDAAAOAAAAAAAAAAEAIAAAACIBAABkcnMvZTJvRG9jLnhtbFBLBQYAAAAA&#10;BgAGAFkBAABNBQAAAAA=&#10;">
                        <v:fill on="f" focussize="0,0"/>
                        <v:stroke on="f"/>
                        <v:imagedata o:title=""/>
                        <o:lock v:ext="edit" aspectratio="f"/>
                        <v:textbox>
                          <w:txbxContent>
                            <w:p w14:paraId="2BB363EC">
                              <w:r>
                                <w:rPr>
                                  <w:rFonts w:hint="eastAsia"/>
                                  <w:szCs w:val="21"/>
                                </w:rPr>
                                <w:t>24000</w:t>
                              </w:r>
                            </w:p>
                          </w:txbxContent>
                        </v:textbox>
                      </v:shape>
                      <v:shape id="肘形连接符 81" o:spid="_x0000_s1026" o:spt="35" type="#_x0000_t35" style="position:absolute;left:1932940;top:2511425;flip:x;height:104140;width:457835;" filled="f" stroked="t" coordsize="21600,21600" o:gfxdata="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mbhoY9UAAAAFAQAADwAAAAAAAAABACAAAAAiAAAA&#10;ZHJzL2Rvd25yZXYueG1sUEsBAhQAFAAAAAgAh07iQAHMqp1DAgAAXgQAAA4AAAAAAAAAAQAgAAAA&#10;JAEAAGRycy9lMm9Eb2MueG1sUEsFBgAAAAAGAAYAWQEAANkFAAAAAA==&#10;" adj="-11234,72044">
                        <v:fill on="f" focussize="0,0"/>
                        <v:stroke weight="0.25pt" color="#000000" joinstyle="miter" endarrow="classic"/>
                        <v:imagedata o:title=""/>
                        <o:lock v:ext="edit" aspectratio="f"/>
                      </v:shape>
                      <v:shape id="下弧形箭头 79" o:spid="_x0000_s1026" o:spt="104" type="#_x0000_t104" style="position:absolute;left:1584325;top:2170430;height:101600;width:558800;" fillcolor="#FFFFFF" filled="t" stroked="t" coordsize="21600,21600" o:gfxdata="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r6m/iNMAAAAFAQAADwAAAAAAAAABACAA&#10;AAAiAAAAZHJzL2Rvd25yZXYueG1sUEsBAhQAFAAAAAgAh07iQKeJp6VLAgAAtAQAAA4AAAAAAAAA&#10;AQAgAAAAIgEAAGRycy9lMm9Eb2MueG1sUEsFBgAAAAAGAAYAWQEAAN8FAAAAAA==&#10;" adj="12960,19440,7199">
                        <v:fill on="t" focussize="0,0"/>
                        <v:stroke color="#000000" joinstyle="miter"/>
                        <v:imagedata o:title=""/>
                        <o:lock v:ext="edit" aspectratio="f"/>
                      </v:shape>
                      <v:line id="_x0000_s1026" o:spid="_x0000_s1026" o:spt="20" style="position:absolute;left:4084955;top:560705;height:0;width:558800;" filled="f" stroked="t" coordsize="21600,21600" o:gfxdata="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kuUCX1gAAAAUBAAAPAAAAAAAAAAEAIAAAACIAAABkcnMv&#10;ZG93bnJldi54bWxQSwECFAAUAAAACACHTuJAWGJ/3wUCAADmAwAADgAAAAAAAAABACAAAAAlAQAA&#10;ZHJzL2Uyb0RvYy54bWxQSwUGAAAAAAYABgBZAQAAnAUAAAAA&#10;">
                        <v:fill on="f" focussize="0,0"/>
                        <v:stroke color="#000000" joinstyle="round" endarrow="classic" endarrowwidth="narrow"/>
                        <v:imagedata o:title=""/>
                        <o:lock v:ext="edit" aspectratio="f"/>
                      </v:line>
                      <v:shape id="文本框 71" o:spid="_x0000_s1026" o:spt="202" type="#_x0000_t202" style="position:absolute;left:1892935;top:1551305;height:260985;width:68961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eNUdq0wAAAAUBAAAPAAAAAAAAAAEAIAAAACIAAABkcnMvZG93bnJldi54bWxQSwECFAAUAAAA&#10;CACHTuJAwAqyJ7oBAABbAwAADgAAAAAAAAABACAAAAAiAQAAZHJzL2Uyb0RvYy54bWxQSwUGAAAA&#10;AAYABgBZAQAATgUAAAAA&#10;">
                        <v:fill on="f" focussize="0,0"/>
                        <v:stroke on="f"/>
                        <v:imagedata o:title=""/>
                        <o:lock v:ext="edit" aspectratio="f"/>
                        <v:textbox>
                          <w:txbxContent>
                            <w:p w14:paraId="429551F9">
                              <w:pPr>
                                <w:rPr>
                                  <w:rFonts w:hint="default" w:eastAsia="宋体"/>
                                  <w:lang w:val="en-US" w:eastAsia="zh-CN"/>
                                </w:rPr>
                              </w:pPr>
                              <w:r>
                                <w:rPr>
                                  <w:rFonts w:hint="eastAsia"/>
                                  <w:szCs w:val="21"/>
                                  <w:lang w:val="en-US" w:eastAsia="zh-CN"/>
                                </w:rPr>
                                <w:t>2400</w:t>
                              </w:r>
                            </w:p>
                          </w:txbxContent>
                        </v:textbox>
                      </v:shape>
                      <v:shape id="肘形连接符 81" o:spid="_x0000_s1026" o:spt="35" type="#_x0000_t35" style="position:absolute;left:1823085;top:1417955;flip:x;height:104140;width:457835;" filled="f" stroked="t" coordsize="21600,21600" o:gfxdata="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&#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ZuGhj1QAAAAUBAAAPAAAAAAAAAAEAIAAAACIAAABk&#10;cnMvZG93bnJldi54bWxQSwECFAAUAAAACACHTuJAsw6fAEICAABeBAAADgAAAAAAAAABACAAAAAk&#10;AQAAZHJzL2Uyb0RvYy54bWxQSwUGAAAAAAYABgBZAQAA2AUAAAAA&#10;" adj="-11234,72044">
                        <v:fill on="f" focussize="0,0"/>
                        <v:stroke weight="0.25pt" color="#000000" joinstyle="miter" endarrow="classic"/>
                        <v:imagedata o:title=""/>
                        <o:lock v:ext="edit" aspectratio="f"/>
                      </v:shape>
                      <v:shape id="文本框 71" o:spid="_x0000_s1026" o:spt="202" type="#_x0000_t202" style="position:absolute;left:774700;top:3168650;height:345440;width:52070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">
                        <v:fill on="f" focussize="0,0"/>
                        <v:stroke on="f"/>
                        <v:imagedata o:title=""/>
                        <o:lock v:ext="edit" aspectratio="f"/>
                        <v:textbox>
                          <w:txbxContent>
                            <w:p w14:paraId="4F38845A">
                              <w:r>
                                <w:rPr>
                                  <w:rFonts w:hint="eastAsia"/>
                                  <w:szCs w:val="21"/>
                                </w:rPr>
                                <w:t>96</w:t>
                              </w:r>
                            </w:p>
                          </w:txbxContent>
                        </v:textbox>
                      </v:shape>
                      <v:shape id="肘形连接符 81" o:spid="_x0000_s1026" o:spt="35" type="#_x0000_t35" style="position:absolute;left:2144395;top:3406140;flip:x;height:104140;width:457835;" filled="f" stroked="t" coordsize="21600,21600" o:gfxdata="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m4aGPVAAAABQEAAA8AAAAAAAAAAQAgAAAAIgAAAGRy&#10;cy9kb3ducmV2LnhtbFBLAQIUABQAAAAIAIdO4kAZnFeJQQIAAF4EAAAOAAAAAAAAAAEAIAAAACQB&#10;AABkcnMvZTJvRG9jLnhtbFBLBQYAAAAABgAGAFkBAADXBQAAAAA=&#10;" adj="-11234,72044">
                        <v:fill on="f" focussize="0,0"/>
                        <v:stroke weight="0.25pt" color="#000000" joinstyle="miter" endarrow="classic"/>
                        <v:imagedata o:title=""/>
                        <o:lock v:ext="edit" aspectratio="f"/>
                      </v:shape>
                      <v:shape id="文本框 80" o:spid="_x0000_s1026" o:spt="202" type="#_x0000_t202" style="position:absolute;left:1965960;top:2882265;height:330200;width:182499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HjVHatMAAAAFAQAADwAAAAAAAAABACAAAAAiAAAAZHJzL2Rvd25yZXYueG1sUEsBAhQAFAAAAAgA&#10;h07iQJynBge4AQAAXAMAAA4AAAAAAAAAAQAgAAAAIgEAAGRycy9lMm9Eb2MueG1sUEsFBgAAAAAG&#10;AAYAWQEAAEwFAAAAAA==&#10;">
                        <v:fill on="f" focussize="0,0"/>
                        <v:stroke on="f"/>
                        <v:imagedata o:title=""/>
                        <o:lock v:ext="edit" aspectratio="f"/>
                        <v:textbox>
                          <w:txbxContent>
                            <w:p w14:paraId="5EB3E2E3">
                              <w:r>
                                <w:rPr>
                                  <w:rFonts w:hint="eastAsia"/>
                                </w:rPr>
                                <w:t>损耗96</w:t>
                              </w:r>
                            </w:p>
                          </w:txbxContent>
                        </v:textbox>
                      </v:shape>
                      <v:shape id="文本框 71" o:spid="_x0000_s1026" o:spt="202" type="#_x0000_t202" style="position:absolute;left:2155825;top:3538855;height:260985;width:68961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HjVHatMAAAAFAQAADwAAAAAAAAABACAAAAAiAAAAZHJzL2Rvd25yZXYueG1sUEsBAhQAFAAA&#10;AAgAh07iQHRnth67AQAAWwMAAA4AAAAAAAAAAQAgAAAAIgEAAGRycy9lMm9Eb2MueG1sUEsFBgAA&#10;AAAGAAYAWQEAAE8FAAAAAA==&#10;">
                        <v:fill on="f" focussize="0,0"/>
                        <v:stroke on="f"/>
                        <v:imagedata o:title=""/>
                        <o:lock v:ext="edit" aspectratio="f"/>
                        <v:textbox>
                          <w:txbxContent>
                            <w:p w14:paraId="263821DF">
                              <w:r>
                                <w:rPr>
                                  <w:rFonts w:hint="eastAsia"/>
                                  <w:szCs w:val="21"/>
                                </w:rPr>
                                <w:t>1.6</w:t>
                              </w:r>
                            </w:p>
                          </w:txbxContent>
                        </v:textbox>
                      </v:shape>
                      <v:shape id="文本框 71" o:spid="_x0000_s1026" o:spt="202" type="#_x0000_t202" style="position:absolute;left:738505;top:4168775;height:345440;width:52070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">
                        <v:fill on="f" focussize="0,0"/>
                        <v:stroke on="f"/>
                        <v:imagedata o:title=""/>
                        <o:lock v:ext="edit" aspectratio="f"/>
                        <v:textbox>
                          <w:txbxContent>
                            <w:p w14:paraId="367810DC">
                              <w:pPr>
                                <w:rPr>
                                  <w:rFonts w:hint="eastAsia" w:eastAsia="宋体"/>
                                  <w:lang w:val="en-US" w:eastAsia="zh-CN"/>
                                </w:rPr>
                              </w:pPr>
                              <w:r>
                                <w:rPr>
                                  <w:rFonts w:hint="eastAsia"/>
                                  <w:szCs w:val="21"/>
                                  <w:lang w:val="en-US" w:eastAsia="zh-CN"/>
                                </w:rPr>
                                <w:t>5</w:t>
                              </w:r>
                            </w:p>
                          </w:txbxContent>
                        </v:textbox>
                      </v:shape>
                      <v:line id="直接连接符 63" o:spid="_x0000_s1026" o:spt="20" style="position:absolute;left:703580;top:4382770;height:635;width:569595;" filled="f" stroked="t" coordsize="21600,21600" o:gfxdata="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kuUCX1gAAAAUBAAAPAAAAAAAAAAEAIAAAACIAAABkcnMvZG93&#10;bnJldi54bWxQSwECFAAUAAAACACHTuJAS9USCgICAADoAwAADgAAAAAAAAABACAAAAAlAQAAZHJz&#10;L2Uyb0RvYy54bWxQSwUGAAAAAAYABgBZAQAAmQUAAAAA&#10;">
                        <v:fill on="f" focussize="0,0"/>
                        <v:stroke color="#000000" joinstyle="round" endarrow="classic" endarrowwidth="narrow"/>
                        <v:imagedata o:title=""/>
                        <o:lock v:ext="edit" aspectratio="f"/>
                      </v:line>
                      <v:shape id="文本框 73" o:spid="_x0000_s1026" o:spt="202" type="#_x0000_t202" style="position:absolute;left:1263015;top:4215765;height:317500;width:1320165;" fillcolor="#FFFFFF" filled="t" stroked="t" coordsize="21600,21600" o:gfxdata="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CtBhvX1gAAAAUBAAAPAAAA&#10;AAAAAAEAIAAAACIAAABkcnMvZG93bnJldi54bWxQSwECFAAUAAAACACHTuJA/AZNdhcCAABEBAAA&#10;DgAAAAAAAAABACAAAAAlAQAAZHJzL2Uyb0RvYy54bWxQSwUGAAAAAAYABgBZAQAArgUAAAAA&#10;">
                        <v:fill on="t" focussize="0,0"/>
                        <v:stroke color="#000000" joinstyle="miter"/>
                        <v:imagedata o:title=""/>
                        <o:lock v:ext="edit" aspectratio="f"/>
                        <v:textbox>
                          <w:txbxContent>
                            <w:p w14:paraId="36D9A098">
                              <w:pPr>
                                <w:jc w:val="center"/>
                              </w:pPr>
                              <w:r>
                                <w:rPr>
                                  <w:rFonts w:hint="eastAsia"/>
                                </w:rPr>
                                <w:t>清洗用水</w:t>
                              </w:r>
                            </w:p>
                          </w:txbxContent>
                        </v:textbox>
                      </v:shape>
                      <v:shape id="下弧形箭头 79" o:spid="_x0000_s1026" o:spt="104" type="#_x0000_t104" style="position:absolute;left:1632585;top:4084955;height:101600;width:558800;" fillcolor="#FFFFFF" filled="t" stroked="t" coordsize="21600,21600" o:gfxdata="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K+pv4jTAAAABQEAAA8AAAAAAAAA&#10;AQAgAAAAIgAAAGRycy9kb3ducmV2LnhtbFBLAQIUABQAAAAIAIdO4kDi/NejTwIAALQEAAAOAAAA&#10;AAAAAAEAIAAAACIBAABkcnMvZTJvRG9jLnhtbFBLBQYAAAAABgAGAFkBAADjBQAAAAA=&#10;" adj="12960,19440,7199">
                        <v:fill on="t" focussize="0,0"/>
                        <v:stroke color="#000000" joinstyle="miter"/>
                        <v:imagedata o:title=""/>
                        <o:lock v:ext="edit" aspectratio="f"/>
                      </v:shape>
                      <v:shape id="文本框 80" o:spid="_x0000_s1026" o:spt="202" type="#_x0000_t202" style="position:absolute;left:2084705;top:3906520;height:330200;width:182499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B41R2rTAAAABQEAAA8AAAAAAAAAAQAgAAAAIgAAAGRycy9kb3ducmV2LnhtbFBLAQIUABQAAAAI&#10;AIdO4kBn+2v6uQEAAFwDAAAOAAAAAAAAAAEAIAAAACIBAABkcnMvZTJvRG9jLnhtbFBLBQYAAAAA&#10;BgAGAFkBAABNBQAAAAA=&#10;">
                        <v:fill on="f" focussize="0,0"/>
                        <v:stroke on="f"/>
                        <v:imagedata o:title=""/>
                        <o:lock v:ext="edit" aspectratio="f"/>
                        <v:textbox>
                          <w:txbxContent>
                            <w:p w14:paraId="36CE9F04">
                              <w:pPr>
                                <w:rPr>
                                  <w:rFonts w:hint="eastAsia" w:eastAsia="宋体"/>
                                  <w:lang w:val="en-US" w:eastAsia="zh-CN"/>
                                </w:rPr>
                              </w:pPr>
                              <w:r>
                                <w:rPr>
                                  <w:rFonts w:hint="eastAsia"/>
                                </w:rPr>
                                <w:t>损耗</w:t>
                              </w:r>
                              <w:r>
                                <w:rPr>
                                  <w:rFonts w:hint="eastAsia"/>
                                  <w:lang w:val="en-US" w:eastAsia="zh-CN"/>
                                </w:rPr>
                                <w:t>5</w:t>
                              </w:r>
                            </w:p>
                          </w:txbxContent>
                        </v:textbox>
                      </v:shape>
                      <v:shape id="肘形连接符 81" o:spid="_x0000_s1026" o:spt="35" type="#_x0000_t35" style="position:absolute;left:2120265;top:4430395;flip:x;height:104140;width:457835;" filled="f" stroked="t" coordsize="21600,21600" o:gfxdata="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mbhoY9UAAAAFAQAADwAAAAAAAAABACAAAAAiAAAA&#10;ZHJzL2Rvd25yZXYueG1sUEsBAhQAFAAAAAgAh07iQN0FaVZDAgAAXgQAAA4AAAAAAAAAAQAgAAAA&#10;JAEAAGRycy9lMm9Eb2MueG1sUEsFBgAAAAAGAAYAWQEAANkFAAAAAA==&#10;" adj="-11234,72044">
                        <v:fill on="f" focussize="0,0"/>
                        <v:stroke weight="0.25pt" color="#000000" joinstyle="miter" endarrow="classic"/>
                        <v:imagedata o:title=""/>
                        <o:lock v:ext="edit" aspectratio="f"/>
                      </v:shape>
                      <v:shape id="文本框 71" o:spid="_x0000_s1026" o:spt="202" type="#_x0000_t202" style="position:absolute;left:2263140;top:4584700;height:260985;width:689610;" filled="f" stroked="f" coordsize="21600,21600" o:gfxdata="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AeNUdq0wAAAAUBAAAPAAAAAAAAAAEAIAAAACIAAABkcnMvZG93bnJldi54bWxQSwECFAAUAAAA&#10;CACHTuJAb6BZZboBAABbAwAADgAAAAAAAAABACAAAAAiAQAAZHJzL2Uyb0RvYy54bWxQSwUGAAAA&#10;AAYABgBZAQAATgUAAAAA&#10;">
                        <v:fill on="f" focussize="0,0"/>
                        <v:stroke on="f"/>
                        <v:imagedata o:title=""/>
                        <o:lock v:ext="edit" aspectratio="f"/>
                        <v:textbox>
                          <w:txbxContent>
                            <w:p w14:paraId="18C47C05">
                              <w:r>
                                <w:rPr>
                                  <w:rFonts w:hint="eastAsia"/>
                                  <w:szCs w:val="21"/>
                                </w:rPr>
                                <w:t>13.83</w:t>
                              </w:r>
                            </w:p>
                          </w:txbxContent>
                        </v:textbox>
                      </v:shape>
                      <w10:wrap type="none"/>
                      <w10:anchorlock/>
                    </v:group>
                  </w:pict>
                </mc:Fallback>
              </mc:AlternateContent>
            </w:r>
          </w:p>
          <w:p w14:paraId="173821BB">
            <w:pPr>
              <w:widowControl/>
              <w:adjustRightInd w:val="0"/>
              <w:snapToGrid w:val="0"/>
              <w:ind w:firstLine="482" w:firstLineChars="200"/>
              <w:jc w:val="center"/>
              <w:rPr>
                <w:b/>
                <w:bCs/>
                <w:color w:val="auto"/>
                <w:sz w:val="24"/>
              </w:rPr>
            </w:pPr>
            <w:r>
              <w:rPr>
                <w:b/>
                <w:bCs/>
                <w:color w:val="auto"/>
                <w:sz w:val="24"/>
              </w:rPr>
              <w:t>图2-</w:t>
            </w:r>
            <w:r>
              <w:rPr>
                <w:rFonts w:hint="eastAsia"/>
                <w:b/>
                <w:bCs/>
                <w:color w:val="auto"/>
                <w:sz w:val="24"/>
              </w:rPr>
              <w:t>1 本项目</w:t>
            </w:r>
            <w:r>
              <w:rPr>
                <w:b/>
                <w:bCs/>
                <w:color w:val="auto"/>
                <w:sz w:val="24"/>
              </w:rPr>
              <w:t>水平衡</w:t>
            </w:r>
            <w:r>
              <w:rPr>
                <w:rFonts w:hint="eastAsia"/>
                <w:b/>
                <w:bCs/>
                <w:color w:val="auto"/>
                <w:sz w:val="24"/>
              </w:rPr>
              <w:t xml:space="preserve">图  </w:t>
            </w:r>
            <w:r>
              <w:rPr>
                <w:b/>
                <w:bCs/>
                <w:color w:val="auto"/>
                <w:sz w:val="24"/>
              </w:rPr>
              <w:t>单位：t/a</w:t>
            </w:r>
          </w:p>
          <w:p w14:paraId="173821BC">
            <w:pPr>
              <w:adjustRightInd w:val="0"/>
              <w:snapToGrid w:val="0"/>
              <w:spacing w:before="120" w:beforeLines="50" w:line="360" w:lineRule="auto"/>
              <w:ind w:firstLine="482" w:firstLineChars="200"/>
              <w:rPr>
                <w:b/>
                <w:color w:val="auto"/>
                <w:sz w:val="24"/>
              </w:rPr>
            </w:pPr>
            <w:r>
              <w:rPr>
                <w:rFonts w:hint="eastAsia"/>
                <w:b/>
                <w:color w:val="auto"/>
                <w:sz w:val="24"/>
              </w:rPr>
              <w:t>7、</w:t>
            </w:r>
            <w:r>
              <w:rPr>
                <w:b/>
                <w:color w:val="auto"/>
                <w:sz w:val="24"/>
              </w:rPr>
              <w:t>厂区平面布置</w:t>
            </w:r>
          </w:p>
          <w:p w14:paraId="173821BD">
            <w:pPr>
              <w:spacing w:line="360" w:lineRule="auto"/>
              <w:ind w:firstLine="480" w:firstLineChars="200"/>
              <w:rPr>
                <w:color w:val="auto"/>
                <w:sz w:val="24"/>
                <w:szCs w:val="32"/>
              </w:rPr>
            </w:pPr>
            <w:r>
              <w:rPr>
                <w:rFonts w:hint="eastAsia"/>
                <w:color w:val="auto"/>
                <w:sz w:val="24"/>
                <w:szCs w:val="32"/>
              </w:rPr>
              <w:t>本项目生产厂房自西向东依次为生产车间一（金属加工区、玻璃纤维杆生产区、注塑区）、生产车间二（热处理区、清洗组装区）、一般固废仓库、危险废物仓库、原料区、办公室、成品区。</w:t>
            </w:r>
          </w:p>
          <w:p w14:paraId="173821BE">
            <w:pPr>
              <w:spacing w:line="360" w:lineRule="auto"/>
              <w:ind w:firstLine="480" w:firstLineChars="200"/>
              <w:rPr>
                <w:color w:val="auto"/>
                <w:sz w:val="24"/>
                <w:szCs w:val="32"/>
              </w:rPr>
            </w:pPr>
          </w:p>
          <w:p w14:paraId="173821BF">
            <w:pPr>
              <w:spacing w:line="360" w:lineRule="auto"/>
              <w:ind w:firstLine="480" w:firstLineChars="200"/>
              <w:rPr>
                <w:color w:val="auto"/>
                <w:sz w:val="24"/>
                <w:szCs w:val="32"/>
              </w:rPr>
            </w:pPr>
          </w:p>
          <w:p w14:paraId="173821C0">
            <w:pPr>
              <w:spacing w:line="360" w:lineRule="auto"/>
              <w:ind w:firstLine="480" w:firstLineChars="200"/>
              <w:rPr>
                <w:color w:val="auto"/>
                <w:sz w:val="24"/>
                <w:szCs w:val="32"/>
              </w:rPr>
            </w:pPr>
          </w:p>
          <w:p w14:paraId="2DC3B4BD">
            <w:pPr>
              <w:spacing w:line="360" w:lineRule="auto"/>
              <w:ind w:firstLine="480" w:firstLineChars="200"/>
              <w:rPr>
                <w:color w:val="auto"/>
                <w:sz w:val="24"/>
                <w:szCs w:val="32"/>
              </w:rPr>
            </w:pPr>
          </w:p>
          <w:p w14:paraId="6F2CE851">
            <w:pPr>
              <w:spacing w:line="360" w:lineRule="auto"/>
              <w:ind w:firstLine="480" w:firstLineChars="200"/>
              <w:rPr>
                <w:color w:val="auto"/>
                <w:sz w:val="24"/>
                <w:szCs w:val="32"/>
              </w:rPr>
            </w:pPr>
          </w:p>
          <w:p w14:paraId="449EF8B8">
            <w:pPr>
              <w:spacing w:line="360" w:lineRule="auto"/>
              <w:ind w:firstLine="480" w:firstLineChars="200"/>
              <w:rPr>
                <w:color w:val="auto"/>
                <w:sz w:val="24"/>
                <w:szCs w:val="32"/>
              </w:rPr>
            </w:pPr>
          </w:p>
          <w:p w14:paraId="269CFA95">
            <w:pPr>
              <w:spacing w:line="360" w:lineRule="auto"/>
              <w:rPr>
                <w:color w:val="auto"/>
                <w:sz w:val="24"/>
                <w:szCs w:val="32"/>
              </w:rPr>
            </w:pPr>
          </w:p>
        </w:tc>
      </w:tr>
      <w:tr w14:paraId="173822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086" w:hRule="atLeast"/>
          <w:jc w:val="center"/>
        </w:trPr>
        <w:tc>
          <w:tcPr>
            <w:tcW w:w="392" w:type="dxa"/>
            <w:vAlign w:val="center"/>
          </w:tcPr>
          <w:p w14:paraId="173821C2">
            <w:pPr>
              <w:pStyle w:val="81"/>
              <w:adjustRightInd w:val="0"/>
              <w:snapToGrid w:val="0"/>
              <w:spacing w:before="0" w:beforeAutospacing="0" w:after="0" w:afterAutospacing="0"/>
              <w:jc w:val="center"/>
              <w:rPr>
                <w:rFonts w:ascii="Times New Roman" w:hAnsi="Times New Roman"/>
                <w:color w:val="auto"/>
                <w:szCs w:val="24"/>
                <w:lang w:val="en-US"/>
              </w:rPr>
            </w:pPr>
            <w:r>
              <w:rPr>
                <w:rFonts w:ascii="Times New Roman" w:hAnsi="Times New Roman"/>
                <w:color w:val="auto"/>
                <w:szCs w:val="24"/>
                <w:lang w:val="en-US"/>
              </w:rPr>
              <w:t>工艺流程和产排污环节</w:t>
            </w:r>
          </w:p>
        </w:tc>
        <w:tc>
          <w:tcPr>
            <w:tcW w:w="8668" w:type="dxa"/>
          </w:tcPr>
          <w:p w14:paraId="173821C3">
            <w:pPr>
              <w:pStyle w:val="70"/>
              <w:adjustRightInd w:val="0"/>
              <w:snapToGrid w:val="0"/>
              <w:rPr>
                <w:b/>
                <w:color w:val="auto"/>
                <w:sz w:val="24"/>
                <w:szCs w:val="24"/>
                <w:lang w:val="en-US"/>
              </w:rPr>
            </w:pPr>
            <w:r>
              <w:rPr>
                <w:b/>
                <w:color w:val="auto"/>
                <w:sz w:val="24"/>
                <w:szCs w:val="24"/>
                <w:lang w:val="en-US"/>
              </w:rPr>
              <w:t>工艺流程</w:t>
            </w:r>
            <w:r>
              <w:rPr>
                <w:rFonts w:hint="eastAsia"/>
                <w:b/>
                <w:color w:val="auto"/>
                <w:sz w:val="24"/>
                <w:szCs w:val="24"/>
                <w:lang w:val="en-US"/>
              </w:rPr>
              <w:t>及产污环节</w:t>
            </w:r>
          </w:p>
          <w:p w14:paraId="626EC5C8">
            <w:pPr>
              <w:pStyle w:val="87"/>
              <w:spacing w:after="0"/>
              <w:ind w:left="0" w:leftChars="0" w:firstLine="0" w:firstLineChars="0"/>
              <w:jc w:val="center"/>
              <w:rPr>
                <w:color w:val="auto"/>
              </w:rPr>
            </w:pPr>
            <w:r>
              <w:rPr>
                <w:color w:val="auto"/>
              </w:rPr>
              <w:drawing>
                <wp:inline distT="0" distB="0" distL="114300" distR="114300">
                  <wp:extent cx="5356225" cy="5574030"/>
                  <wp:effectExtent l="0" t="0" r="15875" b="7620"/>
                  <wp:docPr id="8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4"/>
                          <pic:cNvPicPr>
                            <a:picLocks noChangeAspect="1"/>
                          </pic:cNvPicPr>
                        </pic:nvPicPr>
                        <pic:blipFill>
                          <a:blip r:embed="rId10"/>
                          <a:stretch>
                            <a:fillRect/>
                          </a:stretch>
                        </pic:blipFill>
                        <pic:spPr>
                          <a:xfrm>
                            <a:off x="0" y="0"/>
                            <a:ext cx="5356225" cy="5574030"/>
                          </a:xfrm>
                          <a:prstGeom prst="rect">
                            <a:avLst/>
                          </a:prstGeom>
                          <a:noFill/>
                          <a:ln>
                            <a:noFill/>
                          </a:ln>
                        </pic:spPr>
                      </pic:pic>
                    </a:graphicData>
                  </a:graphic>
                </wp:inline>
              </w:drawing>
            </w:r>
          </w:p>
          <w:p w14:paraId="173821C4">
            <w:pPr>
              <w:pStyle w:val="87"/>
              <w:spacing w:after="0"/>
              <w:ind w:left="0" w:leftChars="0" w:firstLine="0" w:firstLineChars="0"/>
              <w:jc w:val="center"/>
              <w:rPr>
                <w:b/>
                <w:color w:val="auto"/>
              </w:rPr>
            </w:pPr>
            <w:r>
              <w:rPr>
                <w:b/>
                <w:color w:val="auto"/>
              </w:rPr>
              <w:t>图2-</w:t>
            </w:r>
            <w:r>
              <w:rPr>
                <w:rFonts w:hint="eastAsia"/>
                <w:b/>
                <w:color w:val="auto"/>
              </w:rPr>
              <w:t>2</w:t>
            </w:r>
            <w:r>
              <w:rPr>
                <w:b/>
                <w:color w:val="auto"/>
              </w:rPr>
              <w:t xml:space="preserve"> 工艺流程及产污节点图</w:t>
            </w:r>
          </w:p>
          <w:p w14:paraId="173821C5">
            <w:pPr>
              <w:pStyle w:val="87"/>
              <w:spacing w:after="0" w:line="360" w:lineRule="auto"/>
              <w:ind w:left="0" w:leftChars="0" w:firstLine="480"/>
              <w:rPr>
                <w:color w:val="auto"/>
                <w:lang w:val="en-US"/>
              </w:rPr>
            </w:pPr>
            <w:r>
              <w:rPr>
                <w:rFonts w:hint="eastAsia"/>
                <w:color w:val="auto"/>
                <w:lang w:val="en-US"/>
              </w:rPr>
              <w:t>工艺流程简述：</w:t>
            </w:r>
          </w:p>
          <w:p w14:paraId="173821C6">
            <w:pPr>
              <w:pStyle w:val="87"/>
              <w:spacing w:after="0" w:line="360" w:lineRule="auto"/>
              <w:ind w:left="0" w:leftChars="0" w:firstLine="480"/>
              <w:rPr>
                <w:color w:val="auto"/>
                <w:lang w:val="en-US"/>
              </w:rPr>
            </w:pPr>
            <w:r>
              <w:rPr>
                <w:rFonts w:hint="eastAsia"/>
                <w:color w:val="auto"/>
                <w:lang w:val="en-US"/>
              </w:rPr>
              <w:t>（1）投料搅拌：将称量好的液态不饱和聚酯树脂、固化剂、碳酸钙等原材料按照4:1:1的比例添加入搅拌机搅拌混合，混合后搅拌均匀呈</w:t>
            </w:r>
            <w:r>
              <w:rPr>
                <w:rFonts w:hint="eastAsia"/>
                <w:color w:val="auto"/>
                <w:lang w:val="en-US" w:eastAsia="zh-CN"/>
              </w:rPr>
              <w:t>黏</w:t>
            </w:r>
            <w:r>
              <w:rPr>
                <w:rFonts w:hint="eastAsia"/>
                <w:color w:val="auto"/>
                <w:lang w:val="en-US"/>
              </w:rPr>
              <w:t>稠状待用</w:t>
            </w:r>
            <w:r>
              <w:rPr>
                <w:rFonts w:hint="eastAsia" w:ascii="Times New Roman" w:hAnsi="Times New Roman" w:eastAsia="宋体" w:cs="Times New Roman"/>
                <w:color w:val="auto"/>
                <w:lang w:val="en-US"/>
              </w:rPr>
              <w:t>。</w:t>
            </w:r>
            <w:r>
              <w:rPr>
                <w:rFonts w:hint="eastAsia" w:ascii="Times New Roman" w:hAnsi="Times New Roman" w:eastAsia="宋体" w:cs="Times New Roman"/>
                <w:color w:val="auto"/>
                <w:lang w:val="en-US" w:eastAsia="zh-CN"/>
              </w:rPr>
              <w:t>由于</w:t>
            </w:r>
            <w:r>
              <w:rPr>
                <w:rFonts w:hint="eastAsia" w:ascii="Times New Roman" w:hAnsi="Times New Roman" w:eastAsia="宋体" w:cs="Times New Roman"/>
                <w:color w:val="auto"/>
                <w:lang w:val="en-US"/>
              </w:rPr>
              <w:t>本项目原料使用不饱和聚酯树脂和固化剂。固化剂主要</w:t>
            </w:r>
            <w:r>
              <w:rPr>
                <w:rFonts w:hint="eastAsia" w:ascii="Times New Roman" w:hAnsi="Times New Roman" w:eastAsia="宋体" w:cs="Times New Roman"/>
                <w:color w:val="auto"/>
                <w:lang w:val="en-US" w:eastAsia="zh-CN"/>
              </w:rPr>
              <w:t>成份</w:t>
            </w:r>
            <w:r>
              <w:rPr>
                <w:rFonts w:hint="eastAsia" w:ascii="Times New Roman" w:hAnsi="Times New Roman" w:eastAsia="宋体" w:cs="Times New Roman"/>
                <w:color w:val="auto"/>
                <w:lang w:val="en-US"/>
              </w:rPr>
              <w:t>为过氧化二苯甲酰、过氧化苯甲酸叔丁酯；不饱和聚酯树脂由固体分和挥发分组成，固体分包括聚酯，挥发分指苯乙烯。</w:t>
            </w:r>
            <w:r>
              <w:rPr>
                <w:rFonts w:hint="eastAsia" w:ascii="Times New Roman" w:hAnsi="Times New Roman" w:eastAsia="宋体" w:cs="Times New Roman"/>
                <w:color w:val="auto"/>
                <w:lang w:val="en-US" w:eastAsia="zh-CN"/>
              </w:rPr>
              <w:t>因此，</w:t>
            </w:r>
            <w:r>
              <w:rPr>
                <w:rFonts w:hint="eastAsia" w:eastAsia="宋体"/>
                <w:color w:val="auto"/>
                <w:lang w:val="en-US" w:eastAsia="zh-CN"/>
              </w:rPr>
              <w:t>投料搅拌工序的</w:t>
            </w:r>
            <w:r>
              <w:rPr>
                <w:rFonts w:hint="eastAsia"/>
                <w:color w:val="auto"/>
                <w:lang w:val="en-US"/>
              </w:rPr>
              <w:t>主要污染物为投料粉尘</w:t>
            </w:r>
            <w:r>
              <w:rPr>
                <w:color w:val="auto"/>
                <w:lang w:val="en-US"/>
              </w:rPr>
              <w:t>G</w:t>
            </w:r>
            <w:r>
              <w:rPr>
                <w:color w:val="auto"/>
                <w:vertAlign w:val="subscript"/>
                <w:lang w:val="en-US"/>
              </w:rPr>
              <w:t>1</w:t>
            </w:r>
            <w:r>
              <w:rPr>
                <w:rFonts w:hint="eastAsia"/>
                <w:color w:val="auto"/>
                <w:lang w:val="en-US"/>
              </w:rPr>
              <w:t>、搅拌废气</w:t>
            </w:r>
            <w:r>
              <w:rPr>
                <w:color w:val="auto"/>
                <w:lang w:val="en-US"/>
              </w:rPr>
              <w:t>G</w:t>
            </w:r>
            <w:r>
              <w:rPr>
                <w:color w:val="auto"/>
                <w:vertAlign w:val="subscript"/>
                <w:lang w:val="en-US"/>
              </w:rPr>
              <w:t>2</w:t>
            </w:r>
            <w:r>
              <w:rPr>
                <w:rFonts w:hint="eastAsia"/>
                <w:color w:val="auto"/>
                <w:lang w:val="en-US"/>
              </w:rPr>
              <w:t>、废包装袋及包装桶S</w:t>
            </w:r>
            <w:r>
              <w:rPr>
                <w:rFonts w:hint="eastAsia"/>
                <w:color w:val="auto"/>
                <w:vertAlign w:val="subscript"/>
                <w:lang w:val="en-US"/>
              </w:rPr>
              <w:t>1</w:t>
            </w:r>
            <w:r>
              <w:rPr>
                <w:rFonts w:hint="eastAsia"/>
                <w:color w:val="auto"/>
                <w:lang w:val="en-US"/>
              </w:rPr>
              <w:t>和噪声N</w:t>
            </w:r>
            <w:r>
              <w:rPr>
                <w:rFonts w:hint="eastAsia"/>
                <w:color w:val="auto"/>
                <w:vertAlign w:val="subscript"/>
                <w:lang w:val="en-US" w:eastAsia="zh-CN"/>
              </w:rPr>
              <w:t>1</w:t>
            </w:r>
            <w:r>
              <w:rPr>
                <w:rFonts w:hint="eastAsia"/>
                <w:color w:val="auto"/>
                <w:lang w:val="en-US"/>
              </w:rPr>
              <w:t>。</w:t>
            </w:r>
          </w:p>
          <w:p w14:paraId="173821C7">
            <w:pPr>
              <w:pStyle w:val="87"/>
              <w:spacing w:after="0" w:line="360" w:lineRule="auto"/>
              <w:ind w:left="0" w:leftChars="0" w:firstLine="480"/>
              <w:rPr>
                <w:color w:val="auto"/>
                <w:lang w:val="en-US"/>
              </w:rPr>
            </w:pPr>
            <w:r>
              <w:rPr>
                <w:rFonts w:hint="eastAsia"/>
                <w:color w:val="auto"/>
                <w:lang w:val="en-US"/>
              </w:rPr>
              <w:t>（2）浸纱：将玻璃纤维纱通过牵引引至预浸槽预浸，共设置2个预浸槽，槽子尺寸为长110</w:t>
            </w:r>
            <w:r>
              <w:rPr>
                <w:color w:val="auto"/>
                <w:lang w:val="en-US"/>
              </w:rPr>
              <w:t>cm</w:t>
            </w:r>
            <w:r>
              <w:rPr>
                <w:rFonts w:hint="eastAsia"/>
                <w:color w:val="auto"/>
                <w:lang w:val="en-US"/>
              </w:rPr>
              <w:t>、宽70</w:t>
            </w:r>
            <w:r>
              <w:rPr>
                <w:color w:val="auto"/>
                <w:lang w:val="en-US"/>
              </w:rPr>
              <w:t>cm</w:t>
            </w:r>
            <w:r>
              <w:rPr>
                <w:rFonts w:hint="eastAsia"/>
                <w:color w:val="auto"/>
                <w:lang w:val="en-US"/>
              </w:rPr>
              <w:t>、深35</w:t>
            </w:r>
            <w:r>
              <w:rPr>
                <w:color w:val="auto"/>
                <w:lang w:val="en-US"/>
              </w:rPr>
              <w:t>cm</w:t>
            </w:r>
            <w:r>
              <w:rPr>
                <w:rFonts w:hint="eastAsia"/>
                <w:color w:val="auto"/>
                <w:lang w:val="en-US"/>
              </w:rPr>
              <w:t>，预浸槽内添加混合均匀的树脂胶（约添加容积的</w:t>
            </w:r>
            <w:r>
              <w:rPr>
                <w:color w:val="auto"/>
                <w:lang w:val="en-US"/>
              </w:rPr>
              <w:t>50%</w:t>
            </w:r>
            <w:r>
              <w:rPr>
                <w:rFonts w:hint="eastAsia"/>
                <w:color w:val="auto"/>
                <w:lang w:val="en-US"/>
              </w:rPr>
              <w:t>）</w:t>
            </w:r>
            <w:r>
              <w:rPr>
                <w:rFonts w:hint="eastAsia"/>
                <w:color w:val="auto"/>
                <w:lang w:val="en-US" w:eastAsia="zh-CN"/>
              </w:rPr>
              <w:t>，该树脂胶由</w:t>
            </w:r>
            <w:r>
              <w:rPr>
                <w:rFonts w:hint="eastAsia"/>
                <w:color w:val="auto"/>
                <w:lang w:val="en-US"/>
              </w:rPr>
              <w:t>液态不饱和聚酯树脂、固化剂、碳酸钙</w:t>
            </w:r>
            <w:r>
              <w:rPr>
                <w:rFonts w:hint="eastAsia"/>
                <w:color w:val="auto"/>
                <w:lang w:val="en-US" w:eastAsia="zh-CN"/>
              </w:rPr>
              <w:t>按照4:1:1的比例搅拌混合而成，由于</w:t>
            </w:r>
            <w:r>
              <w:rPr>
                <w:rFonts w:hint="eastAsia" w:ascii="Times New Roman" w:hAnsi="Times New Roman" w:eastAsia="宋体" w:cs="Times New Roman"/>
                <w:color w:val="auto"/>
                <w:lang w:val="en-US"/>
              </w:rPr>
              <w:t>固化剂主要</w:t>
            </w:r>
            <w:r>
              <w:rPr>
                <w:rFonts w:hint="eastAsia" w:ascii="Times New Roman" w:hAnsi="Times New Roman" w:eastAsia="宋体" w:cs="Times New Roman"/>
                <w:color w:val="auto"/>
                <w:lang w:val="en-US" w:eastAsia="zh-CN"/>
              </w:rPr>
              <w:t>成份</w:t>
            </w:r>
            <w:r>
              <w:rPr>
                <w:rFonts w:hint="eastAsia" w:ascii="Times New Roman" w:hAnsi="Times New Roman" w:eastAsia="宋体" w:cs="Times New Roman"/>
                <w:color w:val="auto"/>
                <w:lang w:val="en-US"/>
              </w:rPr>
              <w:t>为过氧化二苯甲酰、过氧化苯甲酸叔丁酯；不饱和聚酯树脂由固体分和挥发分组成，固体分包括聚酯，挥发分指苯乙烯</w:t>
            </w:r>
            <w:r>
              <w:rPr>
                <w:rFonts w:hint="eastAsia"/>
                <w:color w:val="auto"/>
                <w:lang w:val="en-US"/>
              </w:rPr>
              <w:t>。</w:t>
            </w:r>
            <w:r>
              <w:rPr>
                <w:rFonts w:hint="eastAsia"/>
                <w:color w:val="auto"/>
                <w:lang w:val="en-US" w:eastAsia="zh-CN"/>
              </w:rPr>
              <w:t>因此，浸纱工序</w:t>
            </w:r>
            <w:r>
              <w:rPr>
                <w:rFonts w:hint="eastAsia"/>
                <w:color w:val="auto"/>
                <w:lang w:val="en-US"/>
              </w:rPr>
              <w:t>主要污染物为浸纱废气</w:t>
            </w:r>
            <w:r>
              <w:rPr>
                <w:color w:val="auto"/>
                <w:lang w:val="en-US"/>
              </w:rPr>
              <w:t>G</w:t>
            </w:r>
            <w:r>
              <w:rPr>
                <w:rFonts w:hint="eastAsia"/>
                <w:color w:val="auto"/>
                <w:vertAlign w:val="subscript"/>
                <w:lang w:val="en-US"/>
              </w:rPr>
              <w:t>3</w:t>
            </w:r>
            <w:r>
              <w:rPr>
                <w:rFonts w:hint="eastAsia"/>
                <w:color w:val="auto"/>
                <w:lang w:val="en-US" w:eastAsia="zh-CN"/>
              </w:rPr>
              <w:t>和噪声N</w:t>
            </w:r>
            <w:r>
              <w:rPr>
                <w:rFonts w:hint="eastAsia"/>
                <w:color w:val="auto"/>
                <w:vertAlign w:val="subscript"/>
                <w:lang w:val="en-US" w:eastAsia="zh-CN"/>
              </w:rPr>
              <w:t>2</w:t>
            </w:r>
            <w:r>
              <w:rPr>
                <w:rFonts w:hint="eastAsia"/>
                <w:color w:val="auto"/>
                <w:lang w:val="en-US"/>
              </w:rPr>
              <w:t>。</w:t>
            </w:r>
          </w:p>
          <w:p w14:paraId="173821C8">
            <w:pPr>
              <w:pStyle w:val="87"/>
              <w:spacing w:after="0" w:line="360" w:lineRule="auto"/>
              <w:ind w:left="0" w:leftChars="0" w:firstLine="480"/>
              <w:rPr>
                <w:color w:val="auto"/>
                <w:lang w:val="en-US"/>
              </w:rPr>
            </w:pPr>
            <w:r>
              <w:rPr>
                <w:rFonts w:hint="eastAsia"/>
                <w:color w:val="auto"/>
                <w:lang w:val="en-US"/>
              </w:rPr>
              <w:t>（3）</w:t>
            </w:r>
            <w:r>
              <w:rPr>
                <w:rFonts w:hint="eastAsia"/>
                <w:color w:val="auto"/>
                <w:lang w:val="en-US" w:eastAsia="zh-CN"/>
              </w:rPr>
              <w:t>拉挤</w:t>
            </w:r>
            <w:r>
              <w:rPr>
                <w:rFonts w:hint="eastAsia"/>
                <w:color w:val="auto"/>
                <w:lang w:val="en-US"/>
              </w:rPr>
              <w:t xml:space="preserve">固化成型：通过牵引进入挤拉、固化成型，表面涂有树脂胶的玻璃纤维纱进入到设置好的模具中，通过挤拉固化为长条的玻璃纤维杆。挤拉温度 </w:t>
            </w:r>
            <w:r>
              <w:rPr>
                <w:color w:val="auto"/>
                <w:lang w:val="en-US"/>
              </w:rPr>
              <w:t>120-</w:t>
            </w:r>
            <w:r>
              <w:rPr>
                <w:rFonts w:hint="eastAsia"/>
                <w:color w:val="auto"/>
                <w:lang w:val="en-US"/>
              </w:rPr>
              <w:t>160℃，采用电加热。此工序主要污染物为固化废气</w:t>
            </w:r>
            <w:r>
              <w:rPr>
                <w:color w:val="auto"/>
                <w:lang w:val="en-US"/>
              </w:rPr>
              <w:t>G</w:t>
            </w:r>
            <w:r>
              <w:rPr>
                <w:rFonts w:hint="eastAsia"/>
                <w:color w:val="auto"/>
                <w:vertAlign w:val="subscript"/>
                <w:lang w:val="en-US"/>
              </w:rPr>
              <w:t>4</w:t>
            </w:r>
            <w:r>
              <w:rPr>
                <w:rFonts w:hint="eastAsia"/>
                <w:color w:val="auto"/>
                <w:lang w:val="en-US"/>
              </w:rPr>
              <w:t>和噪声</w:t>
            </w:r>
            <w:r>
              <w:rPr>
                <w:color w:val="auto"/>
                <w:lang w:val="en-US"/>
              </w:rPr>
              <w:t>N</w:t>
            </w:r>
            <w:r>
              <w:rPr>
                <w:rFonts w:hint="eastAsia"/>
                <w:color w:val="auto"/>
                <w:vertAlign w:val="subscript"/>
                <w:lang w:val="en-US" w:eastAsia="zh-CN"/>
              </w:rPr>
              <w:t>3</w:t>
            </w:r>
            <w:r>
              <w:rPr>
                <w:rFonts w:hint="eastAsia"/>
                <w:color w:val="auto"/>
                <w:lang w:val="en-US"/>
              </w:rPr>
              <w:t>。</w:t>
            </w:r>
          </w:p>
          <w:p w14:paraId="173821C9">
            <w:pPr>
              <w:pStyle w:val="87"/>
              <w:spacing w:after="0" w:line="360" w:lineRule="auto"/>
              <w:ind w:left="0" w:leftChars="0" w:firstLine="480"/>
              <w:rPr>
                <w:color w:val="auto"/>
                <w:lang w:val="en-US"/>
              </w:rPr>
            </w:pPr>
            <w:r>
              <w:rPr>
                <w:rFonts w:hint="eastAsia"/>
                <w:color w:val="auto"/>
                <w:lang w:val="en-US"/>
              </w:rPr>
              <w:t>（4）切割：玻璃纤维杆经过流水线尾部的自动切割机切割成一定规格的产品，自动切割机切割时配套有水喷淋，可防止切割时粉尘的逸散，</w:t>
            </w:r>
            <w:r>
              <w:rPr>
                <w:rFonts w:hint="eastAsia"/>
                <w:color w:val="auto"/>
                <w:u w:val="none" w:color="auto"/>
                <w:lang w:val="en-US"/>
              </w:rPr>
              <w:t>切割废水经沉淀池处理后循环使用，</w:t>
            </w:r>
            <w:r>
              <w:rPr>
                <w:rFonts w:hint="eastAsia"/>
                <w:color w:val="auto"/>
                <w:lang w:val="en-US" w:eastAsia="zh-CN"/>
              </w:rPr>
              <w:t>不外排</w:t>
            </w:r>
            <w:r>
              <w:rPr>
                <w:rFonts w:hint="eastAsia"/>
                <w:color w:val="auto"/>
                <w:lang w:val="en-US"/>
              </w:rPr>
              <w:t>。此工序主要污染物为沉渣S</w:t>
            </w:r>
            <w:r>
              <w:rPr>
                <w:rFonts w:hint="eastAsia"/>
                <w:color w:val="auto"/>
                <w:vertAlign w:val="subscript"/>
                <w:lang w:val="en-US"/>
              </w:rPr>
              <w:t>2</w:t>
            </w:r>
            <w:r>
              <w:rPr>
                <w:rFonts w:hint="eastAsia"/>
                <w:color w:val="auto"/>
                <w:lang w:val="en-US"/>
              </w:rPr>
              <w:t>、废边角料S</w:t>
            </w:r>
            <w:r>
              <w:rPr>
                <w:rFonts w:hint="eastAsia"/>
                <w:color w:val="auto"/>
                <w:vertAlign w:val="subscript"/>
                <w:lang w:val="en-US"/>
              </w:rPr>
              <w:t>3</w:t>
            </w:r>
            <w:r>
              <w:rPr>
                <w:rFonts w:hint="eastAsia"/>
                <w:color w:val="auto"/>
                <w:lang w:val="en-US"/>
              </w:rPr>
              <w:t>、噪声N</w:t>
            </w:r>
            <w:r>
              <w:rPr>
                <w:rFonts w:hint="eastAsia"/>
                <w:color w:val="auto"/>
                <w:vertAlign w:val="subscript"/>
                <w:lang w:val="en-US" w:eastAsia="zh-CN"/>
              </w:rPr>
              <w:t>4</w:t>
            </w:r>
            <w:r>
              <w:rPr>
                <w:rFonts w:hint="eastAsia"/>
                <w:color w:val="auto"/>
                <w:lang w:val="en-US"/>
              </w:rPr>
              <w:t>。</w:t>
            </w:r>
          </w:p>
          <w:p w14:paraId="173821CA">
            <w:pPr>
              <w:pStyle w:val="87"/>
              <w:spacing w:after="0" w:line="360" w:lineRule="auto"/>
              <w:ind w:left="0" w:leftChars="0" w:firstLine="480"/>
              <w:rPr>
                <w:color w:val="auto"/>
                <w:lang w:val="en-US"/>
              </w:rPr>
            </w:pPr>
            <w:r>
              <w:rPr>
                <w:rFonts w:hint="eastAsia"/>
                <w:color w:val="auto"/>
                <w:lang w:val="en-US"/>
              </w:rPr>
              <w:t>（5）注塑：注塑机</w:t>
            </w:r>
            <w:r>
              <w:rPr>
                <w:rFonts w:hint="eastAsia"/>
                <w:color w:val="auto"/>
                <w:lang w:val="en-US" w:eastAsia="zh-CN"/>
              </w:rPr>
              <w:t>利用塑料PP、塑料PE两次对</w:t>
            </w:r>
            <w:r>
              <w:rPr>
                <w:rFonts w:hint="eastAsia"/>
                <w:color w:val="auto"/>
                <w:lang w:val="en-US"/>
              </w:rPr>
              <w:t>玻璃纤维杆</w:t>
            </w:r>
            <w:r>
              <w:rPr>
                <w:rFonts w:hint="eastAsia"/>
                <w:color w:val="auto"/>
                <w:lang w:val="en-US" w:eastAsia="zh-CN"/>
              </w:rPr>
              <w:t>整体</w:t>
            </w:r>
            <w:r>
              <w:rPr>
                <w:rFonts w:hint="eastAsia"/>
                <w:color w:val="auto"/>
                <w:lang w:val="en-US"/>
              </w:rPr>
              <w:t>进行注塑形成成品手柄，注塑机温度为200-220℃，采用水进行冷却，冷却水循环使用</w:t>
            </w:r>
            <w:r>
              <w:rPr>
                <w:rFonts w:hint="eastAsia"/>
                <w:color w:val="auto"/>
                <w:lang w:val="en-US" w:eastAsia="zh-CN"/>
              </w:rPr>
              <w:t>，不外排</w:t>
            </w:r>
            <w:r>
              <w:rPr>
                <w:rFonts w:hint="eastAsia"/>
                <w:color w:val="auto"/>
                <w:lang w:val="en-US"/>
              </w:rPr>
              <w:t>。注塑过程中产生废包装袋S</w:t>
            </w:r>
            <w:r>
              <w:rPr>
                <w:rFonts w:hint="eastAsia"/>
                <w:color w:val="auto"/>
                <w:vertAlign w:val="subscript"/>
                <w:lang w:val="en-US"/>
              </w:rPr>
              <w:t>4</w:t>
            </w:r>
            <w:r>
              <w:rPr>
                <w:rFonts w:hint="eastAsia"/>
                <w:color w:val="auto"/>
                <w:lang w:val="en-US"/>
              </w:rPr>
              <w:t>、废边角料S</w:t>
            </w:r>
            <w:r>
              <w:rPr>
                <w:rFonts w:hint="eastAsia"/>
                <w:color w:val="auto"/>
                <w:vertAlign w:val="subscript"/>
                <w:lang w:val="en-US"/>
              </w:rPr>
              <w:t>5</w:t>
            </w:r>
            <w:r>
              <w:rPr>
                <w:rFonts w:hint="eastAsia"/>
                <w:color w:val="auto"/>
                <w:lang w:val="en-US"/>
              </w:rPr>
              <w:t>、注塑废气G</w:t>
            </w:r>
            <w:r>
              <w:rPr>
                <w:rFonts w:hint="eastAsia"/>
                <w:color w:val="auto"/>
                <w:vertAlign w:val="subscript"/>
                <w:lang w:val="en-US"/>
              </w:rPr>
              <w:t>5</w:t>
            </w:r>
            <w:r>
              <w:rPr>
                <w:rFonts w:hint="eastAsia"/>
                <w:color w:val="auto"/>
                <w:lang w:val="en-US"/>
              </w:rPr>
              <w:t>和噪声N</w:t>
            </w:r>
            <w:r>
              <w:rPr>
                <w:rFonts w:hint="eastAsia"/>
                <w:color w:val="auto"/>
                <w:vertAlign w:val="subscript"/>
                <w:lang w:val="en-US" w:eastAsia="zh-CN"/>
              </w:rPr>
              <w:t>5</w:t>
            </w:r>
            <w:r>
              <w:rPr>
                <w:rFonts w:hint="eastAsia"/>
                <w:color w:val="auto"/>
                <w:lang w:val="en-US"/>
              </w:rPr>
              <w:t>。</w:t>
            </w:r>
          </w:p>
          <w:p w14:paraId="173821CB">
            <w:pPr>
              <w:pStyle w:val="87"/>
              <w:spacing w:after="0" w:line="360" w:lineRule="auto"/>
              <w:ind w:left="0" w:leftChars="0" w:firstLine="480"/>
              <w:rPr>
                <w:color w:val="auto"/>
                <w:lang w:val="en-US"/>
              </w:rPr>
            </w:pPr>
            <w:r>
              <w:rPr>
                <w:rFonts w:hint="eastAsia"/>
                <w:color w:val="auto"/>
                <w:lang w:val="en-US"/>
              </w:rPr>
              <w:t>（6）热处理：为提高外购的锤子、斧头、钢镐锹毛坯等打击面的硬度，采用全纤维式电阻丝通过电对其进行加热，加热温度约为1000℃（利用磁场感应涡流加热原理，加热时间仅需3s-5s，无烟尘产生），然后直接投放至冷却槽进行冷却，冷却后进行下一步工序，会产生少量金属氧化物沉淀在冷却槽中，定期进行打捞</w:t>
            </w:r>
            <w:r>
              <w:rPr>
                <w:rFonts w:hint="eastAsia"/>
                <w:color w:val="auto"/>
                <w:lang w:val="en-US" w:eastAsia="zh-CN"/>
              </w:rPr>
              <w:t>，打捞后循环使用，不外排</w:t>
            </w:r>
            <w:r>
              <w:rPr>
                <w:rFonts w:hint="eastAsia"/>
                <w:color w:val="auto"/>
                <w:lang w:val="en-US"/>
              </w:rPr>
              <w:t>。此工序产生沉渣S</w:t>
            </w:r>
            <w:r>
              <w:rPr>
                <w:rFonts w:hint="eastAsia"/>
                <w:color w:val="auto"/>
                <w:vertAlign w:val="subscript"/>
                <w:lang w:val="en-US"/>
              </w:rPr>
              <w:t>6</w:t>
            </w:r>
            <w:r>
              <w:rPr>
                <w:rFonts w:hint="eastAsia"/>
                <w:color w:val="auto"/>
                <w:lang w:val="en-US"/>
              </w:rPr>
              <w:t>和噪声N</w:t>
            </w:r>
            <w:r>
              <w:rPr>
                <w:rFonts w:hint="eastAsia"/>
                <w:color w:val="auto"/>
                <w:vertAlign w:val="subscript"/>
                <w:lang w:val="en-US" w:eastAsia="zh-CN"/>
              </w:rPr>
              <w:t>6</w:t>
            </w:r>
            <w:r>
              <w:rPr>
                <w:rFonts w:hint="eastAsia"/>
                <w:color w:val="auto"/>
                <w:lang w:val="en-US"/>
              </w:rPr>
              <w:t>。</w:t>
            </w:r>
          </w:p>
          <w:p w14:paraId="173821CC">
            <w:pPr>
              <w:pStyle w:val="87"/>
              <w:spacing w:after="0" w:line="360" w:lineRule="auto"/>
              <w:ind w:left="0" w:leftChars="0" w:firstLine="480"/>
              <w:rPr>
                <w:color w:val="auto"/>
                <w:lang w:val="en-US"/>
              </w:rPr>
            </w:pPr>
            <w:r>
              <w:rPr>
                <w:rFonts w:hint="eastAsia"/>
                <w:color w:val="auto"/>
                <w:lang w:val="en-US"/>
              </w:rPr>
              <w:t>（7）除锈：经加热冷却处理后的锤子、斧头等进入抛丸机，进行表面除锈处理，本项目设置两台抛丸机，自带滤芯式除尘设施。抛丸机工作原理：在清理室中加入规定数量的工件，机器启动后，工件被滚筒带动，开始翻转，同时抛丸器高速抛出的钢丸形成流丸束，均匀地击打在工件表面上，从而达到清理的目的。抛出的钢丸经橡胶履带上的小孔，流入提升机内，由提升机提升到分离器中进行分离。粉尘由风机吸送到除尘器中，布袋上的灰尘经机械振</w:t>
            </w:r>
            <w:r>
              <w:rPr>
                <w:rFonts w:hint="eastAsia"/>
                <w:color w:val="auto"/>
                <w:lang w:val="en-US" w:eastAsia="zh-CN"/>
              </w:rPr>
              <w:t>动</w:t>
            </w:r>
            <w:r>
              <w:rPr>
                <w:rFonts w:hint="eastAsia"/>
                <w:color w:val="auto"/>
                <w:lang w:val="en-US"/>
              </w:rPr>
              <w:t>落入除尘器底部的沉积箱中，定期清除。该工序</w:t>
            </w:r>
            <w:r>
              <w:rPr>
                <w:rFonts w:hint="eastAsia"/>
                <w:color w:val="auto"/>
                <w:lang w:val="en-US" w:eastAsia="zh-CN"/>
              </w:rPr>
              <w:t>主要为表面除锈，除锈过程会产生</w:t>
            </w:r>
            <w:r>
              <w:rPr>
                <w:rFonts w:hint="eastAsia"/>
                <w:color w:val="auto"/>
                <w:lang w:val="en-US"/>
              </w:rPr>
              <w:t>抛丸废气G</w:t>
            </w:r>
            <w:r>
              <w:rPr>
                <w:rFonts w:hint="eastAsia"/>
                <w:color w:val="auto"/>
                <w:vertAlign w:val="subscript"/>
                <w:lang w:val="en-US"/>
              </w:rPr>
              <w:t>6</w:t>
            </w:r>
            <w:r>
              <w:rPr>
                <w:rFonts w:hint="eastAsia"/>
                <w:color w:val="auto"/>
                <w:lang w:val="en-US"/>
              </w:rPr>
              <w:t>、灰尘S</w:t>
            </w:r>
            <w:r>
              <w:rPr>
                <w:rFonts w:hint="eastAsia"/>
                <w:color w:val="auto"/>
                <w:vertAlign w:val="subscript"/>
                <w:lang w:val="en-US"/>
              </w:rPr>
              <w:t>7</w:t>
            </w:r>
            <w:r>
              <w:rPr>
                <w:rFonts w:hint="eastAsia"/>
                <w:color w:val="auto"/>
                <w:lang w:val="en-US"/>
              </w:rPr>
              <w:t>、废钢丸S</w:t>
            </w:r>
            <w:r>
              <w:rPr>
                <w:rFonts w:hint="eastAsia"/>
                <w:color w:val="auto"/>
                <w:vertAlign w:val="subscript"/>
                <w:lang w:val="en-US"/>
              </w:rPr>
              <w:t>8</w:t>
            </w:r>
            <w:r>
              <w:rPr>
                <w:rFonts w:hint="eastAsia"/>
                <w:color w:val="auto"/>
                <w:lang w:val="en-US"/>
              </w:rPr>
              <w:t>和噪声N</w:t>
            </w:r>
            <w:r>
              <w:rPr>
                <w:rFonts w:hint="eastAsia"/>
                <w:color w:val="auto"/>
                <w:vertAlign w:val="subscript"/>
                <w:lang w:val="en-US" w:eastAsia="zh-CN"/>
              </w:rPr>
              <w:t>7</w:t>
            </w:r>
            <w:r>
              <w:rPr>
                <w:rFonts w:hint="eastAsia"/>
                <w:color w:val="auto"/>
                <w:lang w:val="en-US"/>
              </w:rPr>
              <w:t>。</w:t>
            </w:r>
          </w:p>
          <w:p w14:paraId="173821CD">
            <w:pPr>
              <w:pStyle w:val="87"/>
              <w:spacing w:after="0" w:line="360" w:lineRule="auto"/>
              <w:ind w:left="0" w:leftChars="0" w:firstLine="480"/>
              <w:rPr>
                <w:color w:val="auto"/>
                <w:lang w:val="en-US"/>
              </w:rPr>
            </w:pPr>
            <w:r>
              <w:rPr>
                <w:rFonts w:hint="eastAsia"/>
                <w:color w:val="auto"/>
                <w:lang w:val="en-US"/>
              </w:rPr>
              <w:t>（8）喷塑：打磨后的工件进入密闭的自动喷塑室，采用静电喷涂工艺进行涂装。静电喷涂是利用高压静电电晕电场原理，喷枪头上的金属导流杯接上高压负极，被涂工件接地形成正极，在喷枪和工件之间形成较强的静电场。当运载气体将粉末涂料从供粉系统经输粉管送到喷枪的导流环时，由于导流环接上高压负极产生电晕放电，其周围产生密集的电荷，粉末带上负电荷，在静电力和压缩空气的作用下，粉末均匀地吸附在工件上，形成均匀、平整、光滑的涂膜。</w:t>
            </w:r>
          </w:p>
          <w:p w14:paraId="173821CE">
            <w:pPr>
              <w:pStyle w:val="87"/>
              <w:spacing w:after="0" w:line="360" w:lineRule="auto"/>
              <w:ind w:left="0" w:leftChars="0" w:firstLine="480"/>
              <w:rPr>
                <w:color w:val="auto"/>
                <w:lang w:val="en-US"/>
              </w:rPr>
            </w:pPr>
            <w:r>
              <w:rPr>
                <w:rFonts w:hint="eastAsia"/>
                <w:color w:val="auto"/>
                <w:lang w:val="en-US"/>
              </w:rPr>
              <w:t>本项目设有一体化喷粉室1座，设有集中塑粉回收系统，采用“旋风+脉冲滤芯”装置集中回收粉末涂料。回收的旧塑粉通过管道输送至供料盒，与新塑粉一并由喷枪喷涂，形成粉末涂料的循环使用。该工序会产生喷塑废气G</w:t>
            </w:r>
            <w:r>
              <w:rPr>
                <w:rFonts w:hint="eastAsia"/>
                <w:color w:val="auto"/>
                <w:vertAlign w:val="subscript"/>
                <w:lang w:val="en-US"/>
              </w:rPr>
              <w:t>7</w:t>
            </w:r>
            <w:r>
              <w:rPr>
                <w:rFonts w:hint="eastAsia"/>
                <w:color w:val="auto"/>
                <w:lang w:val="en-US"/>
              </w:rPr>
              <w:t>和噪声N</w:t>
            </w:r>
            <w:r>
              <w:rPr>
                <w:rFonts w:hint="eastAsia"/>
                <w:color w:val="auto"/>
                <w:vertAlign w:val="subscript"/>
                <w:lang w:val="en-US" w:eastAsia="zh-CN"/>
              </w:rPr>
              <w:t>8</w:t>
            </w:r>
            <w:r>
              <w:rPr>
                <w:rFonts w:hint="eastAsia"/>
                <w:color w:val="auto"/>
                <w:lang w:val="en-US"/>
              </w:rPr>
              <w:t>。</w:t>
            </w:r>
          </w:p>
          <w:p w14:paraId="173821CF">
            <w:pPr>
              <w:pStyle w:val="87"/>
              <w:spacing w:after="0" w:line="360" w:lineRule="auto"/>
              <w:ind w:left="0" w:leftChars="0" w:firstLine="480"/>
              <w:rPr>
                <w:color w:val="auto"/>
                <w:lang w:val="en-US"/>
              </w:rPr>
            </w:pPr>
            <w:r>
              <w:rPr>
                <w:rFonts w:hint="eastAsia"/>
                <w:color w:val="auto"/>
                <w:lang w:val="en-US"/>
              </w:rPr>
              <w:t>（9）烘干固化：喷粉完成后的工件经悬挂链输送系统进入电烘箱进行加热固化处理，加热方式为电加热，烘干温度200℃。在固化过程中，粉末涂料受热会产生少量有机废气G</w:t>
            </w:r>
            <w:r>
              <w:rPr>
                <w:rFonts w:hint="eastAsia"/>
                <w:color w:val="auto"/>
                <w:vertAlign w:val="subscript"/>
                <w:lang w:val="en-US"/>
              </w:rPr>
              <w:t>8</w:t>
            </w:r>
            <w:r>
              <w:rPr>
                <w:rFonts w:hint="eastAsia"/>
                <w:color w:val="auto"/>
                <w:lang w:val="en-US"/>
              </w:rPr>
              <w:t>，同时设备运行会产生噪声N</w:t>
            </w:r>
            <w:r>
              <w:rPr>
                <w:rFonts w:hint="eastAsia"/>
                <w:color w:val="auto"/>
                <w:vertAlign w:val="subscript"/>
                <w:lang w:val="en-US" w:eastAsia="zh-CN"/>
              </w:rPr>
              <w:t>9</w:t>
            </w:r>
            <w:r>
              <w:rPr>
                <w:rFonts w:hint="eastAsia"/>
                <w:color w:val="auto"/>
                <w:lang w:val="en-US"/>
              </w:rPr>
              <w:t>。</w:t>
            </w:r>
          </w:p>
          <w:p w14:paraId="173821D0">
            <w:pPr>
              <w:pStyle w:val="87"/>
              <w:spacing w:after="0" w:line="360" w:lineRule="auto"/>
              <w:ind w:left="0" w:leftChars="0" w:firstLine="480"/>
              <w:rPr>
                <w:color w:val="auto"/>
                <w:lang w:val="en-US"/>
              </w:rPr>
            </w:pPr>
            <w:r>
              <w:rPr>
                <w:rFonts w:hint="eastAsia"/>
                <w:color w:val="auto"/>
                <w:lang w:val="en-US"/>
              </w:rPr>
              <w:t>（10）抛光：将固化后的工件采用抛光机再次打磨掉表面焊接毛刺，此工序产生抛光废气G</w:t>
            </w:r>
            <w:r>
              <w:rPr>
                <w:rFonts w:hint="eastAsia"/>
                <w:color w:val="auto"/>
                <w:vertAlign w:val="subscript"/>
                <w:lang w:val="en-US"/>
              </w:rPr>
              <w:t>9</w:t>
            </w:r>
            <w:r>
              <w:rPr>
                <w:rFonts w:hint="eastAsia"/>
                <w:color w:val="auto"/>
                <w:lang w:val="en-US"/>
              </w:rPr>
              <w:t>，同时设备运行会产生噪声N</w:t>
            </w:r>
            <w:r>
              <w:rPr>
                <w:rFonts w:hint="eastAsia"/>
                <w:color w:val="auto"/>
                <w:vertAlign w:val="subscript"/>
                <w:lang w:val="en-US" w:eastAsia="zh-CN"/>
              </w:rPr>
              <w:t>10</w:t>
            </w:r>
            <w:r>
              <w:rPr>
                <w:rFonts w:hint="eastAsia"/>
                <w:color w:val="auto"/>
                <w:lang w:val="en-US"/>
              </w:rPr>
              <w:t>。</w:t>
            </w:r>
          </w:p>
          <w:p w14:paraId="173821D1">
            <w:pPr>
              <w:pStyle w:val="87"/>
              <w:spacing w:after="0" w:line="360" w:lineRule="auto"/>
              <w:ind w:left="0" w:leftChars="0" w:firstLine="480"/>
              <w:rPr>
                <w:color w:val="auto"/>
                <w:lang w:val="en-US"/>
              </w:rPr>
            </w:pPr>
            <w:r>
              <w:rPr>
                <w:rFonts w:hint="eastAsia"/>
                <w:color w:val="auto"/>
                <w:lang w:val="en-US"/>
              </w:rPr>
              <w:t>（11）清洗、涂防锈油：用水清洗抛光后的</w:t>
            </w:r>
            <w:r>
              <w:rPr>
                <w:rFonts w:hint="eastAsia"/>
                <w:color w:val="auto"/>
                <w:lang w:val="en-US" w:eastAsia="zh-CN"/>
              </w:rPr>
              <w:t>锤子、斧头等</w:t>
            </w:r>
            <w:r>
              <w:rPr>
                <w:rFonts w:hint="eastAsia"/>
                <w:color w:val="auto"/>
                <w:lang w:val="en-US"/>
              </w:rPr>
              <w:t>，清洗方式为直接冲洗，会产生清洗废水，清洗废水经沉淀池处理后循环使用</w:t>
            </w:r>
            <w:r>
              <w:rPr>
                <w:rFonts w:hint="eastAsia"/>
                <w:color w:val="auto"/>
                <w:lang w:val="en-US" w:eastAsia="zh-CN"/>
              </w:rPr>
              <w:t>，不外排</w:t>
            </w:r>
            <w:r>
              <w:rPr>
                <w:rFonts w:hint="eastAsia"/>
                <w:color w:val="auto"/>
                <w:lang w:val="en-US"/>
              </w:rPr>
              <w:t>。同时为</w:t>
            </w:r>
            <w:r>
              <w:rPr>
                <w:color w:val="auto"/>
                <w:lang w:val="en-US"/>
              </w:rPr>
              <w:t>防止铸件生锈</w:t>
            </w:r>
            <w:r>
              <w:rPr>
                <w:rFonts w:hint="eastAsia"/>
                <w:color w:val="auto"/>
                <w:lang w:val="en-US"/>
              </w:rPr>
              <w:t>，</w:t>
            </w:r>
            <w:r>
              <w:rPr>
                <w:color w:val="auto"/>
                <w:lang w:val="en-US"/>
              </w:rPr>
              <w:t>对铸件表面涂防锈油</w:t>
            </w:r>
            <w:r>
              <w:rPr>
                <w:rFonts w:hint="eastAsia"/>
                <w:color w:val="auto"/>
                <w:lang w:val="en-US"/>
              </w:rPr>
              <w:t>。该过程会产生沉渣S</w:t>
            </w:r>
            <w:r>
              <w:rPr>
                <w:rFonts w:hint="eastAsia"/>
                <w:color w:val="auto"/>
                <w:vertAlign w:val="subscript"/>
                <w:lang w:val="en-US"/>
              </w:rPr>
              <w:t>9</w:t>
            </w:r>
            <w:r>
              <w:rPr>
                <w:rFonts w:hint="eastAsia"/>
                <w:color w:val="auto"/>
                <w:lang w:val="en-US"/>
              </w:rPr>
              <w:t>、废防锈油</w:t>
            </w:r>
            <w:r>
              <w:rPr>
                <w:color w:val="auto"/>
                <w:lang w:val="en-US"/>
              </w:rPr>
              <w:t>S</w:t>
            </w:r>
            <w:r>
              <w:rPr>
                <w:rFonts w:hint="eastAsia"/>
                <w:color w:val="auto"/>
                <w:vertAlign w:val="subscript"/>
                <w:lang w:val="en-US"/>
              </w:rPr>
              <w:t>10</w:t>
            </w:r>
            <w:r>
              <w:rPr>
                <w:rFonts w:hint="eastAsia"/>
                <w:color w:val="auto"/>
                <w:lang w:val="en-US"/>
              </w:rPr>
              <w:t>、废包装桶S</w:t>
            </w:r>
            <w:r>
              <w:rPr>
                <w:rFonts w:hint="eastAsia"/>
                <w:color w:val="auto"/>
                <w:vertAlign w:val="subscript"/>
                <w:lang w:val="en-US"/>
              </w:rPr>
              <w:t>11</w:t>
            </w:r>
            <w:r>
              <w:rPr>
                <w:rFonts w:hint="eastAsia"/>
                <w:color w:val="auto"/>
                <w:lang w:val="en-US"/>
              </w:rPr>
              <w:t>和一定的噪声N</w:t>
            </w:r>
            <w:r>
              <w:rPr>
                <w:rFonts w:hint="eastAsia"/>
                <w:color w:val="auto"/>
                <w:vertAlign w:val="subscript"/>
                <w:lang w:val="en-US" w:eastAsia="zh-CN"/>
              </w:rPr>
              <w:t>11</w:t>
            </w:r>
            <w:r>
              <w:rPr>
                <w:rFonts w:hint="eastAsia"/>
                <w:color w:val="auto"/>
                <w:lang w:val="en-US"/>
              </w:rPr>
              <w:t>。</w:t>
            </w:r>
          </w:p>
          <w:p w14:paraId="173821D2">
            <w:pPr>
              <w:pStyle w:val="87"/>
              <w:spacing w:after="0" w:line="360" w:lineRule="auto"/>
              <w:ind w:left="0" w:leftChars="0" w:firstLine="480"/>
              <w:rPr>
                <w:color w:val="auto"/>
                <w:lang w:val="en-US"/>
              </w:rPr>
            </w:pPr>
            <w:r>
              <w:rPr>
                <w:rFonts w:hint="eastAsia"/>
                <w:color w:val="auto"/>
                <w:lang w:val="en-US"/>
              </w:rPr>
              <w:t>（12）</w:t>
            </w:r>
            <w:r>
              <w:rPr>
                <w:color w:val="auto"/>
                <w:lang w:val="en-US"/>
              </w:rPr>
              <w:t>组装：</w:t>
            </w:r>
            <w:r>
              <w:rPr>
                <w:rFonts w:hint="eastAsia"/>
                <w:color w:val="auto"/>
                <w:lang w:val="en-US"/>
              </w:rPr>
              <w:t>在组装生产线</w:t>
            </w:r>
            <w:r>
              <w:rPr>
                <w:color w:val="auto"/>
                <w:lang w:val="en-US"/>
              </w:rPr>
              <w:t>对</w:t>
            </w:r>
            <w:r>
              <w:rPr>
                <w:rFonts w:hint="eastAsia"/>
                <w:color w:val="auto"/>
                <w:lang w:val="en-US"/>
              </w:rPr>
              <w:t>成品手柄和锤子等工件</w:t>
            </w:r>
            <w:r>
              <w:rPr>
                <w:color w:val="auto"/>
                <w:lang w:val="en-US"/>
              </w:rPr>
              <w:t>进行组装加工</w:t>
            </w:r>
            <w:r>
              <w:rPr>
                <w:rFonts w:hint="eastAsia"/>
                <w:color w:val="auto"/>
                <w:lang w:val="en-US"/>
              </w:rPr>
              <w:t>，该工序会产生噪声N</w:t>
            </w:r>
            <w:r>
              <w:rPr>
                <w:rFonts w:hint="eastAsia"/>
                <w:color w:val="auto"/>
                <w:vertAlign w:val="subscript"/>
                <w:lang w:val="en-US" w:eastAsia="zh-CN"/>
              </w:rPr>
              <w:t>12</w:t>
            </w:r>
            <w:r>
              <w:rPr>
                <w:rFonts w:hint="eastAsia"/>
                <w:color w:val="auto"/>
                <w:lang w:val="en-US"/>
              </w:rPr>
              <w:t>。</w:t>
            </w:r>
          </w:p>
          <w:p w14:paraId="173821D3">
            <w:pPr>
              <w:pStyle w:val="87"/>
              <w:spacing w:after="0" w:line="360" w:lineRule="auto"/>
              <w:ind w:left="0" w:leftChars="0" w:firstLine="480"/>
              <w:rPr>
                <w:rFonts w:hint="default" w:eastAsia="宋体"/>
                <w:color w:val="auto"/>
                <w:lang w:val="en-US" w:eastAsia="zh-CN"/>
              </w:rPr>
            </w:pPr>
            <w:r>
              <w:rPr>
                <w:rFonts w:hint="eastAsia"/>
                <w:color w:val="auto"/>
                <w:lang w:val="en-US"/>
              </w:rPr>
              <w:t>（13）检验、成品入库</w:t>
            </w:r>
            <w:r>
              <w:rPr>
                <w:color w:val="auto"/>
                <w:lang w:val="en-US"/>
              </w:rPr>
              <w:t>：</w:t>
            </w:r>
            <w:r>
              <w:rPr>
                <w:rFonts w:hint="eastAsia"/>
                <w:color w:val="auto"/>
                <w:lang w:val="en-US"/>
              </w:rPr>
              <w:t>人工检查合格后包装</w:t>
            </w:r>
            <w:r>
              <w:rPr>
                <w:color w:val="auto"/>
                <w:lang w:val="en-US"/>
              </w:rPr>
              <w:t>入库</w:t>
            </w:r>
            <w:r>
              <w:rPr>
                <w:rFonts w:hint="eastAsia"/>
                <w:color w:val="auto"/>
                <w:lang w:val="en-US"/>
              </w:rPr>
              <w:t>外售</w:t>
            </w:r>
            <w:r>
              <w:rPr>
                <w:color w:val="auto"/>
                <w:lang w:val="en-US"/>
              </w:rPr>
              <w:t>。</w:t>
            </w:r>
            <w:r>
              <w:rPr>
                <w:rFonts w:hint="eastAsia"/>
                <w:color w:val="auto"/>
                <w:lang w:val="en-US" w:eastAsia="zh-CN"/>
              </w:rPr>
              <w:t>该工序会产生不合格品S</w:t>
            </w:r>
            <w:r>
              <w:rPr>
                <w:rFonts w:hint="eastAsia"/>
                <w:color w:val="auto"/>
                <w:vertAlign w:val="subscript"/>
                <w:lang w:val="en-US" w:eastAsia="zh-CN"/>
              </w:rPr>
              <w:t>12</w:t>
            </w:r>
            <w:r>
              <w:rPr>
                <w:rFonts w:hint="eastAsia"/>
                <w:color w:val="auto"/>
                <w:lang w:val="en-US" w:eastAsia="zh-CN"/>
              </w:rPr>
              <w:t>。</w:t>
            </w:r>
          </w:p>
          <w:p w14:paraId="173821D4">
            <w:pPr>
              <w:pStyle w:val="87"/>
              <w:spacing w:after="0" w:line="360" w:lineRule="auto"/>
              <w:ind w:left="0" w:leftChars="0" w:firstLine="480"/>
              <w:rPr>
                <w:color w:val="auto"/>
                <w:lang w:val="en-US"/>
              </w:rPr>
            </w:pPr>
            <w:r>
              <w:rPr>
                <w:color w:val="auto"/>
                <w:lang w:val="en-US"/>
              </w:rPr>
              <w:t>本项目建成后，运营期产排污情况如下表：</w:t>
            </w:r>
          </w:p>
          <w:p w14:paraId="173821D5">
            <w:pPr>
              <w:widowControl/>
              <w:snapToGrid w:val="0"/>
              <w:jc w:val="center"/>
              <w:rPr>
                <w:rFonts w:hint="eastAsia" w:eastAsia="宋体"/>
                <w:b/>
                <w:color w:val="auto"/>
                <w:sz w:val="24"/>
                <w:lang w:val="en-US" w:eastAsia="zh-CN"/>
              </w:rPr>
            </w:pPr>
            <w:r>
              <w:rPr>
                <w:b/>
                <w:color w:val="auto"/>
                <w:sz w:val="24"/>
              </w:rPr>
              <w:t>表2-</w:t>
            </w:r>
            <w:r>
              <w:rPr>
                <w:rFonts w:hint="eastAsia"/>
                <w:b/>
                <w:color w:val="auto"/>
                <w:sz w:val="24"/>
              </w:rPr>
              <w:t>6</w:t>
            </w:r>
            <w:r>
              <w:rPr>
                <w:b/>
                <w:color w:val="auto"/>
                <w:sz w:val="24"/>
              </w:rPr>
              <w:t xml:space="preserve"> 本项目主要产污环节</w:t>
            </w:r>
            <w:r>
              <w:rPr>
                <w:rFonts w:hint="eastAsia"/>
                <w:b/>
                <w:color w:val="auto"/>
                <w:sz w:val="24"/>
                <w:lang w:val="en-US" w:eastAsia="zh-CN"/>
              </w:rPr>
              <w:t>一览表</w:t>
            </w:r>
          </w:p>
          <w:tbl>
            <w:tblPr>
              <w:tblStyle w:val="88"/>
              <w:tblW w:w="5063"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Change w:id="0" w:author="武装我心" w:date="2025-01-14T17:06:15Z">
                <w:tblPr>
                  <w:tblStyle w:val="88"/>
                  <w:tblW w:w="5032"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PrChange>
            </w:tblPr>
            <w:tblGrid>
              <w:gridCol w:w="460"/>
              <w:gridCol w:w="727"/>
              <w:gridCol w:w="2012"/>
              <w:gridCol w:w="1755"/>
              <w:gridCol w:w="899"/>
              <w:gridCol w:w="2657"/>
              <w:tblGridChange w:id="1">
                <w:tblGrid>
                  <w:gridCol w:w="53"/>
                  <w:gridCol w:w="410"/>
                  <w:gridCol w:w="57"/>
                  <w:gridCol w:w="670"/>
                  <w:gridCol w:w="58"/>
                  <w:gridCol w:w="2015"/>
                  <w:gridCol w:w="1234"/>
                  <w:gridCol w:w="1427"/>
                  <w:gridCol w:w="2587"/>
                </w:tblGrid>
              </w:tblGridChange>
            </w:tblGrid>
            <w:tr w14:paraId="173821D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Change w:id="2" w:author="武装我心" w:date="2025-01-14T17:06:15Z">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blPrExChange>
              </w:tblPrEx>
              <w:trPr>
                <w:wBefore w:w="0" w:type="auto"/>
                <w:cantSplit/>
                <w:trHeight w:val="283" w:hRule="atLeast"/>
                <w:jc w:val="center"/>
                <w:trPrChange w:id="2" w:author="武装我心" w:date="2025-01-14T17:06:15Z">
                  <w:trPr>
                    <w:gridBefore w:val="1"/>
                    <w:wBefore w:w="53" w:type="dxa"/>
                    <w:cantSplit/>
                    <w:trHeight w:val="340" w:hRule="atLeast"/>
                    <w:jc w:val="center"/>
                  </w:trPr>
                </w:trPrChange>
              </w:trPr>
              <w:tc>
                <w:tcPr>
                  <w:tcW w:w="271" w:type="pct"/>
                  <w:vAlign w:val="center"/>
                  <w:tcPrChange w:id="3" w:author="武装我心" w:date="2025-01-14T17:06:15Z">
                    <w:tcPr>
                      <w:tcW w:w="276" w:type="pct"/>
                      <w:gridSpan w:val="2"/>
                      <w:vAlign w:val="center"/>
                    </w:tcPr>
                  </w:tcPrChange>
                </w:tcPr>
                <w:p w14:paraId="173821D6">
                  <w:pPr>
                    <w:snapToGrid w:val="0"/>
                    <w:jc w:val="center"/>
                    <w:rPr>
                      <w:rFonts w:hint="eastAsia" w:hAnsi="宋体"/>
                      <w:b/>
                      <w:color w:val="auto"/>
                      <w:szCs w:val="21"/>
                    </w:rPr>
                  </w:pPr>
                  <w:r>
                    <w:rPr>
                      <w:rFonts w:hAnsi="宋体"/>
                      <w:b/>
                      <w:color w:val="auto"/>
                      <w:szCs w:val="21"/>
                    </w:rPr>
                    <w:t>类别</w:t>
                  </w:r>
                </w:p>
              </w:tc>
              <w:tc>
                <w:tcPr>
                  <w:tcW w:w="427" w:type="pct"/>
                  <w:vAlign w:val="center"/>
                  <w:tcPrChange w:id="4" w:author="武装我心" w:date="2025-01-14T17:06:15Z">
                    <w:tcPr>
                      <w:tcW w:w="430" w:type="pct"/>
                      <w:gridSpan w:val="2"/>
                      <w:vAlign w:val="center"/>
                    </w:tcPr>
                  </w:tcPrChange>
                </w:tcPr>
                <w:p w14:paraId="173821D7">
                  <w:pPr>
                    <w:snapToGrid w:val="0"/>
                    <w:jc w:val="center"/>
                    <w:rPr>
                      <w:rFonts w:hint="eastAsia" w:hAnsi="宋体"/>
                      <w:b/>
                      <w:color w:val="auto"/>
                      <w:szCs w:val="21"/>
                    </w:rPr>
                  </w:pPr>
                  <w:r>
                    <w:rPr>
                      <w:rFonts w:hAnsi="宋体"/>
                      <w:b/>
                      <w:color w:val="auto"/>
                      <w:szCs w:val="21"/>
                    </w:rPr>
                    <w:t>编号</w:t>
                  </w:r>
                </w:p>
              </w:tc>
              <w:tc>
                <w:tcPr>
                  <w:tcW w:w="1182" w:type="pct"/>
                  <w:vAlign w:val="center"/>
                  <w:tcPrChange w:id="5" w:author="武装我心" w:date="2025-01-14T17:06:15Z">
                    <w:tcPr>
                      <w:tcW w:w="1191" w:type="pct"/>
                      <w:vAlign w:val="center"/>
                    </w:tcPr>
                  </w:tcPrChange>
                </w:tcPr>
                <w:p w14:paraId="173821D8">
                  <w:pPr>
                    <w:snapToGrid w:val="0"/>
                    <w:jc w:val="center"/>
                    <w:rPr>
                      <w:rFonts w:hint="eastAsia" w:hAnsi="宋体"/>
                      <w:b/>
                      <w:color w:val="auto"/>
                      <w:szCs w:val="21"/>
                    </w:rPr>
                  </w:pPr>
                  <w:r>
                    <w:rPr>
                      <w:rFonts w:hAnsi="宋体"/>
                      <w:b/>
                      <w:color w:val="auto"/>
                      <w:szCs w:val="21"/>
                    </w:rPr>
                    <w:t>污染物</w:t>
                  </w:r>
                </w:p>
              </w:tc>
              <w:tc>
                <w:tcPr>
                  <w:tcW w:w="1031" w:type="pct"/>
                  <w:vAlign w:val="center"/>
                  <w:tcPrChange w:id="6" w:author="武装我心" w:date="2025-01-14T17:06:15Z">
                    <w:tcPr>
                      <w:tcW w:w="729" w:type="pct"/>
                      <w:vAlign w:val="center"/>
                    </w:tcPr>
                  </w:tcPrChange>
                </w:tcPr>
                <w:p w14:paraId="173821D9">
                  <w:pPr>
                    <w:snapToGrid w:val="0"/>
                    <w:jc w:val="center"/>
                    <w:rPr>
                      <w:rFonts w:hint="eastAsia" w:hAnsi="宋体"/>
                      <w:b/>
                      <w:color w:val="auto"/>
                      <w:szCs w:val="21"/>
                    </w:rPr>
                  </w:pPr>
                  <w:r>
                    <w:rPr>
                      <w:rFonts w:hAnsi="宋体"/>
                      <w:b/>
                      <w:color w:val="auto"/>
                      <w:szCs w:val="21"/>
                    </w:rPr>
                    <w:t>污染源</w:t>
                  </w:r>
                </w:p>
              </w:tc>
              <w:tc>
                <w:tcPr>
                  <w:tcW w:w="2088" w:type="pct"/>
                  <w:gridSpan w:val="2"/>
                  <w:vAlign w:val="center"/>
                  <w:tcPrChange w:id="7" w:author="武装我心" w:date="2025-01-14T17:06:15Z">
                    <w:tcPr>
                      <w:tcW w:w="2372" w:type="pct"/>
                      <w:gridSpan w:val="2"/>
                      <w:vAlign w:val="center"/>
                    </w:tcPr>
                  </w:tcPrChange>
                </w:tcPr>
                <w:p w14:paraId="173821DA">
                  <w:pPr>
                    <w:snapToGrid w:val="0"/>
                    <w:jc w:val="center"/>
                    <w:rPr>
                      <w:rFonts w:hint="eastAsia" w:hAnsi="宋体"/>
                      <w:b/>
                      <w:color w:val="auto"/>
                      <w:szCs w:val="21"/>
                    </w:rPr>
                  </w:pPr>
                  <w:r>
                    <w:rPr>
                      <w:rFonts w:hAnsi="宋体"/>
                      <w:b/>
                      <w:color w:val="auto"/>
                      <w:szCs w:val="21"/>
                    </w:rPr>
                    <w:t>治理设施</w:t>
                  </w:r>
                </w:p>
              </w:tc>
            </w:tr>
            <w:tr w14:paraId="173821E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Change w:id="8" w:author="武装我心" w:date="2025-01-14T17:06:15Z">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blPrExChange>
              </w:tblPrEx>
              <w:trPr>
                <w:wBefore w:w="0" w:type="auto"/>
                <w:cantSplit/>
                <w:trHeight w:val="283" w:hRule="atLeast"/>
                <w:jc w:val="center"/>
                <w:trPrChange w:id="8" w:author="武装我心" w:date="2025-01-14T17:06:15Z">
                  <w:trPr>
                    <w:gridBefore w:val="1"/>
                    <w:wBefore w:w="53" w:type="dxa"/>
                    <w:cantSplit/>
                    <w:trHeight w:val="340" w:hRule="atLeast"/>
                    <w:jc w:val="center"/>
                  </w:trPr>
                </w:trPrChange>
              </w:trPr>
              <w:tc>
                <w:tcPr>
                  <w:tcW w:w="271" w:type="pct"/>
                  <w:vMerge w:val="restart"/>
                  <w:vAlign w:val="center"/>
                  <w:tcPrChange w:id="9" w:author="武装我心" w:date="2025-01-14T17:06:15Z">
                    <w:tcPr>
                      <w:tcW w:w="276" w:type="pct"/>
                      <w:gridSpan w:val="2"/>
                      <w:vMerge w:val="restart"/>
                      <w:vAlign w:val="center"/>
                    </w:tcPr>
                  </w:tcPrChange>
                </w:tcPr>
                <w:p w14:paraId="173821DC">
                  <w:pPr>
                    <w:snapToGrid w:val="0"/>
                    <w:jc w:val="center"/>
                    <w:rPr>
                      <w:color w:val="auto"/>
                      <w:szCs w:val="21"/>
                    </w:rPr>
                  </w:pPr>
                  <w:r>
                    <w:rPr>
                      <w:color w:val="auto"/>
                      <w:szCs w:val="21"/>
                    </w:rPr>
                    <w:t>废气</w:t>
                  </w:r>
                </w:p>
              </w:tc>
              <w:tc>
                <w:tcPr>
                  <w:tcW w:w="427" w:type="pct"/>
                  <w:vAlign w:val="center"/>
                  <w:tcPrChange w:id="10" w:author="武装我心" w:date="2025-01-14T17:06:15Z">
                    <w:tcPr>
                      <w:tcW w:w="430" w:type="pct"/>
                      <w:gridSpan w:val="2"/>
                      <w:vAlign w:val="center"/>
                    </w:tcPr>
                  </w:tcPrChange>
                </w:tcPr>
                <w:p w14:paraId="173821DD">
                  <w:pPr>
                    <w:snapToGrid w:val="0"/>
                    <w:jc w:val="center"/>
                    <w:rPr>
                      <w:color w:val="auto"/>
                      <w:szCs w:val="21"/>
                    </w:rPr>
                  </w:pPr>
                  <w:r>
                    <w:rPr>
                      <w:rFonts w:hint="eastAsia"/>
                      <w:color w:val="auto"/>
                      <w:szCs w:val="21"/>
                    </w:rPr>
                    <w:t>G</w:t>
                  </w:r>
                  <w:r>
                    <w:rPr>
                      <w:rFonts w:hint="eastAsia"/>
                      <w:color w:val="auto"/>
                      <w:szCs w:val="21"/>
                      <w:vertAlign w:val="subscript"/>
                    </w:rPr>
                    <w:t>1</w:t>
                  </w:r>
                </w:p>
              </w:tc>
              <w:tc>
                <w:tcPr>
                  <w:tcW w:w="1182" w:type="pct"/>
                  <w:vAlign w:val="center"/>
                  <w:tcPrChange w:id="11" w:author="武装我心" w:date="2025-01-14T17:06:15Z">
                    <w:tcPr>
                      <w:tcW w:w="1191" w:type="pct"/>
                      <w:vAlign w:val="center"/>
                    </w:tcPr>
                  </w:tcPrChange>
                </w:tcPr>
                <w:p w14:paraId="173821DE">
                  <w:pPr>
                    <w:snapToGrid w:val="0"/>
                    <w:jc w:val="center"/>
                    <w:rPr>
                      <w:color w:val="auto"/>
                      <w:szCs w:val="21"/>
                    </w:rPr>
                  </w:pPr>
                  <w:r>
                    <w:rPr>
                      <w:rFonts w:hint="eastAsia"/>
                      <w:color w:val="auto"/>
                      <w:szCs w:val="21"/>
                    </w:rPr>
                    <w:t>颗粒物</w:t>
                  </w:r>
                </w:p>
              </w:tc>
              <w:tc>
                <w:tcPr>
                  <w:tcW w:w="1031" w:type="pct"/>
                  <w:vAlign w:val="center"/>
                  <w:tcPrChange w:id="12" w:author="武装我心" w:date="2025-01-14T17:06:15Z">
                    <w:tcPr>
                      <w:tcW w:w="729" w:type="pct"/>
                      <w:vAlign w:val="center"/>
                    </w:tcPr>
                  </w:tcPrChange>
                </w:tcPr>
                <w:p w14:paraId="173821DF">
                  <w:pPr>
                    <w:snapToGrid w:val="0"/>
                    <w:jc w:val="center"/>
                    <w:rPr>
                      <w:color w:val="auto"/>
                      <w:szCs w:val="21"/>
                    </w:rPr>
                  </w:pPr>
                  <w:r>
                    <w:rPr>
                      <w:rFonts w:hint="eastAsia"/>
                      <w:color w:val="auto"/>
                      <w:szCs w:val="21"/>
                    </w:rPr>
                    <w:t>投料搅拌</w:t>
                  </w:r>
                </w:p>
              </w:tc>
              <w:tc>
                <w:tcPr>
                  <w:tcW w:w="528" w:type="pct"/>
                  <w:vMerge w:val="restart"/>
                  <w:vAlign w:val="center"/>
                  <w:tcPrChange w:id="13" w:author="武装我心" w:date="2025-01-14T17:06:15Z">
                    <w:tcPr>
                      <w:tcW w:w="843" w:type="pct"/>
                      <w:vMerge w:val="restart"/>
                      <w:vAlign w:val="center"/>
                    </w:tcPr>
                  </w:tcPrChange>
                </w:tcPr>
                <w:p w14:paraId="173821E0">
                  <w:pPr>
                    <w:snapToGrid w:val="0"/>
                    <w:jc w:val="center"/>
                    <w:rPr>
                      <w:color w:val="auto"/>
                      <w:szCs w:val="21"/>
                    </w:rPr>
                  </w:pPr>
                  <w:r>
                    <w:rPr>
                      <w:rFonts w:hint="eastAsia"/>
                      <w:color w:val="auto"/>
                      <w:szCs w:val="21"/>
                      <w:lang w:val="en-US" w:eastAsia="zh-CN"/>
                    </w:rPr>
                    <w:t>密闭车间+</w:t>
                  </w:r>
                  <w:r>
                    <w:rPr>
                      <w:rFonts w:hint="eastAsia"/>
                      <w:color w:val="auto"/>
                      <w:szCs w:val="21"/>
                    </w:rPr>
                    <w:t>管道负压</w:t>
                  </w:r>
                  <w:r>
                    <w:rPr>
                      <w:color w:val="auto"/>
                      <w:szCs w:val="21"/>
                    </w:rPr>
                    <w:t>收集</w:t>
                  </w:r>
                </w:p>
              </w:tc>
              <w:tc>
                <w:tcPr>
                  <w:tcW w:w="1559" w:type="pct"/>
                  <w:vMerge w:val="restart"/>
                  <w:vAlign w:val="center"/>
                  <w:tcPrChange w:id="14" w:author="武装我心" w:date="2025-01-14T17:06:15Z">
                    <w:tcPr>
                      <w:tcW w:w="1529" w:type="pct"/>
                      <w:vMerge w:val="restart"/>
                      <w:vAlign w:val="center"/>
                    </w:tcPr>
                  </w:tcPrChange>
                </w:tcPr>
                <w:p w14:paraId="173821E1">
                  <w:pPr>
                    <w:snapToGrid w:val="0"/>
                    <w:jc w:val="center"/>
                    <w:rPr>
                      <w:color w:val="auto"/>
                      <w:szCs w:val="21"/>
                    </w:rPr>
                  </w:pPr>
                  <w:r>
                    <w:rPr>
                      <w:rFonts w:hint="eastAsia"/>
                      <w:color w:val="auto"/>
                      <w:szCs w:val="21"/>
                    </w:rPr>
                    <w:t>二级活性炭TA001+</w:t>
                  </w:r>
                  <w:r>
                    <w:rPr>
                      <w:color w:val="auto"/>
                      <w:szCs w:val="21"/>
                    </w:rPr>
                    <w:t>15</w:t>
                  </w:r>
                  <w:r>
                    <w:rPr>
                      <w:rFonts w:hint="eastAsia"/>
                      <w:color w:val="auto"/>
                      <w:szCs w:val="21"/>
                    </w:rPr>
                    <w:t>m</w:t>
                  </w:r>
                  <w:r>
                    <w:rPr>
                      <w:color w:val="auto"/>
                      <w:szCs w:val="21"/>
                    </w:rPr>
                    <w:t>高DA001排气筒</w:t>
                  </w:r>
                </w:p>
              </w:tc>
            </w:tr>
            <w:tr w14:paraId="173821E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Change w:id="15" w:author="武装我心" w:date="2025-01-14T17:06:15Z">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blPrExChange>
              </w:tblPrEx>
              <w:trPr>
                <w:wBefore w:w="0" w:type="auto"/>
                <w:cantSplit/>
                <w:trHeight w:val="283" w:hRule="atLeast"/>
                <w:jc w:val="center"/>
                <w:trPrChange w:id="15" w:author="武装我心" w:date="2025-01-14T17:06:15Z">
                  <w:trPr>
                    <w:gridBefore w:val="1"/>
                    <w:wBefore w:w="53" w:type="dxa"/>
                    <w:cantSplit/>
                    <w:trHeight w:val="340" w:hRule="atLeast"/>
                    <w:jc w:val="center"/>
                  </w:trPr>
                </w:trPrChange>
              </w:trPr>
              <w:tc>
                <w:tcPr>
                  <w:tcW w:w="271" w:type="pct"/>
                  <w:vMerge w:val="continue"/>
                  <w:vAlign w:val="center"/>
                  <w:tcPrChange w:id="16" w:author="武装我心" w:date="2025-01-14T17:06:15Z">
                    <w:tcPr>
                      <w:tcW w:w="276" w:type="pct"/>
                      <w:gridSpan w:val="2"/>
                      <w:vMerge w:val="continue"/>
                      <w:vAlign w:val="center"/>
                    </w:tcPr>
                  </w:tcPrChange>
                </w:tcPr>
                <w:p w14:paraId="173821E3">
                  <w:pPr>
                    <w:snapToGrid w:val="0"/>
                    <w:jc w:val="center"/>
                    <w:rPr>
                      <w:color w:val="auto"/>
                      <w:szCs w:val="21"/>
                    </w:rPr>
                  </w:pPr>
                </w:p>
              </w:tc>
              <w:tc>
                <w:tcPr>
                  <w:tcW w:w="427" w:type="pct"/>
                  <w:vAlign w:val="center"/>
                  <w:tcPrChange w:id="17" w:author="武装我心" w:date="2025-01-14T17:06:15Z">
                    <w:tcPr>
                      <w:tcW w:w="430" w:type="pct"/>
                      <w:gridSpan w:val="2"/>
                      <w:vAlign w:val="center"/>
                    </w:tcPr>
                  </w:tcPrChange>
                </w:tcPr>
                <w:p w14:paraId="173821E4">
                  <w:pPr>
                    <w:snapToGrid w:val="0"/>
                    <w:jc w:val="center"/>
                    <w:rPr>
                      <w:color w:val="auto"/>
                      <w:szCs w:val="21"/>
                    </w:rPr>
                  </w:pPr>
                  <w:r>
                    <w:rPr>
                      <w:rFonts w:hint="eastAsia"/>
                      <w:color w:val="auto"/>
                      <w:szCs w:val="21"/>
                    </w:rPr>
                    <w:t>G</w:t>
                  </w:r>
                  <w:r>
                    <w:rPr>
                      <w:rFonts w:hint="eastAsia"/>
                      <w:color w:val="auto"/>
                      <w:szCs w:val="21"/>
                      <w:vertAlign w:val="subscript"/>
                    </w:rPr>
                    <w:t>2</w:t>
                  </w:r>
                </w:p>
              </w:tc>
              <w:tc>
                <w:tcPr>
                  <w:tcW w:w="1182" w:type="pct"/>
                  <w:vAlign w:val="center"/>
                  <w:tcPrChange w:id="18" w:author="武装我心" w:date="2025-01-14T17:06:15Z">
                    <w:tcPr>
                      <w:tcW w:w="1191" w:type="pct"/>
                      <w:vAlign w:val="center"/>
                    </w:tcPr>
                  </w:tcPrChange>
                </w:tcPr>
                <w:p w14:paraId="173821E5">
                  <w:pPr>
                    <w:snapToGrid w:val="0"/>
                    <w:jc w:val="center"/>
                    <w:rPr>
                      <w:color w:val="auto"/>
                      <w:szCs w:val="21"/>
                    </w:rPr>
                  </w:pPr>
                  <w:r>
                    <w:rPr>
                      <w:rFonts w:hint="eastAsia"/>
                      <w:color w:val="auto"/>
                      <w:szCs w:val="21"/>
                    </w:rPr>
                    <w:t>非甲烷总烃、苯乙烯</w:t>
                  </w:r>
                </w:p>
              </w:tc>
              <w:tc>
                <w:tcPr>
                  <w:tcW w:w="1031" w:type="pct"/>
                  <w:vAlign w:val="center"/>
                  <w:tcPrChange w:id="19" w:author="武装我心" w:date="2025-01-14T17:06:15Z">
                    <w:tcPr>
                      <w:tcW w:w="729" w:type="pct"/>
                      <w:vAlign w:val="center"/>
                    </w:tcPr>
                  </w:tcPrChange>
                </w:tcPr>
                <w:p w14:paraId="173821E6">
                  <w:pPr>
                    <w:snapToGrid w:val="0"/>
                    <w:jc w:val="center"/>
                    <w:rPr>
                      <w:color w:val="auto"/>
                      <w:szCs w:val="21"/>
                    </w:rPr>
                  </w:pPr>
                  <w:r>
                    <w:rPr>
                      <w:rFonts w:hint="eastAsia"/>
                      <w:color w:val="auto"/>
                      <w:szCs w:val="21"/>
                    </w:rPr>
                    <w:t>投料搅拌</w:t>
                  </w:r>
                </w:p>
              </w:tc>
              <w:tc>
                <w:tcPr>
                  <w:tcW w:w="528" w:type="pct"/>
                  <w:vMerge w:val="continue"/>
                  <w:vAlign w:val="center"/>
                  <w:tcPrChange w:id="20" w:author="武装我心" w:date="2025-01-14T17:06:15Z">
                    <w:tcPr>
                      <w:tcW w:w="843" w:type="pct"/>
                      <w:vMerge w:val="continue"/>
                      <w:vAlign w:val="center"/>
                    </w:tcPr>
                  </w:tcPrChange>
                </w:tcPr>
                <w:p w14:paraId="173821E7">
                  <w:pPr>
                    <w:snapToGrid w:val="0"/>
                    <w:jc w:val="center"/>
                    <w:rPr>
                      <w:color w:val="auto"/>
                      <w:szCs w:val="21"/>
                    </w:rPr>
                  </w:pPr>
                </w:p>
              </w:tc>
              <w:tc>
                <w:tcPr>
                  <w:tcW w:w="1559" w:type="pct"/>
                  <w:vMerge w:val="continue"/>
                  <w:vAlign w:val="center"/>
                  <w:tcPrChange w:id="21" w:author="武装我心" w:date="2025-01-14T17:06:15Z">
                    <w:tcPr>
                      <w:tcW w:w="1529" w:type="pct"/>
                      <w:vMerge w:val="continue"/>
                      <w:vAlign w:val="center"/>
                    </w:tcPr>
                  </w:tcPrChange>
                </w:tcPr>
                <w:p w14:paraId="173821E8">
                  <w:pPr>
                    <w:snapToGrid w:val="0"/>
                    <w:jc w:val="center"/>
                    <w:rPr>
                      <w:color w:val="auto"/>
                      <w:szCs w:val="21"/>
                    </w:rPr>
                  </w:pPr>
                </w:p>
              </w:tc>
            </w:tr>
            <w:tr w14:paraId="173821F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Change w:id="22" w:author="武装我心" w:date="2025-01-14T17:06:15Z">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blPrExChange>
              </w:tblPrEx>
              <w:trPr>
                <w:wBefore w:w="0" w:type="auto"/>
                <w:cantSplit/>
                <w:trHeight w:val="283" w:hRule="atLeast"/>
                <w:jc w:val="center"/>
                <w:trPrChange w:id="22" w:author="武装我心" w:date="2025-01-14T17:06:15Z">
                  <w:trPr>
                    <w:gridBefore w:val="1"/>
                    <w:wBefore w:w="53" w:type="dxa"/>
                    <w:cantSplit/>
                    <w:trHeight w:val="340" w:hRule="atLeast"/>
                    <w:jc w:val="center"/>
                  </w:trPr>
                </w:trPrChange>
              </w:trPr>
              <w:tc>
                <w:tcPr>
                  <w:tcW w:w="271" w:type="pct"/>
                  <w:vMerge w:val="continue"/>
                  <w:vAlign w:val="center"/>
                  <w:tcPrChange w:id="23" w:author="武装我心" w:date="2025-01-14T17:06:15Z">
                    <w:tcPr>
                      <w:tcW w:w="276" w:type="pct"/>
                      <w:gridSpan w:val="2"/>
                      <w:vMerge w:val="continue"/>
                      <w:vAlign w:val="center"/>
                    </w:tcPr>
                  </w:tcPrChange>
                </w:tcPr>
                <w:p w14:paraId="173821EA">
                  <w:pPr>
                    <w:snapToGrid w:val="0"/>
                    <w:jc w:val="center"/>
                    <w:rPr>
                      <w:color w:val="auto"/>
                      <w:szCs w:val="21"/>
                    </w:rPr>
                  </w:pPr>
                </w:p>
              </w:tc>
              <w:tc>
                <w:tcPr>
                  <w:tcW w:w="427" w:type="pct"/>
                  <w:vAlign w:val="center"/>
                  <w:tcPrChange w:id="24" w:author="武装我心" w:date="2025-01-14T17:06:15Z">
                    <w:tcPr>
                      <w:tcW w:w="430" w:type="pct"/>
                      <w:gridSpan w:val="2"/>
                      <w:vAlign w:val="center"/>
                    </w:tcPr>
                  </w:tcPrChange>
                </w:tcPr>
                <w:p w14:paraId="173821EB">
                  <w:pPr>
                    <w:snapToGrid w:val="0"/>
                    <w:jc w:val="center"/>
                    <w:rPr>
                      <w:color w:val="auto"/>
                      <w:szCs w:val="21"/>
                    </w:rPr>
                  </w:pPr>
                  <w:r>
                    <w:rPr>
                      <w:rFonts w:hint="eastAsia"/>
                      <w:color w:val="auto"/>
                      <w:szCs w:val="21"/>
                    </w:rPr>
                    <w:t>G</w:t>
                  </w:r>
                  <w:r>
                    <w:rPr>
                      <w:rFonts w:hint="eastAsia"/>
                      <w:color w:val="auto"/>
                      <w:szCs w:val="21"/>
                      <w:vertAlign w:val="subscript"/>
                    </w:rPr>
                    <w:t>3</w:t>
                  </w:r>
                </w:p>
              </w:tc>
              <w:tc>
                <w:tcPr>
                  <w:tcW w:w="1182" w:type="pct"/>
                  <w:vAlign w:val="center"/>
                  <w:tcPrChange w:id="25" w:author="武装我心" w:date="2025-01-14T17:06:15Z">
                    <w:tcPr>
                      <w:tcW w:w="1191" w:type="pct"/>
                      <w:vAlign w:val="center"/>
                    </w:tcPr>
                  </w:tcPrChange>
                </w:tcPr>
                <w:p w14:paraId="173821EC">
                  <w:pPr>
                    <w:snapToGrid w:val="0"/>
                    <w:jc w:val="center"/>
                    <w:rPr>
                      <w:color w:val="auto"/>
                      <w:szCs w:val="21"/>
                    </w:rPr>
                  </w:pPr>
                  <w:r>
                    <w:rPr>
                      <w:rFonts w:hint="eastAsia"/>
                      <w:color w:val="auto"/>
                      <w:szCs w:val="21"/>
                    </w:rPr>
                    <w:t>非甲烷总烃、苯乙烯</w:t>
                  </w:r>
                </w:p>
              </w:tc>
              <w:tc>
                <w:tcPr>
                  <w:tcW w:w="1031" w:type="pct"/>
                  <w:vAlign w:val="center"/>
                  <w:tcPrChange w:id="26" w:author="武装我心" w:date="2025-01-14T17:06:15Z">
                    <w:tcPr>
                      <w:tcW w:w="729" w:type="pct"/>
                      <w:vAlign w:val="center"/>
                    </w:tcPr>
                  </w:tcPrChange>
                </w:tcPr>
                <w:p w14:paraId="173821ED">
                  <w:pPr>
                    <w:snapToGrid w:val="0"/>
                    <w:jc w:val="center"/>
                    <w:rPr>
                      <w:color w:val="auto"/>
                      <w:szCs w:val="21"/>
                    </w:rPr>
                  </w:pPr>
                  <w:r>
                    <w:rPr>
                      <w:rFonts w:hint="eastAsia"/>
                      <w:color w:val="auto"/>
                      <w:szCs w:val="21"/>
                    </w:rPr>
                    <w:t>浸纱</w:t>
                  </w:r>
                </w:p>
              </w:tc>
              <w:tc>
                <w:tcPr>
                  <w:tcW w:w="528" w:type="pct"/>
                  <w:vMerge w:val="continue"/>
                  <w:vAlign w:val="center"/>
                  <w:tcPrChange w:id="27" w:author="武装我心" w:date="2025-01-14T17:06:15Z">
                    <w:tcPr>
                      <w:tcW w:w="843" w:type="pct"/>
                      <w:vMerge w:val="continue"/>
                      <w:vAlign w:val="center"/>
                    </w:tcPr>
                  </w:tcPrChange>
                </w:tcPr>
                <w:p w14:paraId="173821EE">
                  <w:pPr>
                    <w:snapToGrid w:val="0"/>
                    <w:jc w:val="center"/>
                    <w:rPr>
                      <w:color w:val="auto"/>
                      <w:szCs w:val="21"/>
                    </w:rPr>
                  </w:pPr>
                </w:p>
              </w:tc>
              <w:tc>
                <w:tcPr>
                  <w:tcW w:w="1559" w:type="pct"/>
                  <w:vMerge w:val="continue"/>
                  <w:vAlign w:val="center"/>
                  <w:tcPrChange w:id="28" w:author="武装我心" w:date="2025-01-14T17:06:15Z">
                    <w:tcPr>
                      <w:tcW w:w="1529" w:type="pct"/>
                      <w:vMerge w:val="continue"/>
                      <w:vAlign w:val="center"/>
                    </w:tcPr>
                  </w:tcPrChange>
                </w:tcPr>
                <w:p w14:paraId="173821EF">
                  <w:pPr>
                    <w:snapToGrid w:val="0"/>
                    <w:jc w:val="center"/>
                    <w:rPr>
                      <w:color w:val="auto"/>
                      <w:szCs w:val="21"/>
                    </w:rPr>
                  </w:pPr>
                </w:p>
              </w:tc>
            </w:tr>
            <w:tr w14:paraId="173821F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Change w:id="29" w:author="武装我心" w:date="2025-01-14T17:06:15Z">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blPrExChange>
              </w:tblPrEx>
              <w:trPr>
                <w:wBefore w:w="0" w:type="auto"/>
                <w:cantSplit/>
                <w:trHeight w:val="283" w:hRule="atLeast"/>
                <w:jc w:val="center"/>
                <w:trPrChange w:id="29" w:author="武装我心" w:date="2025-01-14T17:06:15Z">
                  <w:trPr>
                    <w:gridBefore w:val="1"/>
                    <w:wBefore w:w="53" w:type="dxa"/>
                    <w:cantSplit/>
                    <w:trHeight w:val="340" w:hRule="atLeast"/>
                    <w:jc w:val="center"/>
                  </w:trPr>
                </w:trPrChange>
              </w:trPr>
              <w:tc>
                <w:tcPr>
                  <w:tcW w:w="271" w:type="pct"/>
                  <w:vMerge w:val="continue"/>
                  <w:vAlign w:val="center"/>
                  <w:tcPrChange w:id="30" w:author="武装我心" w:date="2025-01-14T17:06:15Z">
                    <w:tcPr>
                      <w:tcW w:w="276" w:type="pct"/>
                      <w:gridSpan w:val="2"/>
                      <w:vMerge w:val="continue"/>
                      <w:vAlign w:val="center"/>
                    </w:tcPr>
                  </w:tcPrChange>
                </w:tcPr>
                <w:p w14:paraId="173821F1">
                  <w:pPr>
                    <w:snapToGrid w:val="0"/>
                    <w:jc w:val="center"/>
                    <w:rPr>
                      <w:color w:val="auto"/>
                      <w:szCs w:val="21"/>
                    </w:rPr>
                  </w:pPr>
                </w:p>
              </w:tc>
              <w:tc>
                <w:tcPr>
                  <w:tcW w:w="427" w:type="pct"/>
                  <w:vAlign w:val="center"/>
                  <w:tcPrChange w:id="31" w:author="武装我心" w:date="2025-01-14T17:06:15Z">
                    <w:tcPr>
                      <w:tcW w:w="430" w:type="pct"/>
                      <w:gridSpan w:val="2"/>
                      <w:vAlign w:val="center"/>
                    </w:tcPr>
                  </w:tcPrChange>
                </w:tcPr>
                <w:p w14:paraId="173821F2">
                  <w:pPr>
                    <w:snapToGrid w:val="0"/>
                    <w:jc w:val="center"/>
                    <w:rPr>
                      <w:color w:val="auto"/>
                      <w:szCs w:val="21"/>
                    </w:rPr>
                  </w:pPr>
                  <w:r>
                    <w:rPr>
                      <w:rFonts w:hint="eastAsia"/>
                      <w:color w:val="auto"/>
                      <w:szCs w:val="21"/>
                    </w:rPr>
                    <w:t>G</w:t>
                  </w:r>
                  <w:r>
                    <w:rPr>
                      <w:rFonts w:hint="eastAsia"/>
                      <w:color w:val="auto"/>
                      <w:szCs w:val="21"/>
                      <w:vertAlign w:val="subscript"/>
                    </w:rPr>
                    <w:t>4</w:t>
                  </w:r>
                </w:p>
              </w:tc>
              <w:tc>
                <w:tcPr>
                  <w:tcW w:w="1182" w:type="pct"/>
                  <w:vAlign w:val="center"/>
                  <w:tcPrChange w:id="32" w:author="武装我心" w:date="2025-01-14T17:06:15Z">
                    <w:tcPr>
                      <w:tcW w:w="1191" w:type="pct"/>
                      <w:vAlign w:val="center"/>
                    </w:tcPr>
                  </w:tcPrChange>
                </w:tcPr>
                <w:p w14:paraId="173821F3">
                  <w:pPr>
                    <w:snapToGrid w:val="0"/>
                    <w:jc w:val="center"/>
                    <w:rPr>
                      <w:color w:val="auto"/>
                      <w:szCs w:val="21"/>
                    </w:rPr>
                  </w:pPr>
                  <w:r>
                    <w:rPr>
                      <w:rFonts w:hint="eastAsia"/>
                      <w:color w:val="auto"/>
                      <w:szCs w:val="21"/>
                    </w:rPr>
                    <w:t>非甲烷总烃、苯乙烯</w:t>
                  </w:r>
                </w:p>
              </w:tc>
              <w:tc>
                <w:tcPr>
                  <w:tcW w:w="1031" w:type="pct"/>
                  <w:vAlign w:val="center"/>
                  <w:tcPrChange w:id="33" w:author="武装我心" w:date="2025-01-14T17:06:15Z">
                    <w:tcPr>
                      <w:tcW w:w="729" w:type="pct"/>
                      <w:vAlign w:val="center"/>
                    </w:tcPr>
                  </w:tcPrChange>
                </w:tcPr>
                <w:p w14:paraId="173821F4">
                  <w:pPr>
                    <w:snapToGrid w:val="0"/>
                    <w:jc w:val="center"/>
                    <w:rPr>
                      <w:color w:val="auto"/>
                      <w:szCs w:val="21"/>
                    </w:rPr>
                  </w:pPr>
                  <w:r>
                    <w:rPr>
                      <w:rFonts w:hint="eastAsia"/>
                      <w:color w:val="auto"/>
                      <w:szCs w:val="21"/>
                    </w:rPr>
                    <w:t>挤拉固化成型</w:t>
                  </w:r>
                </w:p>
              </w:tc>
              <w:tc>
                <w:tcPr>
                  <w:tcW w:w="528" w:type="pct"/>
                  <w:vMerge w:val="continue"/>
                  <w:vAlign w:val="center"/>
                  <w:tcPrChange w:id="34" w:author="武装我心" w:date="2025-01-14T17:06:15Z">
                    <w:tcPr>
                      <w:tcW w:w="843" w:type="pct"/>
                      <w:vMerge w:val="continue"/>
                      <w:vAlign w:val="center"/>
                    </w:tcPr>
                  </w:tcPrChange>
                </w:tcPr>
                <w:p w14:paraId="173821F5">
                  <w:pPr>
                    <w:snapToGrid w:val="0"/>
                    <w:jc w:val="center"/>
                    <w:rPr>
                      <w:color w:val="auto"/>
                      <w:szCs w:val="21"/>
                    </w:rPr>
                  </w:pPr>
                </w:p>
              </w:tc>
              <w:tc>
                <w:tcPr>
                  <w:tcW w:w="1559" w:type="pct"/>
                  <w:vMerge w:val="continue"/>
                  <w:vAlign w:val="center"/>
                  <w:tcPrChange w:id="35" w:author="武装我心" w:date="2025-01-14T17:06:15Z">
                    <w:tcPr>
                      <w:tcW w:w="1529" w:type="pct"/>
                      <w:vMerge w:val="continue"/>
                      <w:vAlign w:val="center"/>
                    </w:tcPr>
                  </w:tcPrChange>
                </w:tcPr>
                <w:p w14:paraId="173821F6">
                  <w:pPr>
                    <w:snapToGrid w:val="0"/>
                    <w:jc w:val="center"/>
                    <w:rPr>
                      <w:color w:val="auto"/>
                      <w:szCs w:val="21"/>
                    </w:rPr>
                  </w:pPr>
                </w:p>
              </w:tc>
            </w:tr>
            <w:tr w14:paraId="173821F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Change w:id="36" w:author="武装我心" w:date="2025-01-14T17:06:15Z">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blPrExChange>
              </w:tblPrEx>
              <w:trPr>
                <w:wBefore w:w="0" w:type="auto"/>
                <w:cantSplit/>
                <w:trHeight w:val="283" w:hRule="atLeast"/>
                <w:jc w:val="center"/>
                <w:trPrChange w:id="36" w:author="武装我心" w:date="2025-01-14T17:06:15Z">
                  <w:trPr>
                    <w:gridBefore w:val="1"/>
                    <w:wBefore w:w="53" w:type="dxa"/>
                    <w:cantSplit/>
                    <w:trHeight w:val="340" w:hRule="atLeast"/>
                    <w:jc w:val="center"/>
                  </w:trPr>
                </w:trPrChange>
              </w:trPr>
              <w:tc>
                <w:tcPr>
                  <w:tcW w:w="271" w:type="pct"/>
                  <w:vMerge w:val="continue"/>
                  <w:vAlign w:val="center"/>
                  <w:tcPrChange w:id="37" w:author="武装我心" w:date="2025-01-14T17:06:15Z">
                    <w:tcPr>
                      <w:tcW w:w="276" w:type="pct"/>
                      <w:gridSpan w:val="2"/>
                      <w:vMerge w:val="continue"/>
                      <w:vAlign w:val="center"/>
                    </w:tcPr>
                  </w:tcPrChange>
                </w:tcPr>
                <w:p w14:paraId="173821F8">
                  <w:pPr>
                    <w:snapToGrid w:val="0"/>
                    <w:jc w:val="center"/>
                    <w:rPr>
                      <w:color w:val="auto"/>
                      <w:szCs w:val="21"/>
                    </w:rPr>
                  </w:pPr>
                </w:p>
              </w:tc>
              <w:tc>
                <w:tcPr>
                  <w:tcW w:w="427" w:type="pct"/>
                  <w:vAlign w:val="center"/>
                  <w:tcPrChange w:id="38" w:author="武装我心" w:date="2025-01-14T17:06:15Z">
                    <w:tcPr>
                      <w:tcW w:w="430" w:type="pct"/>
                      <w:gridSpan w:val="2"/>
                      <w:vAlign w:val="center"/>
                    </w:tcPr>
                  </w:tcPrChange>
                </w:tcPr>
                <w:p w14:paraId="173821F9">
                  <w:pPr>
                    <w:snapToGrid w:val="0"/>
                    <w:jc w:val="center"/>
                    <w:rPr>
                      <w:color w:val="auto"/>
                      <w:szCs w:val="21"/>
                    </w:rPr>
                  </w:pPr>
                  <w:r>
                    <w:rPr>
                      <w:rFonts w:hint="eastAsia"/>
                      <w:color w:val="auto"/>
                      <w:szCs w:val="21"/>
                    </w:rPr>
                    <w:t>G</w:t>
                  </w:r>
                  <w:r>
                    <w:rPr>
                      <w:rFonts w:hint="eastAsia"/>
                      <w:color w:val="auto"/>
                      <w:szCs w:val="21"/>
                      <w:vertAlign w:val="subscript"/>
                    </w:rPr>
                    <w:t>5</w:t>
                  </w:r>
                </w:p>
              </w:tc>
              <w:tc>
                <w:tcPr>
                  <w:tcW w:w="1182" w:type="pct"/>
                  <w:vAlign w:val="center"/>
                  <w:tcPrChange w:id="39" w:author="武装我心" w:date="2025-01-14T17:06:15Z">
                    <w:tcPr>
                      <w:tcW w:w="1191" w:type="pct"/>
                      <w:vAlign w:val="center"/>
                    </w:tcPr>
                  </w:tcPrChange>
                </w:tcPr>
                <w:p w14:paraId="173821FA">
                  <w:pPr>
                    <w:snapToGrid w:val="0"/>
                    <w:jc w:val="center"/>
                    <w:rPr>
                      <w:color w:val="auto"/>
                      <w:szCs w:val="21"/>
                    </w:rPr>
                  </w:pPr>
                  <w:r>
                    <w:rPr>
                      <w:rFonts w:hint="eastAsia"/>
                      <w:color w:val="auto"/>
                      <w:szCs w:val="21"/>
                    </w:rPr>
                    <w:t>非甲烷总烃</w:t>
                  </w:r>
                </w:p>
              </w:tc>
              <w:tc>
                <w:tcPr>
                  <w:tcW w:w="1031" w:type="pct"/>
                  <w:vAlign w:val="center"/>
                  <w:tcPrChange w:id="40" w:author="武装我心" w:date="2025-01-14T17:06:15Z">
                    <w:tcPr>
                      <w:tcW w:w="729" w:type="pct"/>
                      <w:vAlign w:val="center"/>
                    </w:tcPr>
                  </w:tcPrChange>
                </w:tcPr>
                <w:p w14:paraId="173821FB">
                  <w:pPr>
                    <w:snapToGrid w:val="0"/>
                    <w:jc w:val="center"/>
                    <w:rPr>
                      <w:color w:val="auto"/>
                      <w:szCs w:val="21"/>
                    </w:rPr>
                  </w:pPr>
                  <w:r>
                    <w:rPr>
                      <w:rFonts w:hint="eastAsia"/>
                      <w:color w:val="auto"/>
                      <w:szCs w:val="21"/>
                    </w:rPr>
                    <w:t>注塑</w:t>
                  </w:r>
                </w:p>
              </w:tc>
              <w:tc>
                <w:tcPr>
                  <w:tcW w:w="528" w:type="pct"/>
                  <w:vAlign w:val="center"/>
                  <w:tcPrChange w:id="41" w:author="武装我心" w:date="2025-01-14T17:06:15Z">
                    <w:tcPr>
                      <w:tcW w:w="843" w:type="pct"/>
                      <w:vAlign w:val="center"/>
                    </w:tcPr>
                  </w:tcPrChange>
                </w:tcPr>
                <w:p w14:paraId="173821FC">
                  <w:pPr>
                    <w:snapToGrid w:val="0"/>
                    <w:jc w:val="center"/>
                    <w:rPr>
                      <w:color w:val="auto"/>
                      <w:szCs w:val="21"/>
                    </w:rPr>
                  </w:pPr>
                  <w:r>
                    <w:rPr>
                      <w:rFonts w:hint="eastAsia"/>
                      <w:color w:val="auto"/>
                      <w:szCs w:val="21"/>
                      <w:lang w:val="en-US" w:eastAsia="zh-CN"/>
                    </w:rPr>
                    <w:t>密闭车间+集气罩负压</w:t>
                  </w:r>
                  <w:r>
                    <w:rPr>
                      <w:rFonts w:hint="eastAsia"/>
                      <w:color w:val="auto"/>
                      <w:szCs w:val="21"/>
                    </w:rPr>
                    <w:t>收集</w:t>
                  </w:r>
                </w:p>
              </w:tc>
              <w:tc>
                <w:tcPr>
                  <w:tcW w:w="1559" w:type="pct"/>
                  <w:vMerge w:val="continue"/>
                  <w:vAlign w:val="center"/>
                  <w:tcPrChange w:id="42" w:author="武装我心" w:date="2025-01-14T17:06:15Z">
                    <w:tcPr>
                      <w:tcW w:w="1529" w:type="pct"/>
                      <w:vMerge w:val="continue"/>
                      <w:vAlign w:val="center"/>
                    </w:tcPr>
                  </w:tcPrChange>
                </w:tcPr>
                <w:p w14:paraId="173821FD">
                  <w:pPr>
                    <w:snapToGrid w:val="0"/>
                    <w:jc w:val="center"/>
                    <w:rPr>
                      <w:color w:val="auto"/>
                      <w:szCs w:val="21"/>
                    </w:rPr>
                  </w:pPr>
                </w:p>
              </w:tc>
            </w:tr>
            <w:tr w14:paraId="1738220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Change w:id="43" w:author="武装我心" w:date="2025-01-14T17:06:15Z">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blPrExChange>
              </w:tblPrEx>
              <w:trPr>
                <w:wBefore w:w="0" w:type="auto"/>
                <w:cantSplit/>
                <w:trHeight w:val="283" w:hRule="atLeast"/>
                <w:jc w:val="center"/>
                <w:trPrChange w:id="43" w:author="武装我心" w:date="2025-01-14T17:06:15Z">
                  <w:trPr>
                    <w:gridBefore w:val="1"/>
                    <w:wBefore w:w="53" w:type="dxa"/>
                    <w:cantSplit/>
                    <w:trHeight w:val="340" w:hRule="atLeast"/>
                    <w:jc w:val="center"/>
                  </w:trPr>
                </w:trPrChange>
              </w:trPr>
              <w:tc>
                <w:tcPr>
                  <w:tcW w:w="271" w:type="pct"/>
                  <w:vMerge w:val="continue"/>
                  <w:vAlign w:val="center"/>
                  <w:tcPrChange w:id="44" w:author="武装我心" w:date="2025-01-14T17:06:15Z">
                    <w:tcPr>
                      <w:tcW w:w="276" w:type="pct"/>
                      <w:gridSpan w:val="2"/>
                      <w:vMerge w:val="continue"/>
                      <w:vAlign w:val="center"/>
                    </w:tcPr>
                  </w:tcPrChange>
                </w:tcPr>
                <w:p w14:paraId="173821FF">
                  <w:pPr>
                    <w:snapToGrid w:val="0"/>
                    <w:jc w:val="center"/>
                    <w:rPr>
                      <w:color w:val="auto"/>
                      <w:szCs w:val="21"/>
                    </w:rPr>
                  </w:pPr>
                </w:p>
              </w:tc>
              <w:tc>
                <w:tcPr>
                  <w:tcW w:w="427" w:type="pct"/>
                  <w:vAlign w:val="center"/>
                  <w:tcPrChange w:id="45" w:author="武装我心" w:date="2025-01-14T17:06:15Z">
                    <w:tcPr>
                      <w:tcW w:w="430" w:type="pct"/>
                      <w:gridSpan w:val="2"/>
                      <w:vAlign w:val="center"/>
                    </w:tcPr>
                  </w:tcPrChange>
                </w:tcPr>
                <w:p w14:paraId="17382200">
                  <w:pPr>
                    <w:snapToGrid w:val="0"/>
                    <w:jc w:val="center"/>
                    <w:rPr>
                      <w:color w:val="auto"/>
                      <w:szCs w:val="21"/>
                    </w:rPr>
                  </w:pPr>
                  <w:r>
                    <w:rPr>
                      <w:rFonts w:hint="eastAsia"/>
                      <w:color w:val="auto"/>
                      <w:szCs w:val="21"/>
                    </w:rPr>
                    <w:t>G</w:t>
                  </w:r>
                  <w:r>
                    <w:rPr>
                      <w:rFonts w:hint="eastAsia"/>
                      <w:color w:val="auto"/>
                      <w:szCs w:val="21"/>
                      <w:vertAlign w:val="subscript"/>
                    </w:rPr>
                    <w:t>6</w:t>
                  </w:r>
                </w:p>
              </w:tc>
              <w:tc>
                <w:tcPr>
                  <w:tcW w:w="1182" w:type="pct"/>
                  <w:vAlign w:val="center"/>
                  <w:tcPrChange w:id="46" w:author="武装我心" w:date="2025-01-14T17:06:15Z">
                    <w:tcPr>
                      <w:tcW w:w="1191" w:type="pct"/>
                      <w:vAlign w:val="center"/>
                    </w:tcPr>
                  </w:tcPrChange>
                </w:tcPr>
                <w:p w14:paraId="17382201">
                  <w:pPr>
                    <w:snapToGrid w:val="0"/>
                    <w:jc w:val="center"/>
                    <w:rPr>
                      <w:color w:val="auto"/>
                      <w:szCs w:val="21"/>
                    </w:rPr>
                  </w:pPr>
                  <w:r>
                    <w:rPr>
                      <w:rFonts w:hint="eastAsia"/>
                      <w:color w:val="auto"/>
                      <w:szCs w:val="21"/>
                    </w:rPr>
                    <w:t>颗粒物</w:t>
                  </w:r>
                </w:p>
              </w:tc>
              <w:tc>
                <w:tcPr>
                  <w:tcW w:w="1031" w:type="pct"/>
                  <w:vAlign w:val="center"/>
                  <w:tcPrChange w:id="47" w:author="武装我心" w:date="2025-01-14T17:06:15Z">
                    <w:tcPr>
                      <w:tcW w:w="729" w:type="pct"/>
                      <w:vAlign w:val="center"/>
                    </w:tcPr>
                  </w:tcPrChange>
                </w:tcPr>
                <w:p w14:paraId="17382202">
                  <w:pPr>
                    <w:snapToGrid w:val="0"/>
                    <w:jc w:val="center"/>
                    <w:rPr>
                      <w:color w:val="auto"/>
                      <w:szCs w:val="21"/>
                    </w:rPr>
                  </w:pPr>
                  <w:r>
                    <w:rPr>
                      <w:rFonts w:hint="eastAsia"/>
                      <w:color w:val="auto"/>
                      <w:szCs w:val="21"/>
                    </w:rPr>
                    <w:t>除锈</w:t>
                  </w:r>
                </w:p>
              </w:tc>
              <w:tc>
                <w:tcPr>
                  <w:tcW w:w="2088" w:type="pct"/>
                  <w:gridSpan w:val="2"/>
                  <w:vAlign w:val="center"/>
                  <w:tcPrChange w:id="48" w:author="武装我心" w:date="2025-01-14T17:06:15Z">
                    <w:tcPr>
                      <w:tcW w:w="2372" w:type="pct"/>
                      <w:gridSpan w:val="2"/>
                      <w:vAlign w:val="center"/>
                    </w:tcPr>
                  </w:tcPrChange>
                </w:tcPr>
                <w:p w14:paraId="17382203">
                  <w:pPr>
                    <w:snapToGrid w:val="0"/>
                    <w:jc w:val="center"/>
                    <w:rPr>
                      <w:color w:val="auto"/>
                      <w:szCs w:val="21"/>
                    </w:rPr>
                  </w:pPr>
                  <w:r>
                    <w:rPr>
                      <w:rFonts w:hint="eastAsia"/>
                      <w:color w:val="auto"/>
                      <w:szCs w:val="21"/>
                    </w:rPr>
                    <w:t>负压密闭收集+滤芯式除尘设施+布袋除尘器TA002+15m高DA002排气筒</w:t>
                  </w:r>
                </w:p>
              </w:tc>
            </w:tr>
            <w:tr w14:paraId="1738220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Change w:id="49" w:author="武装我心" w:date="2025-01-14T17:06:15Z">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blPrExChange>
              </w:tblPrEx>
              <w:trPr>
                <w:wBefore w:w="0" w:type="auto"/>
                <w:cantSplit/>
                <w:trHeight w:val="283" w:hRule="atLeast"/>
                <w:jc w:val="center"/>
                <w:trPrChange w:id="49" w:author="武装我心" w:date="2025-01-14T17:06:15Z">
                  <w:trPr>
                    <w:gridBefore w:val="1"/>
                    <w:wBefore w:w="53" w:type="dxa"/>
                    <w:cantSplit/>
                    <w:trHeight w:val="340" w:hRule="atLeast"/>
                    <w:jc w:val="center"/>
                  </w:trPr>
                </w:trPrChange>
              </w:trPr>
              <w:tc>
                <w:tcPr>
                  <w:tcW w:w="271" w:type="pct"/>
                  <w:vMerge w:val="continue"/>
                  <w:vAlign w:val="center"/>
                  <w:tcPrChange w:id="50" w:author="武装我心" w:date="2025-01-14T17:06:15Z">
                    <w:tcPr>
                      <w:tcW w:w="276" w:type="pct"/>
                      <w:gridSpan w:val="2"/>
                      <w:vMerge w:val="continue"/>
                      <w:vAlign w:val="center"/>
                    </w:tcPr>
                  </w:tcPrChange>
                </w:tcPr>
                <w:p w14:paraId="17382205">
                  <w:pPr>
                    <w:snapToGrid w:val="0"/>
                    <w:jc w:val="center"/>
                    <w:rPr>
                      <w:color w:val="auto"/>
                      <w:szCs w:val="21"/>
                    </w:rPr>
                  </w:pPr>
                </w:p>
              </w:tc>
              <w:tc>
                <w:tcPr>
                  <w:tcW w:w="427" w:type="pct"/>
                  <w:vAlign w:val="center"/>
                  <w:tcPrChange w:id="51" w:author="武装我心" w:date="2025-01-14T17:06:15Z">
                    <w:tcPr>
                      <w:tcW w:w="430" w:type="pct"/>
                      <w:gridSpan w:val="2"/>
                      <w:vAlign w:val="center"/>
                    </w:tcPr>
                  </w:tcPrChange>
                </w:tcPr>
                <w:p w14:paraId="17382206">
                  <w:pPr>
                    <w:snapToGrid w:val="0"/>
                    <w:jc w:val="center"/>
                    <w:rPr>
                      <w:color w:val="auto"/>
                      <w:szCs w:val="21"/>
                    </w:rPr>
                  </w:pPr>
                  <w:r>
                    <w:rPr>
                      <w:rFonts w:hint="eastAsia"/>
                      <w:color w:val="auto"/>
                      <w:szCs w:val="21"/>
                    </w:rPr>
                    <w:t>G</w:t>
                  </w:r>
                  <w:r>
                    <w:rPr>
                      <w:rFonts w:hint="eastAsia"/>
                      <w:color w:val="auto"/>
                      <w:szCs w:val="21"/>
                      <w:vertAlign w:val="subscript"/>
                    </w:rPr>
                    <w:t>7</w:t>
                  </w:r>
                </w:p>
              </w:tc>
              <w:tc>
                <w:tcPr>
                  <w:tcW w:w="1182" w:type="pct"/>
                  <w:vAlign w:val="center"/>
                  <w:tcPrChange w:id="52" w:author="武装我心" w:date="2025-01-14T17:06:15Z">
                    <w:tcPr>
                      <w:tcW w:w="1191" w:type="pct"/>
                      <w:vAlign w:val="center"/>
                    </w:tcPr>
                  </w:tcPrChange>
                </w:tcPr>
                <w:p w14:paraId="17382207">
                  <w:pPr>
                    <w:snapToGrid w:val="0"/>
                    <w:jc w:val="center"/>
                    <w:rPr>
                      <w:color w:val="auto"/>
                      <w:szCs w:val="21"/>
                    </w:rPr>
                  </w:pPr>
                  <w:r>
                    <w:rPr>
                      <w:rFonts w:hint="eastAsia"/>
                      <w:color w:val="auto"/>
                      <w:szCs w:val="21"/>
                    </w:rPr>
                    <w:t>颗粒物</w:t>
                  </w:r>
                </w:p>
              </w:tc>
              <w:tc>
                <w:tcPr>
                  <w:tcW w:w="1031" w:type="pct"/>
                  <w:vAlign w:val="center"/>
                  <w:tcPrChange w:id="53" w:author="武装我心" w:date="2025-01-14T17:06:15Z">
                    <w:tcPr>
                      <w:tcW w:w="729" w:type="pct"/>
                      <w:vAlign w:val="center"/>
                    </w:tcPr>
                  </w:tcPrChange>
                </w:tcPr>
                <w:p w14:paraId="17382208">
                  <w:pPr>
                    <w:snapToGrid w:val="0"/>
                    <w:jc w:val="center"/>
                    <w:rPr>
                      <w:color w:val="auto"/>
                      <w:szCs w:val="21"/>
                    </w:rPr>
                  </w:pPr>
                  <w:r>
                    <w:rPr>
                      <w:rFonts w:hint="eastAsia"/>
                      <w:color w:val="auto"/>
                      <w:szCs w:val="21"/>
                    </w:rPr>
                    <w:t>喷塑</w:t>
                  </w:r>
                </w:p>
              </w:tc>
              <w:tc>
                <w:tcPr>
                  <w:tcW w:w="2088" w:type="pct"/>
                  <w:gridSpan w:val="2"/>
                  <w:vAlign w:val="center"/>
                  <w:tcPrChange w:id="54" w:author="武装我心" w:date="2025-01-14T17:06:15Z">
                    <w:tcPr>
                      <w:tcW w:w="2372" w:type="pct"/>
                      <w:gridSpan w:val="2"/>
                      <w:vAlign w:val="center"/>
                    </w:tcPr>
                  </w:tcPrChange>
                </w:tcPr>
                <w:p w14:paraId="17382209">
                  <w:pPr>
                    <w:snapToGrid w:val="0"/>
                    <w:jc w:val="center"/>
                    <w:rPr>
                      <w:color w:val="auto"/>
                      <w:szCs w:val="21"/>
                    </w:rPr>
                  </w:pPr>
                  <w:r>
                    <w:rPr>
                      <w:rFonts w:hint="eastAsia"/>
                      <w:color w:val="auto"/>
                      <w:szCs w:val="21"/>
                    </w:rPr>
                    <w:t>负压密闭收集+集中塑粉</w:t>
                  </w:r>
                  <w:r>
                    <w:rPr>
                      <w:color w:val="auto"/>
                      <w:szCs w:val="21"/>
                    </w:rPr>
                    <w:t>回收装置</w:t>
                  </w:r>
                  <w:r>
                    <w:rPr>
                      <w:rFonts w:hint="eastAsia"/>
                      <w:color w:val="auto"/>
                      <w:szCs w:val="21"/>
                    </w:rPr>
                    <w:t>（旋风+</w:t>
                  </w:r>
                  <w:r>
                    <w:rPr>
                      <w:color w:val="auto"/>
                      <w:szCs w:val="21"/>
                    </w:rPr>
                    <w:t>脉冲滤芯</w:t>
                  </w:r>
                  <w:r>
                    <w:rPr>
                      <w:rFonts w:hint="eastAsia"/>
                      <w:color w:val="auto"/>
                      <w:szCs w:val="21"/>
                    </w:rPr>
                    <w:t>）</w:t>
                  </w:r>
                  <w:r>
                    <w:rPr>
                      <w:color w:val="auto"/>
                      <w:szCs w:val="21"/>
                    </w:rPr>
                    <w:t>+</w:t>
                  </w:r>
                  <w:r>
                    <w:rPr>
                      <w:rFonts w:hint="eastAsia"/>
                      <w:color w:val="auto"/>
                      <w:szCs w:val="21"/>
                    </w:rPr>
                    <w:t>布袋除尘器TA003+15m高DA002</w:t>
                  </w:r>
                  <w:r>
                    <w:rPr>
                      <w:color w:val="auto"/>
                      <w:szCs w:val="21"/>
                    </w:rPr>
                    <w:t>排气筒</w:t>
                  </w:r>
                </w:p>
              </w:tc>
            </w:tr>
            <w:tr w14:paraId="1738221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Change w:id="55" w:author="武装我心" w:date="2025-01-14T17:06:15Z">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blPrExChange>
              </w:tblPrEx>
              <w:trPr>
                <w:wBefore w:w="0" w:type="auto"/>
                <w:cantSplit/>
                <w:trHeight w:val="283" w:hRule="atLeast"/>
                <w:jc w:val="center"/>
                <w:trPrChange w:id="55" w:author="武装我心" w:date="2025-01-14T17:06:15Z">
                  <w:trPr>
                    <w:gridBefore w:val="1"/>
                    <w:wBefore w:w="53" w:type="dxa"/>
                    <w:cantSplit/>
                    <w:trHeight w:val="340" w:hRule="atLeast"/>
                    <w:jc w:val="center"/>
                  </w:trPr>
                </w:trPrChange>
              </w:trPr>
              <w:tc>
                <w:tcPr>
                  <w:tcW w:w="271" w:type="pct"/>
                  <w:vMerge w:val="continue"/>
                  <w:vAlign w:val="center"/>
                  <w:tcPrChange w:id="56" w:author="武装我心" w:date="2025-01-14T17:06:15Z">
                    <w:tcPr>
                      <w:tcW w:w="276" w:type="pct"/>
                      <w:gridSpan w:val="2"/>
                      <w:vMerge w:val="continue"/>
                      <w:vAlign w:val="center"/>
                    </w:tcPr>
                  </w:tcPrChange>
                </w:tcPr>
                <w:p w14:paraId="1738220B">
                  <w:pPr>
                    <w:snapToGrid w:val="0"/>
                    <w:jc w:val="center"/>
                    <w:rPr>
                      <w:color w:val="auto"/>
                      <w:szCs w:val="21"/>
                    </w:rPr>
                  </w:pPr>
                </w:p>
              </w:tc>
              <w:tc>
                <w:tcPr>
                  <w:tcW w:w="427" w:type="pct"/>
                  <w:vAlign w:val="center"/>
                  <w:tcPrChange w:id="57" w:author="武装我心" w:date="2025-01-14T17:06:15Z">
                    <w:tcPr>
                      <w:tcW w:w="430" w:type="pct"/>
                      <w:gridSpan w:val="2"/>
                      <w:vAlign w:val="center"/>
                    </w:tcPr>
                  </w:tcPrChange>
                </w:tcPr>
                <w:p w14:paraId="1738220C">
                  <w:pPr>
                    <w:snapToGrid w:val="0"/>
                    <w:jc w:val="center"/>
                    <w:rPr>
                      <w:color w:val="auto"/>
                      <w:szCs w:val="21"/>
                    </w:rPr>
                  </w:pPr>
                  <w:r>
                    <w:rPr>
                      <w:rFonts w:hint="eastAsia"/>
                      <w:color w:val="auto"/>
                      <w:szCs w:val="21"/>
                    </w:rPr>
                    <w:t>G</w:t>
                  </w:r>
                  <w:r>
                    <w:rPr>
                      <w:rFonts w:hint="eastAsia"/>
                      <w:color w:val="auto"/>
                      <w:szCs w:val="21"/>
                      <w:vertAlign w:val="subscript"/>
                    </w:rPr>
                    <w:t>8</w:t>
                  </w:r>
                </w:p>
              </w:tc>
              <w:tc>
                <w:tcPr>
                  <w:tcW w:w="1182" w:type="pct"/>
                  <w:vAlign w:val="center"/>
                  <w:tcPrChange w:id="58" w:author="武装我心" w:date="2025-01-14T17:06:15Z">
                    <w:tcPr>
                      <w:tcW w:w="1191" w:type="pct"/>
                      <w:vAlign w:val="center"/>
                    </w:tcPr>
                  </w:tcPrChange>
                </w:tcPr>
                <w:p w14:paraId="1738220D">
                  <w:pPr>
                    <w:snapToGrid w:val="0"/>
                    <w:jc w:val="center"/>
                    <w:rPr>
                      <w:color w:val="auto"/>
                      <w:szCs w:val="21"/>
                    </w:rPr>
                  </w:pPr>
                  <w:r>
                    <w:rPr>
                      <w:rFonts w:hint="eastAsia"/>
                      <w:color w:val="auto"/>
                      <w:szCs w:val="21"/>
                    </w:rPr>
                    <w:t>非甲烷总烃</w:t>
                  </w:r>
                </w:p>
              </w:tc>
              <w:tc>
                <w:tcPr>
                  <w:tcW w:w="1031" w:type="pct"/>
                  <w:vAlign w:val="center"/>
                  <w:tcPrChange w:id="59" w:author="武装我心" w:date="2025-01-14T17:06:15Z">
                    <w:tcPr>
                      <w:tcW w:w="729" w:type="pct"/>
                      <w:vAlign w:val="center"/>
                    </w:tcPr>
                  </w:tcPrChange>
                </w:tcPr>
                <w:p w14:paraId="1738220E">
                  <w:pPr>
                    <w:snapToGrid w:val="0"/>
                    <w:jc w:val="center"/>
                    <w:rPr>
                      <w:color w:val="auto"/>
                      <w:szCs w:val="21"/>
                    </w:rPr>
                  </w:pPr>
                  <w:r>
                    <w:rPr>
                      <w:rFonts w:hint="eastAsia"/>
                      <w:color w:val="auto"/>
                      <w:szCs w:val="21"/>
                    </w:rPr>
                    <w:t>烘干固化</w:t>
                  </w:r>
                </w:p>
              </w:tc>
              <w:tc>
                <w:tcPr>
                  <w:tcW w:w="2088" w:type="pct"/>
                  <w:gridSpan w:val="2"/>
                  <w:vAlign w:val="center"/>
                  <w:tcPrChange w:id="60" w:author="武装我心" w:date="2025-01-14T17:06:15Z">
                    <w:tcPr>
                      <w:tcW w:w="2372" w:type="pct"/>
                      <w:gridSpan w:val="2"/>
                      <w:vAlign w:val="center"/>
                    </w:tcPr>
                  </w:tcPrChange>
                </w:tcPr>
                <w:p w14:paraId="1738220F">
                  <w:pPr>
                    <w:snapToGrid w:val="0"/>
                    <w:jc w:val="center"/>
                    <w:rPr>
                      <w:color w:val="auto"/>
                      <w:szCs w:val="21"/>
                    </w:rPr>
                  </w:pPr>
                  <w:r>
                    <w:rPr>
                      <w:rFonts w:hint="eastAsia"/>
                      <w:color w:val="auto"/>
                      <w:szCs w:val="21"/>
                      <w:lang w:val="en-US" w:eastAsia="zh-CN"/>
                    </w:rPr>
                    <w:t>密闭车间+集气罩负压收集</w:t>
                  </w:r>
                  <w:r>
                    <w:rPr>
                      <w:rFonts w:hint="eastAsia"/>
                      <w:color w:val="auto"/>
                      <w:szCs w:val="21"/>
                    </w:rPr>
                    <w:t>+二级活性炭TA001+</w:t>
                  </w:r>
                  <w:r>
                    <w:rPr>
                      <w:color w:val="auto"/>
                      <w:szCs w:val="21"/>
                    </w:rPr>
                    <w:t>15</w:t>
                  </w:r>
                  <w:r>
                    <w:rPr>
                      <w:rFonts w:hint="eastAsia"/>
                      <w:color w:val="auto"/>
                      <w:szCs w:val="21"/>
                    </w:rPr>
                    <w:t>m</w:t>
                  </w:r>
                  <w:r>
                    <w:rPr>
                      <w:color w:val="auto"/>
                      <w:szCs w:val="21"/>
                    </w:rPr>
                    <w:t>高DA001排气筒</w:t>
                  </w:r>
                </w:p>
              </w:tc>
            </w:tr>
            <w:tr w14:paraId="1738221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Change w:id="61" w:author="武装我心" w:date="2025-01-14T17:06:15Z">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blPrExChange>
              </w:tblPrEx>
              <w:trPr>
                <w:wBefore w:w="0" w:type="auto"/>
                <w:cantSplit/>
                <w:trHeight w:val="283" w:hRule="atLeast"/>
                <w:jc w:val="center"/>
                <w:trPrChange w:id="61" w:author="武装我心" w:date="2025-01-14T17:06:15Z">
                  <w:trPr>
                    <w:gridBefore w:val="1"/>
                    <w:wBefore w:w="53" w:type="dxa"/>
                    <w:cantSplit/>
                    <w:trHeight w:val="340" w:hRule="atLeast"/>
                    <w:jc w:val="center"/>
                  </w:trPr>
                </w:trPrChange>
              </w:trPr>
              <w:tc>
                <w:tcPr>
                  <w:tcW w:w="271" w:type="pct"/>
                  <w:vMerge w:val="continue"/>
                  <w:vAlign w:val="center"/>
                  <w:tcPrChange w:id="62" w:author="武装我心" w:date="2025-01-14T17:06:15Z">
                    <w:tcPr>
                      <w:tcW w:w="276" w:type="pct"/>
                      <w:gridSpan w:val="2"/>
                      <w:vMerge w:val="continue"/>
                      <w:vAlign w:val="center"/>
                    </w:tcPr>
                  </w:tcPrChange>
                </w:tcPr>
                <w:p w14:paraId="17382211">
                  <w:pPr>
                    <w:snapToGrid w:val="0"/>
                    <w:jc w:val="center"/>
                    <w:rPr>
                      <w:color w:val="auto"/>
                      <w:szCs w:val="21"/>
                    </w:rPr>
                  </w:pPr>
                </w:p>
              </w:tc>
              <w:tc>
                <w:tcPr>
                  <w:tcW w:w="427" w:type="pct"/>
                  <w:vAlign w:val="center"/>
                  <w:tcPrChange w:id="63" w:author="武装我心" w:date="2025-01-14T17:06:15Z">
                    <w:tcPr>
                      <w:tcW w:w="430" w:type="pct"/>
                      <w:gridSpan w:val="2"/>
                      <w:vAlign w:val="center"/>
                    </w:tcPr>
                  </w:tcPrChange>
                </w:tcPr>
                <w:p w14:paraId="17382212">
                  <w:pPr>
                    <w:snapToGrid w:val="0"/>
                    <w:jc w:val="center"/>
                    <w:rPr>
                      <w:color w:val="auto"/>
                      <w:szCs w:val="21"/>
                    </w:rPr>
                  </w:pPr>
                  <w:r>
                    <w:rPr>
                      <w:rFonts w:hint="eastAsia"/>
                      <w:color w:val="auto"/>
                      <w:szCs w:val="21"/>
                    </w:rPr>
                    <w:t>G</w:t>
                  </w:r>
                  <w:r>
                    <w:rPr>
                      <w:rFonts w:hint="eastAsia"/>
                      <w:color w:val="auto"/>
                      <w:szCs w:val="21"/>
                      <w:vertAlign w:val="subscript"/>
                    </w:rPr>
                    <w:t>9</w:t>
                  </w:r>
                </w:p>
              </w:tc>
              <w:tc>
                <w:tcPr>
                  <w:tcW w:w="1182" w:type="pct"/>
                  <w:vAlign w:val="center"/>
                  <w:tcPrChange w:id="64" w:author="武装我心" w:date="2025-01-14T17:06:15Z">
                    <w:tcPr>
                      <w:tcW w:w="1191" w:type="pct"/>
                      <w:vAlign w:val="center"/>
                    </w:tcPr>
                  </w:tcPrChange>
                </w:tcPr>
                <w:p w14:paraId="17382213">
                  <w:pPr>
                    <w:snapToGrid w:val="0"/>
                    <w:jc w:val="center"/>
                    <w:rPr>
                      <w:color w:val="auto"/>
                      <w:szCs w:val="21"/>
                    </w:rPr>
                  </w:pPr>
                  <w:r>
                    <w:rPr>
                      <w:rFonts w:hint="eastAsia"/>
                      <w:color w:val="auto"/>
                      <w:szCs w:val="21"/>
                    </w:rPr>
                    <w:t>颗粒物</w:t>
                  </w:r>
                </w:p>
              </w:tc>
              <w:tc>
                <w:tcPr>
                  <w:tcW w:w="1031" w:type="pct"/>
                  <w:vAlign w:val="center"/>
                  <w:tcPrChange w:id="65" w:author="武装我心" w:date="2025-01-14T17:06:15Z">
                    <w:tcPr>
                      <w:tcW w:w="729" w:type="pct"/>
                      <w:vAlign w:val="center"/>
                    </w:tcPr>
                  </w:tcPrChange>
                </w:tcPr>
                <w:p w14:paraId="17382214">
                  <w:pPr>
                    <w:snapToGrid w:val="0"/>
                    <w:jc w:val="center"/>
                    <w:rPr>
                      <w:color w:val="auto"/>
                      <w:szCs w:val="21"/>
                    </w:rPr>
                  </w:pPr>
                  <w:r>
                    <w:rPr>
                      <w:rFonts w:hint="eastAsia"/>
                      <w:color w:val="auto"/>
                      <w:szCs w:val="21"/>
                    </w:rPr>
                    <w:t>抛光</w:t>
                  </w:r>
                </w:p>
              </w:tc>
              <w:tc>
                <w:tcPr>
                  <w:tcW w:w="2088" w:type="pct"/>
                  <w:gridSpan w:val="2"/>
                  <w:vAlign w:val="center"/>
                  <w:tcPrChange w:id="66" w:author="武装我心" w:date="2025-01-14T17:06:15Z">
                    <w:tcPr>
                      <w:tcW w:w="2372" w:type="pct"/>
                      <w:gridSpan w:val="2"/>
                      <w:vAlign w:val="center"/>
                    </w:tcPr>
                  </w:tcPrChange>
                </w:tcPr>
                <w:p w14:paraId="17382215">
                  <w:pPr>
                    <w:snapToGrid w:val="0"/>
                    <w:jc w:val="center"/>
                    <w:rPr>
                      <w:color w:val="auto"/>
                      <w:szCs w:val="21"/>
                    </w:rPr>
                  </w:pPr>
                  <w:r>
                    <w:rPr>
                      <w:rFonts w:hint="eastAsia"/>
                      <w:color w:val="auto"/>
                      <w:szCs w:val="21"/>
                    </w:rPr>
                    <w:t>集气罩收集+布袋除尘器TA004+15m高DA003</w:t>
                  </w:r>
                  <w:r>
                    <w:rPr>
                      <w:color w:val="auto"/>
                      <w:szCs w:val="21"/>
                    </w:rPr>
                    <w:t>排气筒</w:t>
                  </w:r>
                </w:p>
              </w:tc>
            </w:tr>
            <w:tr w14:paraId="1738221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Align w:val="center"/>
                </w:tcPr>
                <w:p w14:paraId="17382217">
                  <w:pPr>
                    <w:snapToGrid w:val="0"/>
                    <w:jc w:val="center"/>
                    <w:rPr>
                      <w:color w:val="auto"/>
                      <w:szCs w:val="21"/>
                    </w:rPr>
                  </w:pPr>
                  <w:r>
                    <w:rPr>
                      <w:color w:val="auto"/>
                      <w:szCs w:val="21"/>
                    </w:rPr>
                    <w:t>废水</w:t>
                  </w:r>
                </w:p>
              </w:tc>
              <w:tc>
                <w:tcPr>
                  <w:tcW w:w="427" w:type="pct"/>
                  <w:shd w:val="clear" w:color="auto" w:fill="auto"/>
                  <w:vAlign w:val="center"/>
                </w:tcPr>
                <w:p w14:paraId="17382218">
                  <w:pPr>
                    <w:snapToGrid w:val="0"/>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W</w:t>
                  </w:r>
                  <w:r>
                    <w:rPr>
                      <w:rFonts w:hint="eastAsia"/>
                      <w:color w:val="auto"/>
                      <w:szCs w:val="21"/>
                      <w:vertAlign w:val="subscript"/>
                      <w:lang w:val="en-US" w:eastAsia="zh-CN"/>
                    </w:rPr>
                    <w:t>1</w:t>
                  </w:r>
                </w:p>
              </w:tc>
              <w:tc>
                <w:tcPr>
                  <w:tcW w:w="1182" w:type="pct"/>
                  <w:shd w:val="clear" w:color="auto" w:fill="auto"/>
                  <w:vAlign w:val="center"/>
                </w:tcPr>
                <w:p w14:paraId="17382219">
                  <w:pPr>
                    <w:snapToGrid w:val="0"/>
                    <w:jc w:val="center"/>
                    <w:rPr>
                      <w:rFonts w:hint="default" w:ascii="Times New Roman" w:hAnsi="Times New Roman" w:eastAsia="宋体" w:cs="Times New Roman"/>
                      <w:color w:val="auto"/>
                      <w:kern w:val="2"/>
                      <w:sz w:val="21"/>
                      <w:szCs w:val="21"/>
                      <w:lang w:val="en-US" w:eastAsia="zh-CN" w:bidi="ar-SA"/>
                    </w:rPr>
                  </w:pPr>
                  <w:r>
                    <w:rPr>
                      <w:color w:val="auto"/>
                      <w:szCs w:val="21"/>
                    </w:rPr>
                    <w:t>生活污水</w:t>
                  </w:r>
                </w:p>
              </w:tc>
              <w:tc>
                <w:tcPr>
                  <w:tcW w:w="1031" w:type="pct"/>
                  <w:shd w:val="clear" w:color="auto" w:fill="auto"/>
                  <w:vAlign w:val="center"/>
                </w:tcPr>
                <w:p w14:paraId="1738221A">
                  <w:pPr>
                    <w:snapToGrid w:val="0"/>
                    <w:jc w:val="center"/>
                    <w:rPr>
                      <w:rFonts w:hint="default" w:ascii="Times New Roman" w:hAnsi="Times New Roman" w:eastAsia="宋体" w:cs="Times New Roman"/>
                      <w:color w:val="auto"/>
                      <w:kern w:val="2"/>
                      <w:sz w:val="21"/>
                      <w:szCs w:val="21"/>
                      <w:lang w:val="en-US" w:eastAsia="zh-CN" w:bidi="ar-SA"/>
                    </w:rPr>
                  </w:pPr>
                  <w:r>
                    <w:rPr>
                      <w:color w:val="auto"/>
                      <w:szCs w:val="21"/>
                    </w:rPr>
                    <w:t>员工生活</w:t>
                  </w:r>
                </w:p>
              </w:tc>
              <w:tc>
                <w:tcPr>
                  <w:tcW w:w="2088" w:type="pct"/>
                  <w:gridSpan w:val="2"/>
                  <w:shd w:val="clear" w:color="auto" w:fill="auto"/>
                  <w:vAlign w:val="center"/>
                </w:tcPr>
                <w:p w14:paraId="1738221B">
                  <w:pPr>
                    <w:snapToGrid w:val="0"/>
                    <w:jc w:val="center"/>
                    <w:rPr>
                      <w:rFonts w:hint="default" w:ascii="Times New Roman" w:hAnsi="Times New Roman" w:eastAsia="宋体" w:cs="Times New Roman"/>
                      <w:color w:val="auto"/>
                      <w:kern w:val="2"/>
                      <w:sz w:val="21"/>
                      <w:szCs w:val="21"/>
                      <w:lang w:val="en-US" w:eastAsia="zh-CN" w:bidi="ar-SA"/>
                    </w:rPr>
                  </w:pPr>
                  <w:r>
                    <w:rPr>
                      <w:rFonts w:hint="eastAsia"/>
                      <w:color w:val="auto"/>
                      <w:szCs w:val="21"/>
                    </w:rPr>
                    <w:t>生活污水经厂内化粪池预处理后</w:t>
                  </w:r>
                  <w:r>
                    <w:rPr>
                      <w:rFonts w:hint="eastAsia"/>
                      <w:color w:val="auto"/>
                      <w:szCs w:val="21"/>
                      <w:lang w:val="en-US" w:eastAsia="zh-CN"/>
                    </w:rPr>
                    <w:t>作为农田灌溉用水使用</w:t>
                  </w:r>
                </w:p>
              </w:tc>
            </w:tr>
            <w:tr w14:paraId="1738222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restart"/>
                  <w:vAlign w:val="center"/>
                </w:tcPr>
                <w:p w14:paraId="1738221D">
                  <w:pPr>
                    <w:snapToGrid w:val="0"/>
                    <w:jc w:val="center"/>
                    <w:rPr>
                      <w:color w:val="auto"/>
                      <w:szCs w:val="21"/>
                    </w:rPr>
                  </w:pPr>
                  <w:r>
                    <w:rPr>
                      <w:color w:val="auto"/>
                      <w:szCs w:val="21"/>
                    </w:rPr>
                    <w:t>固体废物</w:t>
                  </w:r>
                </w:p>
              </w:tc>
              <w:tc>
                <w:tcPr>
                  <w:tcW w:w="427" w:type="pct"/>
                  <w:vAlign w:val="center"/>
                </w:tcPr>
                <w:p w14:paraId="1738221E">
                  <w:pPr>
                    <w:snapToGrid w:val="0"/>
                    <w:jc w:val="center"/>
                    <w:rPr>
                      <w:color w:val="auto"/>
                      <w:szCs w:val="21"/>
                    </w:rPr>
                  </w:pPr>
                  <w:r>
                    <w:rPr>
                      <w:rFonts w:hint="eastAsia"/>
                      <w:color w:val="auto"/>
                      <w:szCs w:val="21"/>
                    </w:rPr>
                    <w:t>S</w:t>
                  </w:r>
                  <w:r>
                    <w:rPr>
                      <w:rFonts w:hint="eastAsia"/>
                      <w:color w:val="auto"/>
                      <w:szCs w:val="21"/>
                      <w:vertAlign w:val="subscript"/>
                    </w:rPr>
                    <w:t>1</w:t>
                  </w:r>
                </w:p>
              </w:tc>
              <w:tc>
                <w:tcPr>
                  <w:tcW w:w="1182" w:type="pct"/>
                  <w:vAlign w:val="center"/>
                </w:tcPr>
                <w:p w14:paraId="1738221F">
                  <w:pPr>
                    <w:snapToGrid w:val="0"/>
                    <w:jc w:val="center"/>
                    <w:rPr>
                      <w:color w:val="auto"/>
                      <w:szCs w:val="21"/>
                    </w:rPr>
                  </w:pPr>
                  <w:r>
                    <w:rPr>
                      <w:rFonts w:hint="eastAsia"/>
                      <w:color w:val="auto"/>
                      <w:szCs w:val="21"/>
                    </w:rPr>
                    <w:t>废包装袋及包装桶</w:t>
                  </w:r>
                </w:p>
              </w:tc>
              <w:tc>
                <w:tcPr>
                  <w:tcW w:w="1031" w:type="pct"/>
                  <w:vAlign w:val="center"/>
                </w:tcPr>
                <w:p w14:paraId="17382220">
                  <w:pPr>
                    <w:snapToGrid w:val="0"/>
                    <w:jc w:val="center"/>
                    <w:rPr>
                      <w:color w:val="auto"/>
                      <w:szCs w:val="21"/>
                    </w:rPr>
                  </w:pPr>
                  <w:r>
                    <w:rPr>
                      <w:rFonts w:hint="eastAsia"/>
                      <w:color w:val="auto"/>
                      <w:szCs w:val="21"/>
                    </w:rPr>
                    <w:t>原料使用</w:t>
                  </w:r>
                </w:p>
              </w:tc>
              <w:tc>
                <w:tcPr>
                  <w:tcW w:w="2088" w:type="pct"/>
                  <w:gridSpan w:val="2"/>
                  <w:vAlign w:val="center"/>
                </w:tcPr>
                <w:p w14:paraId="17382221">
                  <w:pPr>
                    <w:snapToGrid w:val="0"/>
                    <w:jc w:val="center"/>
                    <w:rPr>
                      <w:color w:val="auto"/>
                      <w:szCs w:val="21"/>
                    </w:rPr>
                  </w:pPr>
                  <w:r>
                    <w:rPr>
                      <w:rFonts w:hint="eastAsia"/>
                      <w:color w:val="auto"/>
                      <w:szCs w:val="21"/>
                    </w:rPr>
                    <w:t>厂家回收、外售废旧资源回收公司利用</w:t>
                  </w:r>
                </w:p>
              </w:tc>
            </w:tr>
            <w:tr w14:paraId="1738222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23">
                  <w:pPr>
                    <w:snapToGrid w:val="0"/>
                    <w:jc w:val="center"/>
                    <w:rPr>
                      <w:color w:val="auto"/>
                      <w:szCs w:val="21"/>
                    </w:rPr>
                  </w:pPr>
                </w:p>
              </w:tc>
              <w:tc>
                <w:tcPr>
                  <w:tcW w:w="427" w:type="pct"/>
                  <w:vAlign w:val="center"/>
                </w:tcPr>
                <w:p w14:paraId="17382224">
                  <w:pPr>
                    <w:snapToGrid w:val="0"/>
                    <w:jc w:val="center"/>
                    <w:rPr>
                      <w:color w:val="auto"/>
                      <w:szCs w:val="21"/>
                    </w:rPr>
                  </w:pPr>
                  <w:r>
                    <w:rPr>
                      <w:rFonts w:hint="eastAsia"/>
                      <w:color w:val="auto"/>
                      <w:szCs w:val="21"/>
                    </w:rPr>
                    <w:t>S</w:t>
                  </w:r>
                  <w:r>
                    <w:rPr>
                      <w:rFonts w:hint="eastAsia"/>
                      <w:color w:val="auto"/>
                      <w:szCs w:val="21"/>
                      <w:vertAlign w:val="subscript"/>
                    </w:rPr>
                    <w:t>2</w:t>
                  </w:r>
                </w:p>
              </w:tc>
              <w:tc>
                <w:tcPr>
                  <w:tcW w:w="1182" w:type="pct"/>
                  <w:vAlign w:val="center"/>
                </w:tcPr>
                <w:p w14:paraId="17382225">
                  <w:pPr>
                    <w:snapToGrid w:val="0"/>
                    <w:jc w:val="center"/>
                    <w:rPr>
                      <w:color w:val="auto"/>
                      <w:szCs w:val="21"/>
                    </w:rPr>
                  </w:pPr>
                  <w:r>
                    <w:rPr>
                      <w:rFonts w:hint="eastAsia"/>
                      <w:color w:val="auto"/>
                      <w:szCs w:val="21"/>
                    </w:rPr>
                    <w:t>沉渣</w:t>
                  </w:r>
                </w:p>
              </w:tc>
              <w:tc>
                <w:tcPr>
                  <w:tcW w:w="1031" w:type="pct"/>
                  <w:vAlign w:val="center"/>
                </w:tcPr>
                <w:p w14:paraId="17382226">
                  <w:pPr>
                    <w:snapToGrid w:val="0"/>
                    <w:jc w:val="center"/>
                    <w:rPr>
                      <w:color w:val="auto"/>
                      <w:szCs w:val="21"/>
                    </w:rPr>
                  </w:pPr>
                  <w:r>
                    <w:rPr>
                      <w:rFonts w:hint="eastAsia"/>
                      <w:color w:val="auto"/>
                      <w:szCs w:val="21"/>
                    </w:rPr>
                    <w:t>切割</w:t>
                  </w:r>
                </w:p>
              </w:tc>
              <w:tc>
                <w:tcPr>
                  <w:tcW w:w="2088" w:type="pct"/>
                  <w:gridSpan w:val="2"/>
                  <w:shd w:val="clear" w:color="auto" w:fill="auto"/>
                  <w:vAlign w:val="center"/>
                </w:tcPr>
                <w:p w14:paraId="17382227">
                  <w:pPr>
                    <w:snapToGrid w:val="0"/>
                    <w:jc w:val="center"/>
                    <w:rPr>
                      <w:color w:val="auto"/>
                      <w:szCs w:val="21"/>
                    </w:rPr>
                  </w:pPr>
                  <w:r>
                    <w:rPr>
                      <w:rFonts w:hint="eastAsia"/>
                      <w:color w:val="auto"/>
                      <w:szCs w:val="21"/>
                    </w:rPr>
                    <w:t>外售废旧资源回收公司利用</w:t>
                  </w:r>
                </w:p>
              </w:tc>
            </w:tr>
            <w:tr w14:paraId="1738222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29">
                  <w:pPr>
                    <w:snapToGrid w:val="0"/>
                    <w:jc w:val="center"/>
                    <w:rPr>
                      <w:color w:val="auto"/>
                      <w:szCs w:val="21"/>
                    </w:rPr>
                  </w:pPr>
                </w:p>
              </w:tc>
              <w:tc>
                <w:tcPr>
                  <w:tcW w:w="427" w:type="pct"/>
                  <w:vAlign w:val="center"/>
                </w:tcPr>
                <w:p w14:paraId="1738222A">
                  <w:pPr>
                    <w:snapToGrid w:val="0"/>
                    <w:jc w:val="center"/>
                    <w:rPr>
                      <w:color w:val="auto"/>
                      <w:szCs w:val="21"/>
                    </w:rPr>
                  </w:pPr>
                  <w:r>
                    <w:rPr>
                      <w:rFonts w:hint="eastAsia"/>
                      <w:color w:val="auto"/>
                      <w:szCs w:val="21"/>
                    </w:rPr>
                    <w:t>S</w:t>
                  </w:r>
                  <w:r>
                    <w:rPr>
                      <w:rFonts w:hint="eastAsia"/>
                      <w:color w:val="auto"/>
                      <w:szCs w:val="21"/>
                      <w:vertAlign w:val="subscript"/>
                    </w:rPr>
                    <w:t>3</w:t>
                  </w:r>
                </w:p>
              </w:tc>
              <w:tc>
                <w:tcPr>
                  <w:tcW w:w="1182" w:type="pct"/>
                  <w:vAlign w:val="center"/>
                </w:tcPr>
                <w:p w14:paraId="1738222B">
                  <w:pPr>
                    <w:snapToGrid w:val="0"/>
                    <w:jc w:val="center"/>
                    <w:rPr>
                      <w:color w:val="auto"/>
                      <w:szCs w:val="21"/>
                    </w:rPr>
                  </w:pPr>
                  <w:r>
                    <w:rPr>
                      <w:rFonts w:hint="eastAsia"/>
                      <w:color w:val="auto"/>
                      <w:szCs w:val="21"/>
                    </w:rPr>
                    <w:t>废边角料</w:t>
                  </w:r>
                </w:p>
              </w:tc>
              <w:tc>
                <w:tcPr>
                  <w:tcW w:w="1031" w:type="pct"/>
                  <w:vAlign w:val="center"/>
                </w:tcPr>
                <w:p w14:paraId="1738222C">
                  <w:pPr>
                    <w:snapToGrid w:val="0"/>
                    <w:jc w:val="center"/>
                    <w:rPr>
                      <w:color w:val="auto"/>
                      <w:szCs w:val="21"/>
                    </w:rPr>
                  </w:pPr>
                  <w:r>
                    <w:rPr>
                      <w:rFonts w:hint="eastAsia"/>
                      <w:color w:val="auto"/>
                      <w:szCs w:val="21"/>
                    </w:rPr>
                    <w:t>切割</w:t>
                  </w:r>
                </w:p>
              </w:tc>
              <w:tc>
                <w:tcPr>
                  <w:tcW w:w="2088" w:type="pct"/>
                  <w:gridSpan w:val="2"/>
                  <w:vAlign w:val="center"/>
                </w:tcPr>
                <w:p w14:paraId="1738222D">
                  <w:pPr>
                    <w:snapToGrid w:val="0"/>
                    <w:jc w:val="center"/>
                    <w:rPr>
                      <w:color w:val="auto"/>
                      <w:szCs w:val="21"/>
                    </w:rPr>
                  </w:pPr>
                  <w:r>
                    <w:rPr>
                      <w:rFonts w:hint="eastAsia"/>
                      <w:color w:val="auto"/>
                      <w:szCs w:val="21"/>
                    </w:rPr>
                    <w:t>外售废旧资源回收公司利用</w:t>
                  </w:r>
                </w:p>
              </w:tc>
            </w:tr>
            <w:tr w14:paraId="1738223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2F">
                  <w:pPr>
                    <w:snapToGrid w:val="0"/>
                    <w:jc w:val="center"/>
                    <w:rPr>
                      <w:color w:val="auto"/>
                      <w:szCs w:val="21"/>
                    </w:rPr>
                  </w:pPr>
                </w:p>
              </w:tc>
              <w:tc>
                <w:tcPr>
                  <w:tcW w:w="427" w:type="pct"/>
                  <w:vAlign w:val="center"/>
                </w:tcPr>
                <w:p w14:paraId="17382230">
                  <w:pPr>
                    <w:snapToGrid w:val="0"/>
                    <w:jc w:val="center"/>
                    <w:rPr>
                      <w:color w:val="auto"/>
                      <w:szCs w:val="21"/>
                    </w:rPr>
                  </w:pPr>
                  <w:r>
                    <w:rPr>
                      <w:rFonts w:hint="eastAsia"/>
                      <w:color w:val="auto"/>
                      <w:szCs w:val="21"/>
                    </w:rPr>
                    <w:t>S</w:t>
                  </w:r>
                  <w:r>
                    <w:rPr>
                      <w:rFonts w:hint="eastAsia"/>
                      <w:color w:val="auto"/>
                      <w:szCs w:val="21"/>
                      <w:vertAlign w:val="subscript"/>
                    </w:rPr>
                    <w:t>4</w:t>
                  </w:r>
                </w:p>
              </w:tc>
              <w:tc>
                <w:tcPr>
                  <w:tcW w:w="1182" w:type="pct"/>
                  <w:vAlign w:val="center"/>
                </w:tcPr>
                <w:p w14:paraId="17382231">
                  <w:pPr>
                    <w:snapToGrid w:val="0"/>
                    <w:jc w:val="center"/>
                    <w:rPr>
                      <w:color w:val="auto"/>
                      <w:szCs w:val="21"/>
                    </w:rPr>
                  </w:pPr>
                  <w:r>
                    <w:rPr>
                      <w:rFonts w:hint="eastAsia"/>
                      <w:color w:val="auto"/>
                      <w:szCs w:val="21"/>
                    </w:rPr>
                    <w:t>废包装袋</w:t>
                  </w:r>
                </w:p>
              </w:tc>
              <w:tc>
                <w:tcPr>
                  <w:tcW w:w="1031" w:type="pct"/>
                  <w:vAlign w:val="center"/>
                </w:tcPr>
                <w:p w14:paraId="17382232">
                  <w:pPr>
                    <w:snapToGrid w:val="0"/>
                    <w:jc w:val="center"/>
                    <w:rPr>
                      <w:color w:val="auto"/>
                      <w:szCs w:val="21"/>
                    </w:rPr>
                  </w:pPr>
                  <w:r>
                    <w:rPr>
                      <w:rFonts w:hint="eastAsia"/>
                      <w:color w:val="auto"/>
                      <w:szCs w:val="21"/>
                    </w:rPr>
                    <w:t>原料使用</w:t>
                  </w:r>
                </w:p>
              </w:tc>
              <w:tc>
                <w:tcPr>
                  <w:tcW w:w="2088" w:type="pct"/>
                  <w:gridSpan w:val="2"/>
                  <w:vAlign w:val="center"/>
                </w:tcPr>
                <w:p w14:paraId="17382233">
                  <w:pPr>
                    <w:snapToGrid w:val="0"/>
                    <w:jc w:val="center"/>
                    <w:rPr>
                      <w:color w:val="auto"/>
                      <w:szCs w:val="21"/>
                    </w:rPr>
                  </w:pPr>
                  <w:r>
                    <w:rPr>
                      <w:rFonts w:hint="eastAsia"/>
                      <w:color w:val="auto"/>
                      <w:szCs w:val="21"/>
                    </w:rPr>
                    <w:t>外售废旧资源回收公司利用</w:t>
                  </w:r>
                </w:p>
              </w:tc>
            </w:tr>
            <w:tr w14:paraId="1738223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35">
                  <w:pPr>
                    <w:snapToGrid w:val="0"/>
                    <w:jc w:val="center"/>
                    <w:rPr>
                      <w:color w:val="auto"/>
                      <w:szCs w:val="21"/>
                    </w:rPr>
                  </w:pPr>
                </w:p>
              </w:tc>
              <w:tc>
                <w:tcPr>
                  <w:tcW w:w="427" w:type="pct"/>
                  <w:vAlign w:val="center"/>
                </w:tcPr>
                <w:p w14:paraId="17382236">
                  <w:pPr>
                    <w:snapToGrid w:val="0"/>
                    <w:jc w:val="center"/>
                    <w:rPr>
                      <w:color w:val="auto"/>
                      <w:szCs w:val="21"/>
                    </w:rPr>
                  </w:pPr>
                  <w:r>
                    <w:rPr>
                      <w:rFonts w:hint="eastAsia"/>
                      <w:color w:val="auto"/>
                      <w:szCs w:val="21"/>
                    </w:rPr>
                    <w:t>S</w:t>
                  </w:r>
                  <w:r>
                    <w:rPr>
                      <w:rFonts w:hint="eastAsia"/>
                      <w:color w:val="auto"/>
                      <w:szCs w:val="21"/>
                      <w:vertAlign w:val="subscript"/>
                    </w:rPr>
                    <w:t>5</w:t>
                  </w:r>
                </w:p>
              </w:tc>
              <w:tc>
                <w:tcPr>
                  <w:tcW w:w="1182" w:type="pct"/>
                  <w:vAlign w:val="center"/>
                </w:tcPr>
                <w:p w14:paraId="17382237">
                  <w:pPr>
                    <w:snapToGrid w:val="0"/>
                    <w:jc w:val="center"/>
                    <w:rPr>
                      <w:color w:val="auto"/>
                      <w:szCs w:val="21"/>
                    </w:rPr>
                  </w:pPr>
                  <w:r>
                    <w:rPr>
                      <w:rFonts w:hint="eastAsia"/>
                      <w:color w:val="auto"/>
                      <w:szCs w:val="21"/>
                    </w:rPr>
                    <w:t>废边角料</w:t>
                  </w:r>
                </w:p>
              </w:tc>
              <w:tc>
                <w:tcPr>
                  <w:tcW w:w="1031" w:type="pct"/>
                  <w:vAlign w:val="center"/>
                </w:tcPr>
                <w:p w14:paraId="17382238">
                  <w:pPr>
                    <w:snapToGrid w:val="0"/>
                    <w:jc w:val="center"/>
                    <w:rPr>
                      <w:color w:val="auto"/>
                      <w:szCs w:val="21"/>
                    </w:rPr>
                  </w:pPr>
                  <w:r>
                    <w:rPr>
                      <w:rFonts w:hint="eastAsia"/>
                      <w:color w:val="auto"/>
                      <w:szCs w:val="21"/>
                    </w:rPr>
                    <w:t>注塑</w:t>
                  </w:r>
                </w:p>
              </w:tc>
              <w:tc>
                <w:tcPr>
                  <w:tcW w:w="2088" w:type="pct"/>
                  <w:gridSpan w:val="2"/>
                  <w:vAlign w:val="center"/>
                </w:tcPr>
                <w:p w14:paraId="17382239">
                  <w:pPr>
                    <w:snapToGrid w:val="0"/>
                    <w:jc w:val="center"/>
                    <w:rPr>
                      <w:color w:val="auto"/>
                      <w:szCs w:val="21"/>
                    </w:rPr>
                  </w:pPr>
                  <w:r>
                    <w:rPr>
                      <w:rFonts w:hint="eastAsia"/>
                      <w:color w:val="auto"/>
                      <w:szCs w:val="21"/>
                    </w:rPr>
                    <w:t>回用于生产</w:t>
                  </w:r>
                </w:p>
              </w:tc>
            </w:tr>
            <w:tr w14:paraId="1738224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3B">
                  <w:pPr>
                    <w:snapToGrid w:val="0"/>
                    <w:jc w:val="center"/>
                    <w:rPr>
                      <w:color w:val="auto"/>
                      <w:szCs w:val="21"/>
                    </w:rPr>
                  </w:pPr>
                </w:p>
              </w:tc>
              <w:tc>
                <w:tcPr>
                  <w:tcW w:w="427" w:type="pct"/>
                  <w:vAlign w:val="center"/>
                </w:tcPr>
                <w:p w14:paraId="1738223C">
                  <w:pPr>
                    <w:snapToGrid w:val="0"/>
                    <w:jc w:val="center"/>
                    <w:rPr>
                      <w:color w:val="auto"/>
                      <w:szCs w:val="21"/>
                    </w:rPr>
                  </w:pPr>
                  <w:r>
                    <w:rPr>
                      <w:rFonts w:hint="eastAsia"/>
                      <w:color w:val="auto"/>
                      <w:szCs w:val="21"/>
                    </w:rPr>
                    <w:t>S</w:t>
                  </w:r>
                  <w:r>
                    <w:rPr>
                      <w:rFonts w:hint="eastAsia"/>
                      <w:color w:val="auto"/>
                      <w:szCs w:val="21"/>
                      <w:vertAlign w:val="subscript"/>
                    </w:rPr>
                    <w:t>6</w:t>
                  </w:r>
                </w:p>
              </w:tc>
              <w:tc>
                <w:tcPr>
                  <w:tcW w:w="1182" w:type="pct"/>
                  <w:vAlign w:val="center"/>
                </w:tcPr>
                <w:p w14:paraId="1738223D">
                  <w:pPr>
                    <w:snapToGrid w:val="0"/>
                    <w:jc w:val="center"/>
                    <w:rPr>
                      <w:color w:val="auto"/>
                      <w:szCs w:val="21"/>
                    </w:rPr>
                  </w:pPr>
                  <w:r>
                    <w:rPr>
                      <w:rFonts w:hint="eastAsia"/>
                      <w:color w:val="auto"/>
                      <w:szCs w:val="21"/>
                    </w:rPr>
                    <w:t>沉渣</w:t>
                  </w:r>
                </w:p>
              </w:tc>
              <w:tc>
                <w:tcPr>
                  <w:tcW w:w="1031" w:type="pct"/>
                  <w:vAlign w:val="center"/>
                </w:tcPr>
                <w:p w14:paraId="1738223E">
                  <w:pPr>
                    <w:snapToGrid w:val="0"/>
                    <w:jc w:val="center"/>
                    <w:rPr>
                      <w:color w:val="auto"/>
                      <w:szCs w:val="21"/>
                    </w:rPr>
                  </w:pPr>
                  <w:r>
                    <w:rPr>
                      <w:rFonts w:hint="eastAsia"/>
                      <w:color w:val="auto"/>
                      <w:szCs w:val="21"/>
                    </w:rPr>
                    <w:t>热处理</w:t>
                  </w:r>
                </w:p>
              </w:tc>
              <w:tc>
                <w:tcPr>
                  <w:tcW w:w="2088" w:type="pct"/>
                  <w:gridSpan w:val="2"/>
                  <w:vAlign w:val="center"/>
                </w:tcPr>
                <w:p w14:paraId="1738223F">
                  <w:pPr>
                    <w:snapToGrid w:val="0"/>
                    <w:jc w:val="center"/>
                    <w:rPr>
                      <w:color w:val="auto"/>
                      <w:szCs w:val="21"/>
                    </w:rPr>
                  </w:pPr>
                  <w:r>
                    <w:rPr>
                      <w:rFonts w:hint="eastAsia"/>
                      <w:color w:val="auto"/>
                      <w:szCs w:val="21"/>
                    </w:rPr>
                    <w:t>外售废旧资源回收公司利用</w:t>
                  </w:r>
                </w:p>
              </w:tc>
            </w:tr>
            <w:tr w14:paraId="1738224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41">
                  <w:pPr>
                    <w:snapToGrid w:val="0"/>
                    <w:jc w:val="center"/>
                    <w:rPr>
                      <w:color w:val="auto"/>
                      <w:szCs w:val="21"/>
                    </w:rPr>
                  </w:pPr>
                </w:p>
              </w:tc>
              <w:tc>
                <w:tcPr>
                  <w:tcW w:w="427" w:type="pct"/>
                  <w:vAlign w:val="center"/>
                </w:tcPr>
                <w:p w14:paraId="17382242">
                  <w:pPr>
                    <w:snapToGrid w:val="0"/>
                    <w:jc w:val="center"/>
                    <w:rPr>
                      <w:color w:val="auto"/>
                      <w:szCs w:val="21"/>
                    </w:rPr>
                  </w:pPr>
                  <w:r>
                    <w:rPr>
                      <w:rFonts w:hint="eastAsia"/>
                      <w:color w:val="auto"/>
                      <w:szCs w:val="21"/>
                    </w:rPr>
                    <w:t>S</w:t>
                  </w:r>
                  <w:r>
                    <w:rPr>
                      <w:rFonts w:hint="eastAsia"/>
                      <w:color w:val="auto"/>
                      <w:szCs w:val="21"/>
                      <w:vertAlign w:val="subscript"/>
                    </w:rPr>
                    <w:t>7</w:t>
                  </w:r>
                </w:p>
              </w:tc>
              <w:tc>
                <w:tcPr>
                  <w:tcW w:w="1182" w:type="pct"/>
                  <w:vAlign w:val="center"/>
                </w:tcPr>
                <w:p w14:paraId="17382243">
                  <w:pPr>
                    <w:snapToGrid w:val="0"/>
                    <w:jc w:val="center"/>
                    <w:rPr>
                      <w:color w:val="auto"/>
                      <w:szCs w:val="21"/>
                    </w:rPr>
                  </w:pPr>
                  <w:r>
                    <w:rPr>
                      <w:rFonts w:hint="eastAsia"/>
                      <w:color w:val="auto"/>
                      <w:szCs w:val="21"/>
                    </w:rPr>
                    <w:t>粉尘</w:t>
                  </w:r>
                </w:p>
              </w:tc>
              <w:tc>
                <w:tcPr>
                  <w:tcW w:w="1031" w:type="pct"/>
                  <w:vAlign w:val="center"/>
                </w:tcPr>
                <w:p w14:paraId="17382244">
                  <w:pPr>
                    <w:snapToGrid w:val="0"/>
                    <w:jc w:val="center"/>
                    <w:rPr>
                      <w:color w:val="auto"/>
                      <w:szCs w:val="21"/>
                    </w:rPr>
                  </w:pPr>
                  <w:r>
                    <w:rPr>
                      <w:rFonts w:hint="eastAsia"/>
                      <w:color w:val="auto"/>
                      <w:szCs w:val="21"/>
                    </w:rPr>
                    <w:t>除锈</w:t>
                  </w:r>
                </w:p>
              </w:tc>
              <w:tc>
                <w:tcPr>
                  <w:tcW w:w="2088" w:type="pct"/>
                  <w:gridSpan w:val="2"/>
                  <w:vAlign w:val="center"/>
                </w:tcPr>
                <w:p w14:paraId="17382245">
                  <w:pPr>
                    <w:snapToGrid w:val="0"/>
                    <w:jc w:val="center"/>
                    <w:rPr>
                      <w:color w:val="auto"/>
                      <w:szCs w:val="21"/>
                    </w:rPr>
                  </w:pPr>
                  <w:r>
                    <w:rPr>
                      <w:rFonts w:hint="eastAsia"/>
                      <w:color w:val="auto"/>
                      <w:szCs w:val="21"/>
                    </w:rPr>
                    <w:t>外售废旧资源回收公司利用</w:t>
                  </w:r>
                </w:p>
              </w:tc>
            </w:tr>
            <w:tr w14:paraId="1738224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47">
                  <w:pPr>
                    <w:snapToGrid w:val="0"/>
                    <w:jc w:val="center"/>
                    <w:rPr>
                      <w:color w:val="auto"/>
                      <w:szCs w:val="21"/>
                    </w:rPr>
                  </w:pPr>
                </w:p>
              </w:tc>
              <w:tc>
                <w:tcPr>
                  <w:tcW w:w="427" w:type="pct"/>
                  <w:vAlign w:val="center"/>
                </w:tcPr>
                <w:p w14:paraId="17382248">
                  <w:pPr>
                    <w:snapToGrid w:val="0"/>
                    <w:jc w:val="center"/>
                    <w:rPr>
                      <w:color w:val="auto"/>
                      <w:szCs w:val="21"/>
                    </w:rPr>
                  </w:pPr>
                  <w:r>
                    <w:rPr>
                      <w:rFonts w:hint="eastAsia"/>
                      <w:color w:val="auto"/>
                      <w:szCs w:val="21"/>
                    </w:rPr>
                    <w:t>S</w:t>
                  </w:r>
                  <w:r>
                    <w:rPr>
                      <w:rFonts w:hint="eastAsia"/>
                      <w:color w:val="auto"/>
                      <w:szCs w:val="21"/>
                      <w:vertAlign w:val="subscript"/>
                    </w:rPr>
                    <w:t>8</w:t>
                  </w:r>
                </w:p>
              </w:tc>
              <w:tc>
                <w:tcPr>
                  <w:tcW w:w="1182" w:type="pct"/>
                  <w:vAlign w:val="center"/>
                </w:tcPr>
                <w:p w14:paraId="17382249">
                  <w:pPr>
                    <w:snapToGrid w:val="0"/>
                    <w:jc w:val="center"/>
                    <w:rPr>
                      <w:color w:val="auto"/>
                      <w:szCs w:val="21"/>
                    </w:rPr>
                  </w:pPr>
                  <w:r>
                    <w:rPr>
                      <w:rFonts w:hint="eastAsia"/>
                      <w:color w:val="auto"/>
                      <w:szCs w:val="21"/>
                    </w:rPr>
                    <w:t>废钢丸</w:t>
                  </w:r>
                </w:p>
              </w:tc>
              <w:tc>
                <w:tcPr>
                  <w:tcW w:w="1031" w:type="pct"/>
                  <w:vAlign w:val="center"/>
                </w:tcPr>
                <w:p w14:paraId="1738224A">
                  <w:pPr>
                    <w:snapToGrid w:val="0"/>
                    <w:jc w:val="center"/>
                    <w:rPr>
                      <w:color w:val="auto"/>
                      <w:szCs w:val="21"/>
                    </w:rPr>
                  </w:pPr>
                  <w:r>
                    <w:rPr>
                      <w:rFonts w:hint="eastAsia"/>
                      <w:color w:val="auto"/>
                      <w:szCs w:val="21"/>
                    </w:rPr>
                    <w:t>除锈</w:t>
                  </w:r>
                </w:p>
              </w:tc>
              <w:tc>
                <w:tcPr>
                  <w:tcW w:w="2088" w:type="pct"/>
                  <w:gridSpan w:val="2"/>
                  <w:vAlign w:val="center"/>
                </w:tcPr>
                <w:p w14:paraId="1738224B">
                  <w:pPr>
                    <w:snapToGrid w:val="0"/>
                    <w:jc w:val="center"/>
                    <w:rPr>
                      <w:color w:val="auto"/>
                      <w:szCs w:val="21"/>
                    </w:rPr>
                  </w:pPr>
                  <w:r>
                    <w:rPr>
                      <w:rFonts w:hint="eastAsia"/>
                      <w:color w:val="auto"/>
                      <w:szCs w:val="21"/>
                    </w:rPr>
                    <w:t>外售废旧资源回收公司利用</w:t>
                  </w:r>
                </w:p>
              </w:tc>
            </w:tr>
            <w:tr w14:paraId="1738225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4D">
                  <w:pPr>
                    <w:snapToGrid w:val="0"/>
                    <w:jc w:val="center"/>
                    <w:rPr>
                      <w:color w:val="auto"/>
                      <w:szCs w:val="21"/>
                    </w:rPr>
                  </w:pPr>
                </w:p>
              </w:tc>
              <w:tc>
                <w:tcPr>
                  <w:tcW w:w="427" w:type="pct"/>
                  <w:vAlign w:val="center"/>
                </w:tcPr>
                <w:p w14:paraId="1738224E">
                  <w:pPr>
                    <w:snapToGrid w:val="0"/>
                    <w:jc w:val="center"/>
                    <w:rPr>
                      <w:color w:val="auto"/>
                      <w:szCs w:val="21"/>
                    </w:rPr>
                  </w:pPr>
                  <w:r>
                    <w:rPr>
                      <w:rFonts w:hint="eastAsia"/>
                      <w:color w:val="auto"/>
                      <w:szCs w:val="21"/>
                    </w:rPr>
                    <w:t>S</w:t>
                  </w:r>
                  <w:r>
                    <w:rPr>
                      <w:rFonts w:hint="eastAsia"/>
                      <w:color w:val="auto"/>
                      <w:szCs w:val="21"/>
                      <w:vertAlign w:val="subscript"/>
                    </w:rPr>
                    <w:t>9</w:t>
                  </w:r>
                </w:p>
              </w:tc>
              <w:tc>
                <w:tcPr>
                  <w:tcW w:w="1182" w:type="pct"/>
                  <w:vAlign w:val="center"/>
                </w:tcPr>
                <w:p w14:paraId="1738224F">
                  <w:pPr>
                    <w:snapToGrid w:val="0"/>
                    <w:jc w:val="center"/>
                    <w:rPr>
                      <w:color w:val="auto"/>
                      <w:szCs w:val="21"/>
                    </w:rPr>
                  </w:pPr>
                  <w:r>
                    <w:rPr>
                      <w:rFonts w:hint="eastAsia"/>
                      <w:color w:val="auto"/>
                      <w:szCs w:val="21"/>
                    </w:rPr>
                    <w:t>沉渣</w:t>
                  </w:r>
                </w:p>
              </w:tc>
              <w:tc>
                <w:tcPr>
                  <w:tcW w:w="1031" w:type="pct"/>
                  <w:vAlign w:val="center"/>
                </w:tcPr>
                <w:p w14:paraId="17382250">
                  <w:pPr>
                    <w:snapToGrid w:val="0"/>
                    <w:jc w:val="center"/>
                    <w:rPr>
                      <w:color w:val="auto"/>
                      <w:szCs w:val="21"/>
                    </w:rPr>
                  </w:pPr>
                  <w:r>
                    <w:rPr>
                      <w:rFonts w:hint="eastAsia"/>
                      <w:color w:val="auto"/>
                      <w:szCs w:val="21"/>
                    </w:rPr>
                    <w:t>清洗</w:t>
                  </w:r>
                </w:p>
              </w:tc>
              <w:tc>
                <w:tcPr>
                  <w:tcW w:w="2088" w:type="pct"/>
                  <w:gridSpan w:val="2"/>
                  <w:vAlign w:val="center"/>
                </w:tcPr>
                <w:p w14:paraId="17382251">
                  <w:pPr>
                    <w:snapToGrid w:val="0"/>
                    <w:jc w:val="center"/>
                    <w:rPr>
                      <w:color w:val="auto"/>
                      <w:szCs w:val="21"/>
                    </w:rPr>
                  </w:pPr>
                  <w:r>
                    <w:rPr>
                      <w:rFonts w:hint="eastAsia"/>
                      <w:color w:val="auto"/>
                      <w:szCs w:val="21"/>
                    </w:rPr>
                    <w:t>外售废旧资源回收公司利用</w:t>
                  </w:r>
                </w:p>
              </w:tc>
            </w:tr>
            <w:tr w14:paraId="1738225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53">
                  <w:pPr>
                    <w:snapToGrid w:val="0"/>
                    <w:jc w:val="center"/>
                    <w:rPr>
                      <w:color w:val="auto"/>
                      <w:szCs w:val="21"/>
                    </w:rPr>
                  </w:pPr>
                </w:p>
              </w:tc>
              <w:tc>
                <w:tcPr>
                  <w:tcW w:w="427" w:type="pct"/>
                  <w:vAlign w:val="center"/>
                </w:tcPr>
                <w:p w14:paraId="17382254">
                  <w:pPr>
                    <w:snapToGrid w:val="0"/>
                    <w:jc w:val="center"/>
                    <w:rPr>
                      <w:color w:val="auto"/>
                      <w:szCs w:val="21"/>
                    </w:rPr>
                  </w:pPr>
                  <w:r>
                    <w:rPr>
                      <w:rFonts w:hint="eastAsia"/>
                      <w:color w:val="auto"/>
                      <w:szCs w:val="21"/>
                    </w:rPr>
                    <w:t>S</w:t>
                  </w:r>
                  <w:r>
                    <w:rPr>
                      <w:rFonts w:hint="eastAsia"/>
                      <w:color w:val="auto"/>
                      <w:szCs w:val="21"/>
                      <w:vertAlign w:val="subscript"/>
                    </w:rPr>
                    <w:t>10</w:t>
                  </w:r>
                </w:p>
              </w:tc>
              <w:tc>
                <w:tcPr>
                  <w:tcW w:w="1182" w:type="pct"/>
                  <w:shd w:val="clear" w:color="auto" w:fill="auto"/>
                  <w:vAlign w:val="center"/>
                </w:tcPr>
                <w:p w14:paraId="17382255">
                  <w:pPr>
                    <w:snapToGrid w:val="0"/>
                    <w:jc w:val="center"/>
                    <w:rPr>
                      <w:color w:val="auto"/>
                      <w:szCs w:val="21"/>
                    </w:rPr>
                  </w:pPr>
                  <w:r>
                    <w:rPr>
                      <w:rFonts w:hint="eastAsia"/>
                      <w:color w:val="auto"/>
                      <w:szCs w:val="21"/>
                    </w:rPr>
                    <w:t>废防锈油</w:t>
                  </w:r>
                </w:p>
              </w:tc>
              <w:tc>
                <w:tcPr>
                  <w:tcW w:w="1031" w:type="pct"/>
                  <w:vAlign w:val="center"/>
                </w:tcPr>
                <w:p w14:paraId="17382256">
                  <w:pPr>
                    <w:snapToGrid w:val="0"/>
                    <w:jc w:val="center"/>
                    <w:rPr>
                      <w:color w:val="auto"/>
                      <w:szCs w:val="21"/>
                    </w:rPr>
                  </w:pPr>
                  <w:r>
                    <w:rPr>
                      <w:rFonts w:hint="eastAsia"/>
                      <w:color w:val="auto"/>
                      <w:szCs w:val="21"/>
                    </w:rPr>
                    <w:t>涂油</w:t>
                  </w:r>
                </w:p>
              </w:tc>
              <w:tc>
                <w:tcPr>
                  <w:tcW w:w="2088" w:type="pct"/>
                  <w:gridSpan w:val="2"/>
                  <w:vAlign w:val="center"/>
                </w:tcPr>
                <w:p w14:paraId="17382257">
                  <w:pPr>
                    <w:snapToGrid w:val="0"/>
                    <w:jc w:val="center"/>
                    <w:rPr>
                      <w:color w:val="auto"/>
                      <w:szCs w:val="21"/>
                    </w:rPr>
                  </w:pPr>
                  <w:r>
                    <w:rPr>
                      <w:color w:val="auto"/>
                      <w:szCs w:val="21"/>
                    </w:rPr>
                    <w:t>暂存危废暂存库中，</w:t>
                  </w:r>
                  <w:r>
                    <w:rPr>
                      <w:rFonts w:hint="eastAsia"/>
                      <w:color w:val="auto"/>
                      <w:szCs w:val="21"/>
                    </w:rPr>
                    <w:t>委托</w:t>
                  </w:r>
                  <w:r>
                    <w:rPr>
                      <w:rFonts w:hint="eastAsia"/>
                      <w:color w:val="auto"/>
                      <w:szCs w:val="21"/>
                      <w:lang w:val="en-US" w:eastAsia="zh-CN"/>
                    </w:rPr>
                    <w:t>有</w:t>
                  </w:r>
                  <w:r>
                    <w:rPr>
                      <w:color w:val="auto"/>
                      <w:szCs w:val="21"/>
                    </w:rPr>
                    <w:t>资质单位</w:t>
                  </w:r>
                  <w:r>
                    <w:rPr>
                      <w:rFonts w:hint="eastAsia"/>
                      <w:color w:val="auto"/>
                      <w:szCs w:val="21"/>
                    </w:rPr>
                    <w:t>处置</w:t>
                  </w:r>
                </w:p>
              </w:tc>
            </w:tr>
            <w:tr w14:paraId="1738225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59">
                  <w:pPr>
                    <w:snapToGrid w:val="0"/>
                    <w:jc w:val="center"/>
                    <w:rPr>
                      <w:color w:val="auto"/>
                      <w:szCs w:val="21"/>
                    </w:rPr>
                  </w:pPr>
                </w:p>
              </w:tc>
              <w:tc>
                <w:tcPr>
                  <w:tcW w:w="427" w:type="pct"/>
                  <w:vAlign w:val="center"/>
                </w:tcPr>
                <w:p w14:paraId="1738225A">
                  <w:pPr>
                    <w:snapToGrid w:val="0"/>
                    <w:jc w:val="center"/>
                    <w:rPr>
                      <w:color w:val="auto"/>
                      <w:szCs w:val="21"/>
                    </w:rPr>
                  </w:pPr>
                  <w:r>
                    <w:rPr>
                      <w:rFonts w:hint="eastAsia"/>
                      <w:color w:val="auto"/>
                      <w:szCs w:val="21"/>
                    </w:rPr>
                    <w:t>S</w:t>
                  </w:r>
                  <w:r>
                    <w:rPr>
                      <w:rFonts w:hint="eastAsia"/>
                      <w:color w:val="auto"/>
                      <w:szCs w:val="21"/>
                      <w:vertAlign w:val="subscript"/>
                    </w:rPr>
                    <w:t>11</w:t>
                  </w:r>
                </w:p>
              </w:tc>
              <w:tc>
                <w:tcPr>
                  <w:tcW w:w="1182" w:type="pct"/>
                  <w:shd w:val="clear" w:color="auto" w:fill="auto"/>
                  <w:vAlign w:val="center"/>
                </w:tcPr>
                <w:p w14:paraId="1738225B">
                  <w:pPr>
                    <w:snapToGrid w:val="0"/>
                    <w:jc w:val="center"/>
                    <w:rPr>
                      <w:color w:val="auto"/>
                      <w:szCs w:val="21"/>
                    </w:rPr>
                  </w:pPr>
                  <w:r>
                    <w:rPr>
                      <w:rFonts w:hint="eastAsia"/>
                      <w:color w:val="auto"/>
                      <w:szCs w:val="21"/>
                    </w:rPr>
                    <w:t>废包装桶</w:t>
                  </w:r>
                </w:p>
              </w:tc>
              <w:tc>
                <w:tcPr>
                  <w:tcW w:w="1031" w:type="pct"/>
                  <w:vAlign w:val="center"/>
                </w:tcPr>
                <w:p w14:paraId="1738225C">
                  <w:pPr>
                    <w:snapToGrid w:val="0"/>
                    <w:jc w:val="center"/>
                    <w:rPr>
                      <w:color w:val="auto"/>
                      <w:szCs w:val="21"/>
                    </w:rPr>
                  </w:pPr>
                  <w:r>
                    <w:rPr>
                      <w:rFonts w:hint="eastAsia"/>
                      <w:color w:val="auto"/>
                      <w:szCs w:val="21"/>
                    </w:rPr>
                    <w:t>涂油</w:t>
                  </w:r>
                </w:p>
              </w:tc>
              <w:tc>
                <w:tcPr>
                  <w:tcW w:w="2088" w:type="pct"/>
                  <w:gridSpan w:val="2"/>
                  <w:vAlign w:val="center"/>
                </w:tcPr>
                <w:p w14:paraId="1738225D">
                  <w:pPr>
                    <w:snapToGrid w:val="0"/>
                    <w:jc w:val="center"/>
                    <w:rPr>
                      <w:color w:val="auto"/>
                      <w:szCs w:val="21"/>
                    </w:rPr>
                  </w:pPr>
                  <w:r>
                    <w:rPr>
                      <w:color w:val="auto"/>
                      <w:szCs w:val="21"/>
                    </w:rPr>
                    <w:t>暂存危废暂存库中，</w:t>
                  </w:r>
                  <w:r>
                    <w:rPr>
                      <w:rFonts w:hint="eastAsia"/>
                      <w:color w:val="auto"/>
                      <w:szCs w:val="21"/>
                    </w:rPr>
                    <w:t>委托</w:t>
                  </w:r>
                  <w:r>
                    <w:rPr>
                      <w:rFonts w:hint="eastAsia"/>
                      <w:color w:val="auto"/>
                      <w:szCs w:val="21"/>
                      <w:lang w:val="en-US" w:eastAsia="zh-CN"/>
                    </w:rPr>
                    <w:t>有</w:t>
                  </w:r>
                  <w:r>
                    <w:rPr>
                      <w:color w:val="auto"/>
                      <w:szCs w:val="21"/>
                    </w:rPr>
                    <w:t>资质单位</w:t>
                  </w:r>
                  <w:r>
                    <w:rPr>
                      <w:rFonts w:hint="eastAsia"/>
                      <w:color w:val="auto"/>
                      <w:szCs w:val="21"/>
                    </w:rPr>
                    <w:t>处置</w:t>
                  </w:r>
                </w:p>
              </w:tc>
            </w:tr>
            <w:tr w14:paraId="5EDCF49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05EAEB23">
                  <w:pPr>
                    <w:snapToGrid w:val="0"/>
                    <w:jc w:val="center"/>
                    <w:rPr>
                      <w:color w:val="auto"/>
                      <w:szCs w:val="21"/>
                    </w:rPr>
                  </w:pPr>
                </w:p>
              </w:tc>
              <w:tc>
                <w:tcPr>
                  <w:tcW w:w="427" w:type="pct"/>
                  <w:shd w:val="clear" w:color="auto" w:fill="auto"/>
                  <w:vAlign w:val="center"/>
                </w:tcPr>
                <w:p w14:paraId="352E80B8">
                  <w:pPr>
                    <w:snapToGrid w:val="0"/>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S</w:t>
                  </w:r>
                  <w:r>
                    <w:rPr>
                      <w:rFonts w:hint="eastAsia"/>
                      <w:color w:val="auto"/>
                      <w:szCs w:val="21"/>
                      <w:vertAlign w:val="subscript"/>
                    </w:rPr>
                    <w:t>12</w:t>
                  </w:r>
                </w:p>
              </w:tc>
              <w:tc>
                <w:tcPr>
                  <w:tcW w:w="1182" w:type="pct"/>
                  <w:shd w:val="clear" w:color="auto" w:fill="auto"/>
                  <w:vAlign w:val="center"/>
                </w:tcPr>
                <w:p w14:paraId="71D098AF">
                  <w:pPr>
                    <w:snapToGrid w:val="0"/>
                    <w:jc w:val="center"/>
                    <w:rPr>
                      <w:rFonts w:hint="default" w:eastAsia="宋体"/>
                      <w:color w:val="auto"/>
                      <w:szCs w:val="21"/>
                      <w:lang w:val="en-US" w:eastAsia="zh-CN"/>
                    </w:rPr>
                  </w:pPr>
                  <w:r>
                    <w:rPr>
                      <w:rFonts w:hint="eastAsia"/>
                      <w:color w:val="auto"/>
                      <w:szCs w:val="21"/>
                      <w:lang w:val="en-US" w:eastAsia="zh-CN"/>
                    </w:rPr>
                    <w:t>不合格品</w:t>
                  </w:r>
                </w:p>
              </w:tc>
              <w:tc>
                <w:tcPr>
                  <w:tcW w:w="1031" w:type="pct"/>
                  <w:vAlign w:val="center"/>
                </w:tcPr>
                <w:p w14:paraId="59D5A1C7">
                  <w:pPr>
                    <w:snapToGrid w:val="0"/>
                    <w:jc w:val="center"/>
                    <w:rPr>
                      <w:rFonts w:hint="default" w:eastAsia="宋体"/>
                      <w:color w:val="auto"/>
                      <w:szCs w:val="21"/>
                      <w:lang w:val="en-US" w:eastAsia="zh-CN"/>
                    </w:rPr>
                  </w:pPr>
                  <w:r>
                    <w:rPr>
                      <w:rFonts w:hint="eastAsia"/>
                      <w:color w:val="auto"/>
                      <w:szCs w:val="21"/>
                      <w:lang w:val="en-US" w:eastAsia="zh-CN"/>
                    </w:rPr>
                    <w:t>检验、成品入库</w:t>
                  </w:r>
                </w:p>
              </w:tc>
              <w:tc>
                <w:tcPr>
                  <w:tcW w:w="2088" w:type="pct"/>
                  <w:gridSpan w:val="2"/>
                  <w:vAlign w:val="center"/>
                </w:tcPr>
                <w:p w14:paraId="49FBEDE3">
                  <w:pPr>
                    <w:snapToGrid w:val="0"/>
                    <w:jc w:val="center"/>
                    <w:rPr>
                      <w:color w:val="auto"/>
                      <w:szCs w:val="21"/>
                    </w:rPr>
                  </w:pPr>
                  <w:r>
                    <w:rPr>
                      <w:rFonts w:hint="eastAsia"/>
                      <w:color w:val="auto"/>
                      <w:szCs w:val="21"/>
                    </w:rPr>
                    <w:t>外售废旧资源回收公司利用</w:t>
                  </w:r>
                </w:p>
              </w:tc>
            </w:tr>
            <w:tr w14:paraId="1738226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3B846D90">
                  <w:pPr>
                    <w:snapToGrid w:val="0"/>
                    <w:jc w:val="center"/>
                    <w:rPr>
                      <w:color w:val="auto"/>
                      <w:szCs w:val="21"/>
                    </w:rPr>
                  </w:pPr>
                </w:p>
              </w:tc>
              <w:tc>
                <w:tcPr>
                  <w:tcW w:w="427" w:type="pct"/>
                  <w:shd w:val="clear" w:color="auto" w:fill="auto"/>
                  <w:vAlign w:val="center"/>
                </w:tcPr>
                <w:p w14:paraId="17382260">
                  <w:pPr>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S</w:t>
                  </w:r>
                  <w:r>
                    <w:rPr>
                      <w:rFonts w:hint="eastAsia"/>
                      <w:color w:val="auto"/>
                      <w:szCs w:val="21"/>
                      <w:vertAlign w:val="subscript"/>
                    </w:rPr>
                    <w:t>13</w:t>
                  </w:r>
                </w:p>
              </w:tc>
              <w:tc>
                <w:tcPr>
                  <w:tcW w:w="1182" w:type="pct"/>
                  <w:vAlign w:val="center"/>
                </w:tcPr>
                <w:p w14:paraId="17382261">
                  <w:pPr>
                    <w:snapToGrid w:val="0"/>
                    <w:jc w:val="center"/>
                    <w:rPr>
                      <w:color w:val="auto"/>
                      <w:szCs w:val="21"/>
                    </w:rPr>
                  </w:pPr>
                  <w:r>
                    <w:rPr>
                      <w:rFonts w:hint="eastAsia"/>
                      <w:color w:val="auto"/>
                      <w:szCs w:val="21"/>
                    </w:rPr>
                    <w:t>废布袋、废滤筒</w:t>
                  </w:r>
                </w:p>
              </w:tc>
              <w:tc>
                <w:tcPr>
                  <w:tcW w:w="1031" w:type="pct"/>
                  <w:vAlign w:val="center"/>
                </w:tcPr>
                <w:p w14:paraId="17382262">
                  <w:pPr>
                    <w:snapToGrid w:val="0"/>
                    <w:jc w:val="center"/>
                    <w:rPr>
                      <w:color w:val="auto"/>
                      <w:szCs w:val="21"/>
                    </w:rPr>
                  </w:pPr>
                  <w:r>
                    <w:rPr>
                      <w:rFonts w:hint="eastAsia"/>
                      <w:color w:val="auto"/>
                      <w:szCs w:val="21"/>
                    </w:rPr>
                    <w:t>废气治理</w:t>
                  </w:r>
                </w:p>
              </w:tc>
              <w:tc>
                <w:tcPr>
                  <w:tcW w:w="2088" w:type="pct"/>
                  <w:gridSpan w:val="2"/>
                  <w:vAlign w:val="center"/>
                </w:tcPr>
                <w:p w14:paraId="17382263">
                  <w:pPr>
                    <w:snapToGrid w:val="0"/>
                    <w:jc w:val="center"/>
                    <w:rPr>
                      <w:color w:val="auto"/>
                      <w:szCs w:val="21"/>
                    </w:rPr>
                  </w:pPr>
                  <w:r>
                    <w:rPr>
                      <w:rFonts w:hint="eastAsia"/>
                      <w:color w:val="auto"/>
                      <w:szCs w:val="21"/>
                    </w:rPr>
                    <w:t>外售废旧资源回收公司利用</w:t>
                  </w:r>
                </w:p>
              </w:tc>
            </w:tr>
            <w:tr w14:paraId="1738226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65">
                  <w:pPr>
                    <w:snapToGrid w:val="0"/>
                    <w:jc w:val="center"/>
                    <w:rPr>
                      <w:color w:val="auto"/>
                      <w:szCs w:val="21"/>
                    </w:rPr>
                  </w:pPr>
                </w:p>
              </w:tc>
              <w:tc>
                <w:tcPr>
                  <w:tcW w:w="427" w:type="pct"/>
                  <w:shd w:val="clear" w:color="auto" w:fill="auto"/>
                  <w:vAlign w:val="center"/>
                </w:tcPr>
                <w:p w14:paraId="17382266">
                  <w:pPr>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S</w:t>
                  </w:r>
                  <w:r>
                    <w:rPr>
                      <w:rFonts w:hint="eastAsia"/>
                      <w:color w:val="auto"/>
                      <w:szCs w:val="21"/>
                      <w:vertAlign w:val="subscript"/>
                    </w:rPr>
                    <w:t>14</w:t>
                  </w:r>
                </w:p>
              </w:tc>
              <w:tc>
                <w:tcPr>
                  <w:tcW w:w="1182" w:type="pct"/>
                  <w:shd w:val="clear" w:color="auto" w:fill="auto"/>
                  <w:vAlign w:val="center"/>
                </w:tcPr>
                <w:p w14:paraId="17382267">
                  <w:pPr>
                    <w:snapToGrid w:val="0"/>
                    <w:jc w:val="center"/>
                    <w:rPr>
                      <w:color w:val="auto"/>
                      <w:szCs w:val="21"/>
                    </w:rPr>
                  </w:pPr>
                  <w:r>
                    <w:rPr>
                      <w:rFonts w:hint="eastAsia"/>
                      <w:color w:val="auto"/>
                      <w:szCs w:val="21"/>
                    </w:rPr>
                    <w:t>化粪池污泥</w:t>
                  </w:r>
                </w:p>
              </w:tc>
              <w:tc>
                <w:tcPr>
                  <w:tcW w:w="1031" w:type="pct"/>
                  <w:shd w:val="clear" w:color="auto" w:fill="auto"/>
                  <w:vAlign w:val="center"/>
                </w:tcPr>
                <w:p w14:paraId="17382268">
                  <w:pPr>
                    <w:adjustRightInd w:val="0"/>
                    <w:snapToGrid w:val="0"/>
                    <w:jc w:val="center"/>
                    <w:rPr>
                      <w:color w:val="auto"/>
                      <w:szCs w:val="21"/>
                    </w:rPr>
                  </w:pPr>
                  <w:r>
                    <w:rPr>
                      <w:rFonts w:hint="eastAsia"/>
                      <w:color w:val="auto"/>
                      <w:szCs w:val="21"/>
                    </w:rPr>
                    <w:t>废水处理</w:t>
                  </w:r>
                </w:p>
              </w:tc>
              <w:tc>
                <w:tcPr>
                  <w:tcW w:w="2088" w:type="pct"/>
                  <w:gridSpan w:val="2"/>
                  <w:shd w:val="clear" w:color="auto" w:fill="auto"/>
                  <w:vAlign w:val="center"/>
                </w:tcPr>
                <w:p w14:paraId="17382269">
                  <w:pPr>
                    <w:snapToGrid w:val="0"/>
                    <w:jc w:val="center"/>
                    <w:rPr>
                      <w:color w:val="auto"/>
                      <w:szCs w:val="21"/>
                    </w:rPr>
                  </w:pPr>
                  <w:r>
                    <w:rPr>
                      <w:rFonts w:hint="eastAsia"/>
                      <w:color w:val="auto"/>
                      <w:szCs w:val="21"/>
                    </w:rPr>
                    <w:t>委托环卫人员统一清运</w:t>
                  </w:r>
                </w:p>
              </w:tc>
            </w:tr>
            <w:tr w14:paraId="1738227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6B">
                  <w:pPr>
                    <w:snapToGrid w:val="0"/>
                    <w:jc w:val="center"/>
                    <w:rPr>
                      <w:color w:val="auto"/>
                      <w:szCs w:val="21"/>
                    </w:rPr>
                  </w:pPr>
                </w:p>
              </w:tc>
              <w:tc>
                <w:tcPr>
                  <w:tcW w:w="427" w:type="pct"/>
                  <w:shd w:val="clear" w:color="auto" w:fill="auto"/>
                  <w:vAlign w:val="center"/>
                </w:tcPr>
                <w:p w14:paraId="1738226C">
                  <w:pPr>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S</w:t>
                  </w:r>
                  <w:r>
                    <w:rPr>
                      <w:rFonts w:hint="eastAsia"/>
                      <w:color w:val="auto"/>
                      <w:szCs w:val="21"/>
                      <w:vertAlign w:val="subscript"/>
                    </w:rPr>
                    <w:t>15</w:t>
                  </w:r>
                </w:p>
              </w:tc>
              <w:tc>
                <w:tcPr>
                  <w:tcW w:w="1182" w:type="pct"/>
                  <w:shd w:val="clear" w:color="auto" w:fill="auto"/>
                  <w:vAlign w:val="center"/>
                </w:tcPr>
                <w:p w14:paraId="1738226D">
                  <w:pPr>
                    <w:snapToGrid w:val="0"/>
                    <w:jc w:val="center"/>
                    <w:rPr>
                      <w:color w:val="auto"/>
                      <w:szCs w:val="21"/>
                    </w:rPr>
                  </w:pPr>
                  <w:r>
                    <w:rPr>
                      <w:rFonts w:hint="eastAsia"/>
                      <w:color w:val="auto"/>
                      <w:szCs w:val="21"/>
                    </w:rPr>
                    <w:t>废机油</w:t>
                  </w:r>
                </w:p>
              </w:tc>
              <w:tc>
                <w:tcPr>
                  <w:tcW w:w="1031" w:type="pct"/>
                  <w:shd w:val="clear" w:color="auto" w:fill="auto"/>
                  <w:vAlign w:val="center"/>
                </w:tcPr>
                <w:p w14:paraId="1738226E">
                  <w:pPr>
                    <w:snapToGrid w:val="0"/>
                    <w:jc w:val="center"/>
                    <w:rPr>
                      <w:color w:val="auto"/>
                      <w:szCs w:val="21"/>
                    </w:rPr>
                  </w:pPr>
                  <w:r>
                    <w:rPr>
                      <w:rFonts w:hint="eastAsia"/>
                      <w:color w:val="auto"/>
                      <w:szCs w:val="21"/>
                    </w:rPr>
                    <w:t>设备维护</w:t>
                  </w:r>
                </w:p>
              </w:tc>
              <w:tc>
                <w:tcPr>
                  <w:tcW w:w="2088" w:type="pct"/>
                  <w:gridSpan w:val="2"/>
                  <w:shd w:val="clear" w:color="auto" w:fill="auto"/>
                  <w:vAlign w:val="center"/>
                </w:tcPr>
                <w:p w14:paraId="1738226F">
                  <w:pPr>
                    <w:snapToGrid w:val="0"/>
                    <w:jc w:val="center"/>
                    <w:rPr>
                      <w:color w:val="auto"/>
                      <w:szCs w:val="21"/>
                    </w:rPr>
                  </w:pPr>
                  <w:r>
                    <w:rPr>
                      <w:color w:val="auto"/>
                      <w:szCs w:val="21"/>
                    </w:rPr>
                    <w:t>暂存危废暂存库中，</w:t>
                  </w:r>
                  <w:r>
                    <w:rPr>
                      <w:rFonts w:hint="eastAsia"/>
                      <w:color w:val="auto"/>
                      <w:szCs w:val="21"/>
                    </w:rPr>
                    <w:t>委托</w:t>
                  </w:r>
                  <w:r>
                    <w:rPr>
                      <w:rFonts w:hint="eastAsia"/>
                      <w:color w:val="auto"/>
                      <w:szCs w:val="21"/>
                      <w:lang w:val="en-US" w:eastAsia="zh-CN"/>
                    </w:rPr>
                    <w:t>有</w:t>
                  </w:r>
                  <w:r>
                    <w:rPr>
                      <w:color w:val="auto"/>
                      <w:szCs w:val="21"/>
                    </w:rPr>
                    <w:t>资质单位</w:t>
                  </w:r>
                  <w:r>
                    <w:rPr>
                      <w:rFonts w:hint="eastAsia"/>
                      <w:color w:val="auto"/>
                      <w:szCs w:val="21"/>
                    </w:rPr>
                    <w:t>处置</w:t>
                  </w:r>
                </w:p>
              </w:tc>
            </w:tr>
            <w:tr w14:paraId="1738227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71">
                  <w:pPr>
                    <w:snapToGrid w:val="0"/>
                    <w:jc w:val="center"/>
                    <w:rPr>
                      <w:color w:val="auto"/>
                      <w:szCs w:val="21"/>
                    </w:rPr>
                  </w:pPr>
                </w:p>
              </w:tc>
              <w:tc>
                <w:tcPr>
                  <w:tcW w:w="427" w:type="pct"/>
                  <w:shd w:val="clear" w:color="auto" w:fill="auto"/>
                  <w:vAlign w:val="center"/>
                </w:tcPr>
                <w:p w14:paraId="17382272">
                  <w:pPr>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S</w:t>
                  </w:r>
                  <w:r>
                    <w:rPr>
                      <w:rFonts w:hint="eastAsia"/>
                      <w:color w:val="auto"/>
                      <w:szCs w:val="21"/>
                      <w:vertAlign w:val="subscript"/>
                    </w:rPr>
                    <w:t>16</w:t>
                  </w:r>
                </w:p>
              </w:tc>
              <w:tc>
                <w:tcPr>
                  <w:tcW w:w="1182" w:type="pct"/>
                  <w:shd w:val="clear" w:color="auto" w:fill="auto"/>
                  <w:vAlign w:val="center"/>
                </w:tcPr>
                <w:p w14:paraId="17382273">
                  <w:pPr>
                    <w:snapToGrid w:val="0"/>
                    <w:jc w:val="center"/>
                    <w:rPr>
                      <w:color w:val="auto"/>
                      <w:szCs w:val="21"/>
                    </w:rPr>
                  </w:pPr>
                  <w:r>
                    <w:rPr>
                      <w:rFonts w:hint="eastAsia"/>
                      <w:color w:val="auto"/>
                      <w:szCs w:val="21"/>
                    </w:rPr>
                    <w:t>废机油桶</w:t>
                  </w:r>
                </w:p>
              </w:tc>
              <w:tc>
                <w:tcPr>
                  <w:tcW w:w="1031" w:type="pct"/>
                  <w:shd w:val="clear" w:color="auto" w:fill="auto"/>
                  <w:vAlign w:val="center"/>
                </w:tcPr>
                <w:p w14:paraId="17382274">
                  <w:pPr>
                    <w:snapToGrid w:val="0"/>
                    <w:jc w:val="center"/>
                    <w:rPr>
                      <w:color w:val="auto"/>
                      <w:szCs w:val="21"/>
                    </w:rPr>
                  </w:pPr>
                  <w:r>
                    <w:rPr>
                      <w:rFonts w:hint="eastAsia"/>
                      <w:color w:val="auto"/>
                      <w:szCs w:val="21"/>
                    </w:rPr>
                    <w:t>机油包装</w:t>
                  </w:r>
                </w:p>
              </w:tc>
              <w:tc>
                <w:tcPr>
                  <w:tcW w:w="2088" w:type="pct"/>
                  <w:gridSpan w:val="2"/>
                  <w:shd w:val="clear" w:color="auto" w:fill="auto"/>
                  <w:vAlign w:val="center"/>
                </w:tcPr>
                <w:p w14:paraId="17382275">
                  <w:pPr>
                    <w:snapToGrid w:val="0"/>
                    <w:jc w:val="center"/>
                    <w:rPr>
                      <w:color w:val="auto"/>
                      <w:szCs w:val="21"/>
                    </w:rPr>
                  </w:pPr>
                  <w:r>
                    <w:rPr>
                      <w:color w:val="auto"/>
                      <w:szCs w:val="21"/>
                    </w:rPr>
                    <w:t>暂存危废暂存库中，</w:t>
                  </w:r>
                  <w:r>
                    <w:rPr>
                      <w:rFonts w:hint="eastAsia"/>
                      <w:color w:val="auto"/>
                      <w:szCs w:val="21"/>
                    </w:rPr>
                    <w:t>委托</w:t>
                  </w:r>
                  <w:r>
                    <w:rPr>
                      <w:rFonts w:hint="eastAsia"/>
                      <w:color w:val="auto"/>
                      <w:szCs w:val="21"/>
                      <w:lang w:val="en-US" w:eastAsia="zh-CN"/>
                    </w:rPr>
                    <w:t>有</w:t>
                  </w:r>
                  <w:r>
                    <w:rPr>
                      <w:color w:val="auto"/>
                      <w:szCs w:val="21"/>
                    </w:rPr>
                    <w:t>资质单位</w:t>
                  </w:r>
                  <w:r>
                    <w:rPr>
                      <w:rFonts w:hint="eastAsia"/>
                      <w:color w:val="auto"/>
                      <w:szCs w:val="21"/>
                    </w:rPr>
                    <w:t>处置</w:t>
                  </w:r>
                </w:p>
              </w:tc>
            </w:tr>
            <w:tr w14:paraId="1738227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77">
                  <w:pPr>
                    <w:snapToGrid w:val="0"/>
                    <w:jc w:val="center"/>
                    <w:rPr>
                      <w:color w:val="auto"/>
                      <w:szCs w:val="21"/>
                    </w:rPr>
                  </w:pPr>
                </w:p>
              </w:tc>
              <w:tc>
                <w:tcPr>
                  <w:tcW w:w="427" w:type="pct"/>
                  <w:shd w:val="clear" w:color="auto" w:fill="auto"/>
                  <w:vAlign w:val="center"/>
                </w:tcPr>
                <w:p w14:paraId="17382278">
                  <w:pPr>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S</w:t>
                  </w:r>
                  <w:r>
                    <w:rPr>
                      <w:rFonts w:hint="eastAsia"/>
                      <w:color w:val="auto"/>
                      <w:szCs w:val="21"/>
                      <w:vertAlign w:val="subscript"/>
                    </w:rPr>
                    <w:t>17</w:t>
                  </w:r>
                </w:p>
              </w:tc>
              <w:tc>
                <w:tcPr>
                  <w:tcW w:w="1182" w:type="pct"/>
                  <w:shd w:val="clear" w:color="auto" w:fill="auto"/>
                  <w:vAlign w:val="center"/>
                </w:tcPr>
                <w:p w14:paraId="17382279">
                  <w:pPr>
                    <w:snapToGrid w:val="0"/>
                    <w:jc w:val="center"/>
                    <w:rPr>
                      <w:color w:val="auto"/>
                      <w:szCs w:val="21"/>
                    </w:rPr>
                  </w:pPr>
                  <w:r>
                    <w:rPr>
                      <w:rFonts w:hint="eastAsia"/>
                      <w:color w:val="auto"/>
                      <w:szCs w:val="21"/>
                    </w:rPr>
                    <w:t>废弃的含</w:t>
                  </w:r>
                  <w:r>
                    <w:rPr>
                      <w:rFonts w:hint="eastAsia"/>
                      <w:color w:val="auto"/>
                      <w:szCs w:val="21"/>
                      <w:lang w:val="en-US" w:eastAsia="zh-CN"/>
                    </w:rPr>
                    <w:t>油</w:t>
                  </w:r>
                  <w:r>
                    <w:rPr>
                      <w:rFonts w:hint="eastAsia"/>
                      <w:color w:val="auto"/>
                      <w:szCs w:val="21"/>
                    </w:rPr>
                    <w:t>抹布及劳保用品</w:t>
                  </w:r>
                  <w:r>
                    <w:rPr>
                      <w:rFonts w:hint="eastAsia"/>
                      <w:color w:val="auto"/>
                      <w:szCs w:val="21"/>
                      <w:lang w:val="en-US" w:eastAsia="zh-CN"/>
                    </w:rPr>
                    <w:t>*</w:t>
                  </w:r>
                </w:p>
              </w:tc>
              <w:tc>
                <w:tcPr>
                  <w:tcW w:w="1031" w:type="pct"/>
                  <w:shd w:val="clear" w:color="auto" w:fill="auto"/>
                  <w:vAlign w:val="center"/>
                </w:tcPr>
                <w:p w14:paraId="1738227A">
                  <w:pPr>
                    <w:snapToGrid w:val="0"/>
                    <w:jc w:val="center"/>
                    <w:rPr>
                      <w:color w:val="auto"/>
                      <w:szCs w:val="21"/>
                    </w:rPr>
                  </w:pPr>
                  <w:r>
                    <w:rPr>
                      <w:rFonts w:hint="eastAsia"/>
                      <w:color w:val="auto"/>
                      <w:szCs w:val="21"/>
                    </w:rPr>
                    <w:t>设备维护</w:t>
                  </w:r>
                </w:p>
              </w:tc>
              <w:tc>
                <w:tcPr>
                  <w:tcW w:w="2088" w:type="pct"/>
                  <w:gridSpan w:val="2"/>
                  <w:shd w:val="clear" w:color="auto" w:fill="auto"/>
                  <w:vAlign w:val="center"/>
                </w:tcPr>
                <w:p w14:paraId="1738227B">
                  <w:pPr>
                    <w:snapToGrid w:val="0"/>
                    <w:jc w:val="center"/>
                    <w:rPr>
                      <w:color w:val="auto"/>
                      <w:szCs w:val="21"/>
                    </w:rPr>
                  </w:pPr>
                  <w:r>
                    <w:rPr>
                      <w:rFonts w:hint="eastAsia"/>
                      <w:color w:val="auto"/>
                      <w:szCs w:val="21"/>
                    </w:rPr>
                    <w:t>委托环卫人员统一清运</w:t>
                  </w:r>
                </w:p>
              </w:tc>
            </w:tr>
            <w:tr w14:paraId="1738228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7D">
                  <w:pPr>
                    <w:snapToGrid w:val="0"/>
                    <w:jc w:val="center"/>
                    <w:rPr>
                      <w:color w:val="auto"/>
                      <w:szCs w:val="21"/>
                    </w:rPr>
                  </w:pPr>
                </w:p>
              </w:tc>
              <w:tc>
                <w:tcPr>
                  <w:tcW w:w="427" w:type="pct"/>
                  <w:shd w:val="clear" w:color="auto" w:fill="auto"/>
                  <w:vAlign w:val="center"/>
                </w:tcPr>
                <w:p w14:paraId="1738227E">
                  <w:pPr>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S</w:t>
                  </w:r>
                  <w:r>
                    <w:rPr>
                      <w:rFonts w:hint="eastAsia"/>
                      <w:color w:val="auto"/>
                      <w:szCs w:val="21"/>
                      <w:vertAlign w:val="subscript"/>
                    </w:rPr>
                    <w:t>18</w:t>
                  </w:r>
                </w:p>
              </w:tc>
              <w:tc>
                <w:tcPr>
                  <w:tcW w:w="1182" w:type="pct"/>
                  <w:vAlign w:val="center"/>
                </w:tcPr>
                <w:p w14:paraId="1738227F">
                  <w:pPr>
                    <w:snapToGrid w:val="0"/>
                    <w:jc w:val="center"/>
                    <w:rPr>
                      <w:color w:val="auto"/>
                      <w:szCs w:val="21"/>
                    </w:rPr>
                  </w:pPr>
                  <w:r>
                    <w:rPr>
                      <w:rFonts w:hint="eastAsia"/>
                      <w:color w:val="auto"/>
                      <w:szCs w:val="21"/>
                    </w:rPr>
                    <w:t>废活性炭</w:t>
                  </w:r>
                </w:p>
              </w:tc>
              <w:tc>
                <w:tcPr>
                  <w:tcW w:w="1031" w:type="pct"/>
                  <w:vAlign w:val="center"/>
                </w:tcPr>
                <w:p w14:paraId="17382280">
                  <w:pPr>
                    <w:snapToGrid w:val="0"/>
                    <w:jc w:val="center"/>
                    <w:rPr>
                      <w:color w:val="auto"/>
                      <w:szCs w:val="21"/>
                    </w:rPr>
                  </w:pPr>
                  <w:r>
                    <w:rPr>
                      <w:rFonts w:hint="eastAsia"/>
                      <w:color w:val="auto"/>
                      <w:szCs w:val="21"/>
                    </w:rPr>
                    <w:t>废气治理</w:t>
                  </w:r>
                </w:p>
              </w:tc>
              <w:tc>
                <w:tcPr>
                  <w:tcW w:w="2088" w:type="pct"/>
                  <w:gridSpan w:val="2"/>
                  <w:vAlign w:val="center"/>
                </w:tcPr>
                <w:p w14:paraId="17382281">
                  <w:pPr>
                    <w:snapToGrid w:val="0"/>
                    <w:jc w:val="center"/>
                    <w:rPr>
                      <w:color w:val="auto"/>
                      <w:szCs w:val="21"/>
                    </w:rPr>
                  </w:pPr>
                  <w:r>
                    <w:rPr>
                      <w:color w:val="auto"/>
                      <w:szCs w:val="21"/>
                    </w:rPr>
                    <w:t>暂存危废暂存库中，</w:t>
                  </w:r>
                  <w:r>
                    <w:rPr>
                      <w:rFonts w:hint="eastAsia"/>
                      <w:color w:val="auto"/>
                      <w:szCs w:val="21"/>
                    </w:rPr>
                    <w:t>委托</w:t>
                  </w:r>
                  <w:r>
                    <w:rPr>
                      <w:color w:val="auto"/>
                      <w:szCs w:val="21"/>
                    </w:rPr>
                    <w:t>资质单位</w:t>
                  </w:r>
                  <w:r>
                    <w:rPr>
                      <w:rFonts w:hint="eastAsia"/>
                      <w:color w:val="auto"/>
                      <w:szCs w:val="21"/>
                    </w:rPr>
                    <w:t>处置</w:t>
                  </w:r>
                </w:p>
              </w:tc>
            </w:tr>
            <w:tr w14:paraId="1738228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271" w:type="pct"/>
                  <w:vMerge w:val="continue"/>
                  <w:vAlign w:val="center"/>
                </w:tcPr>
                <w:p w14:paraId="17382283">
                  <w:pPr>
                    <w:snapToGrid w:val="0"/>
                    <w:jc w:val="center"/>
                    <w:rPr>
                      <w:color w:val="auto"/>
                      <w:szCs w:val="21"/>
                    </w:rPr>
                  </w:pPr>
                </w:p>
              </w:tc>
              <w:tc>
                <w:tcPr>
                  <w:tcW w:w="427" w:type="pct"/>
                  <w:vAlign w:val="center"/>
                </w:tcPr>
                <w:p w14:paraId="17382284">
                  <w:pPr>
                    <w:snapToGrid w:val="0"/>
                    <w:jc w:val="center"/>
                    <w:rPr>
                      <w:rFonts w:hint="eastAsia" w:eastAsia="宋体"/>
                      <w:color w:val="auto"/>
                      <w:szCs w:val="21"/>
                      <w:lang w:eastAsia="zh-CN"/>
                    </w:rPr>
                  </w:pPr>
                  <w:r>
                    <w:rPr>
                      <w:rFonts w:hint="eastAsia"/>
                      <w:color w:val="auto"/>
                      <w:szCs w:val="21"/>
                    </w:rPr>
                    <w:t>S</w:t>
                  </w:r>
                  <w:r>
                    <w:rPr>
                      <w:rFonts w:hint="eastAsia"/>
                      <w:color w:val="auto"/>
                      <w:szCs w:val="21"/>
                      <w:vertAlign w:val="subscript"/>
                    </w:rPr>
                    <w:t>1</w:t>
                  </w:r>
                  <w:r>
                    <w:rPr>
                      <w:rFonts w:hint="eastAsia"/>
                      <w:color w:val="auto"/>
                      <w:szCs w:val="21"/>
                      <w:vertAlign w:val="subscript"/>
                      <w:lang w:val="en-US" w:eastAsia="zh-CN"/>
                    </w:rPr>
                    <w:t>9</w:t>
                  </w:r>
                </w:p>
              </w:tc>
              <w:tc>
                <w:tcPr>
                  <w:tcW w:w="1182" w:type="pct"/>
                  <w:vAlign w:val="center"/>
                </w:tcPr>
                <w:p w14:paraId="17382285">
                  <w:pPr>
                    <w:snapToGrid w:val="0"/>
                    <w:jc w:val="center"/>
                    <w:rPr>
                      <w:color w:val="auto"/>
                      <w:szCs w:val="21"/>
                    </w:rPr>
                  </w:pPr>
                  <w:r>
                    <w:rPr>
                      <w:rFonts w:hint="eastAsia"/>
                      <w:color w:val="auto"/>
                      <w:szCs w:val="21"/>
                    </w:rPr>
                    <w:t>生活垃圾</w:t>
                  </w:r>
                </w:p>
              </w:tc>
              <w:tc>
                <w:tcPr>
                  <w:tcW w:w="1031" w:type="pct"/>
                  <w:vAlign w:val="center"/>
                </w:tcPr>
                <w:p w14:paraId="17382286">
                  <w:pPr>
                    <w:snapToGrid w:val="0"/>
                    <w:jc w:val="center"/>
                    <w:rPr>
                      <w:color w:val="auto"/>
                      <w:szCs w:val="21"/>
                    </w:rPr>
                  </w:pPr>
                  <w:r>
                    <w:rPr>
                      <w:rFonts w:hint="eastAsia"/>
                      <w:color w:val="auto"/>
                      <w:szCs w:val="21"/>
                    </w:rPr>
                    <w:t>员工生活</w:t>
                  </w:r>
                </w:p>
              </w:tc>
              <w:tc>
                <w:tcPr>
                  <w:tcW w:w="2088" w:type="pct"/>
                  <w:gridSpan w:val="2"/>
                  <w:vAlign w:val="center"/>
                </w:tcPr>
                <w:p w14:paraId="17382287">
                  <w:pPr>
                    <w:snapToGrid w:val="0"/>
                    <w:jc w:val="center"/>
                    <w:rPr>
                      <w:color w:val="auto"/>
                      <w:szCs w:val="21"/>
                    </w:rPr>
                  </w:pPr>
                  <w:r>
                    <w:rPr>
                      <w:rFonts w:hint="eastAsia"/>
                      <w:color w:val="auto"/>
                      <w:szCs w:val="21"/>
                    </w:rPr>
                    <w:t>委托环卫人员统一清运</w:t>
                  </w:r>
                </w:p>
              </w:tc>
            </w:tr>
            <w:tr w14:paraId="1361F9E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5000" w:type="pct"/>
                  <w:gridSpan w:val="6"/>
                  <w:vAlign w:val="center"/>
                </w:tcPr>
                <w:p w14:paraId="25EE1EF9">
                  <w:pPr>
                    <w:snapToGrid w:val="0"/>
                    <w:jc w:val="both"/>
                    <w:rPr>
                      <w:rFonts w:hint="eastAsia" w:eastAsia="宋体"/>
                      <w:color w:val="auto"/>
                      <w:szCs w:val="21"/>
                      <w:lang w:val="en-US" w:eastAsia="zh-CN"/>
                    </w:rPr>
                  </w:pPr>
                  <w:r>
                    <w:rPr>
                      <w:rFonts w:hint="eastAsia" w:ascii="Times New Roman" w:hAnsi="Times New Roman" w:eastAsia="宋体" w:cs="Times New Roman"/>
                      <w:color w:val="auto"/>
                      <w:szCs w:val="21"/>
                      <w:lang w:val="en-US" w:eastAsia="zh-CN"/>
                    </w:rPr>
                    <w:t>注：</w:t>
                  </w:r>
                  <w:r>
                    <w:rPr>
                      <w:rFonts w:hint="eastAsia" w:ascii="Times New Roman" w:hAnsi="Times New Roman" w:eastAsia="宋体" w:cs="Times New Roman"/>
                      <w:color w:val="auto"/>
                      <w:szCs w:val="21"/>
                    </w:rPr>
                    <w:t>根据《国家危险废物名录》（202</w:t>
                  </w:r>
                  <w:r>
                    <w:rPr>
                      <w:rFonts w:hint="eastAsia" w:ascii="Times New Roman" w:hAnsi="Times New Roman" w:eastAsia="宋体" w:cs="Times New Roman"/>
                      <w:color w:val="auto"/>
                      <w:szCs w:val="21"/>
                      <w:lang w:val="en-US" w:eastAsia="zh-CN"/>
                    </w:rPr>
                    <w:t>5</w:t>
                  </w:r>
                  <w:r>
                    <w:rPr>
                      <w:rFonts w:hint="eastAsia" w:ascii="Times New Roman" w:hAnsi="Times New Roman" w:eastAsia="宋体" w:cs="Times New Roman"/>
                      <w:color w:val="auto"/>
                      <w:szCs w:val="21"/>
                    </w:rPr>
                    <w:t>）危险废物豁免管理清单要求</w:t>
                  </w:r>
                  <w:r>
                    <w:rPr>
                      <w:rFonts w:hint="eastAsia" w:ascii="Times New Roman" w:hAnsi="Times New Roman" w:eastAsia="宋体" w:cs="Times New Roman"/>
                      <w:color w:val="auto"/>
                      <w:szCs w:val="21"/>
                      <w:lang w:eastAsia="zh-CN"/>
                    </w:rPr>
                    <w:t>，</w:t>
                  </w:r>
                  <w:r>
                    <w:rPr>
                      <w:rFonts w:hint="eastAsia" w:ascii="Times New Roman" w:hAnsi="Times New Roman" w:eastAsia="宋体" w:cs="Times New Roman"/>
                      <w:color w:val="auto"/>
                      <w:szCs w:val="21"/>
                    </w:rPr>
                    <w:t>废弃的含油抹布</w:t>
                  </w:r>
                  <w:r>
                    <w:rPr>
                      <w:rFonts w:hint="eastAsia" w:ascii="Times New Roman" w:hAnsi="Times New Roman" w:eastAsia="宋体" w:cs="Times New Roman"/>
                      <w:color w:val="auto"/>
                      <w:szCs w:val="21"/>
                      <w:lang w:val="en-US" w:eastAsia="zh-CN"/>
                    </w:rPr>
                    <w:t>及</w:t>
                  </w:r>
                  <w:r>
                    <w:rPr>
                      <w:rFonts w:hint="eastAsia" w:ascii="Times New Roman" w:hAnsi="Times New Roman" w:eastAsia="宋体" w:cs="Times New Roman"/>
                      <w:color w:val="auto"/>
                      <w:szCs w:val="21"/>
                    </w:rPr>
                    <w:t>劳保用品未分类收集时全过程不按照危险废物管理，因而</w:t>
                  </w:r>
                  <w:r>
                    <w:rPr>
                      <w:rFonts w:hint="eastAsia" w:ascii="Times New Roman" w:hAnsi="Times New Roman" w:eastAsia="宋体" w:cs="Times New Roman"/>
                      <w:color w:val="auto"/>
                      <w:szCs w:val="21"/>
                      <w:lang w:val="en-US" w:eastAsia="zh-CN"/>
                    </w:rPr>
                    <w:t>本</w:t>
                  </w:r>
                  <w:r>
                    <w:rPr>
                      <w:rFonts w:hint="eastAsia" w:ascii="Times New Roman" w:hAnsi="Times New Roman" w:eastAsia="宋体" w:cs="Times New Roman"/>
                      <w:color w:val="auto"/>
                      <w:szCs w:val="21"/>
                    </w:rPr>
                    <w:t>项目废弃的含油抹布、劳保手套混入生活垃圾委托环卫清运。</w:t>
                  </w:r>
                </w:p>
              </w:tc>
            </w:tr>
          </w:tbl>
          <w:p w14:paraId="1AF3F117">
            <w:pPr>
              <w:pStyle w:val="46"/>
              <w:ind w:left="0" w:firstLine="0"/>
              <w:rPr>
                <w:color w:val="auto"/>
              </w:rPr>
            </w:pPr>
          </w:p>
        </w:tc>
      </w:tr>
      <w:tr w14:paraId="1738228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925" w:hRule="atLeast"/>
          <w:jc w:val="center"/>
        </w:trPr>
        <w:tc>
          <w:tcPr>
            <w:tcW w:w="392" w:type="dxa"/>
            <w:vAlign w:val="center"/>
          </w:tcPr>
          <w:p w14:paraId="1738228B">
            <w:pPr>
              <w:pStyle w:val="81"/>
              <w:adjustRightInd w:val="0"/>
              <w:snapToGrid w:val="0"/>
              <w:spacing w:before="0" w:beforeAutospacing="0" w:after="0" w:afterAutospacing="0"/>
              <w:jc w:val="center"/>
              <w:rPr>
                <w:rFonts w:ascii="Times New Roman" w:hAnsi="Times New Roman"/>
                <w:color w:val="auto"/>
                <w:szCs w:val="24"/>
                <w:lang w:val="en-US"/>
              </w:rPr>
            </w:pPr>
            <w:r>
              <w:rPr>
                <w:rFonts w:ascii="Times New Roman" w:hAnsi="Times New Roman"/>
                <w:bCs/>
                <w:color w:val="auto"/>
                <w:kern w:val="2"/>
                <w:szCs w:val="24"/>
                <w:lang w:val="en-US"/>
              </w:rPr>
              <w:t>与项目有关的原有环境污染问题</w:t>
            </w:r>
          </w:p>
        </w:tc>
        <w:tc>
          <w:tcPr>
            <w:tcW w:w="8668" w:type="dxa"/>
            <w:vAlign w:val="center"/>
          </w:tcPr>
          <w:p w14:paraId="1738228C">
            <w:pPr>
              <w:wordWrap w:val="0"/>
              <w:spacing w:line="360" w:lineRule="auto"/>
              <w:ind w:firstLine="420" w:firstLineChars="200"/>
              <w:jc w:val="left"/>
              <w:rPr>
                <w:color w:val="auto"/>
              </w:rPr>
            </w:pPr>
          </w:p>
          <w:p w14:paraId="1738228D">
            <w:pPr>
              <w:wordWrap w:val="0"/>
              <w:spacing w:line="360" w:lineRule="auto"/>
              <w:ind w:firstLine="480" w:firstLineChars="200"/>
              <w:jc w:val="left"/>
              <w:rPr>
                <w:color w:val="auto"/>
                <w:sz w:val="24"/>
              </w:rPr>
            </w:pPr>
            <w:r>
              <w:rPr>
                <w:bCs/>
                <w:color w:val="auto"/>
                <w:sz w:val="24"/>
              </w:rPr>
              <w:t>本项目为新建项目，经调查</w:t>
            </w:r>
            <w:r>
              <w:rPr>
                <w:rFonts w:hint="eastAsia"/>
                <w:bCs/>
                <w:color w:val="auto"/>
                <w:sz w:val="24"/>
              </w:rPr>
              <w:t>，</w:t>
            </w:r>
            <w:r>
              <w:rPr>
                <w:bCs/>
                <w:color w:val="auto"/>
                <w:sz w:val="24"/>
              </w:rPr>
              <w:t>项目所在地现状为</w:t>
            </w:r>
            <w:r>
              <w:rPr>
                <w:rFonts w:hint="eastAsia"/>
                <w:bCs/>
                <w:color w:val="auto"/>
                <w:sz w:val="24"/>
              </w:rPr>
              <w:t>空厂房</w:t>
            </w:r>
            <w:r>
              <w:rPr>
                <w:bCs/>
                <w:color w:val="auto"/>
                <w:sz w:val="24"/>
              </w:rPr>
              <w:t>，无历史遗留问题。故不存在与本项目有关的原有</w:t>
            </w:r>
            <w:r>
              <w:rPr>
                <w:rFonts w:hint="eastAsia"/>
                <w:bCs/>
                <w:color w:val="auto"/>
                <w:sz w:val="24"/>
              </w:rPr>
              <w:t>污染</w:t>
            </w:r>
            <w:r>
              <w:rPr>
                <w:bCs/>
                <w:color w:val="auto"/>
                <w:sz w:val="24"/>
              </w:rPr>
              <w:t>情况及主要环境问题。</w:t>
            </w:r>
          </w:p>
        </w:tc>
      </w:tr>
    </w:tbl>
    <w:p w14:paraId="1738228F">
      <w:pPr>
        <w:rPr>
          <w:snapToGrid w:val="0"/>
          <w:color w:val="auto"/>
          <w:sz w:val="30"/>
          <w:szCs w:val="30"/>
        </w:rPr>
      </w:pPr>
      <w:r>
        <w:rPr>
          <w:snapToGrid w:val="0"/>
          <w:color w:val="auto"/>
          <w:sz w:val="30"/>
          <w:szCs w:val="30"/>
        </w:rPr>
        <w:br w:type="page"/>
      </w:r>
    </w:p>
    <w:p w14:paraId="17382290">
      <w:pPr>
        <w:pStyle w:val="81"/>
        <w:spacing w:after="0" w:afterAutospacing="0"/>
        <w:jc w:val="center"/>
        <w:outlineLvl w:val="0"/>
        <w:rPr>
          <w:rFonts w:ascii="Times New Roman" w:hAnsi="Times New Roman"/>
          <w:snapToGrid w:val="0"/>
          <w:color w:val="auto"/>
          <w:sz w:val="30"/>
          <w:szCs w:val="30"/>
        </w:rPr>
      </w:pPr>
      <w:r>
        <w:rPr>
          <w:rFonts w:ascii="Times New Roman" w:hAnsi="Times New Roman"/>
          <w:snapToGrid w:val="0"/>
          <w:color w:val="auto"/>
          <w:sz w:val="30"/>
          <w:szCs w:val="30"/>
        </w:rPr>
        <w:t>三、区域环境质量现状、环境保护目标及评价标准</w:t>
      </w:r>
    </w:p>
    <w:tbl>
      <w:tblPr>
        <w:tblStyle w:val="88"/>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27"/>
        <w:gridCol w:w="8633"/>
      </w:tblGrid>
      <w:tr w14:paraId="173822D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6" w:type="dxa"/>
            <w:vAlign w:val="center"/>
          </w:tcPr>
          <w:p w14:paraId="17382291">
            <w:pPr>
              <w:adjustRightInd w:val="0"/>
              <w:snapToGrid w:val="0"/>
              <w:jc w:val="center"/>
              <w:rPr>
                <w:color w:val="auto"/>
                <w:kern w:val="0"/>
                <w:sz w:val="24"/>
              </w:rPr>
            </w:pPr>
            <w:r>
              <w:rPr>
                <w:color w:val="auto"/>
                <w:kern w:val="0"/>
                <w:sz w:val="24"/>
              </w:rPr>
              <w:t>区域</w:t>
            </w:r>
          </w:p>
          <w:p w14:paraId="17382292">
            <w:pPr>
              <w:adjustRightInd w:val="0"/>
              <w:snapToGrid w:val="0"/>
              <w:jc w:val="center"/>
              <w:rPr>
                <w:color w:val="auto"/>
                <w:kern w:val="0"/>
                <w:sz w:val="24"/>
              </w:rPr>
            </w:pPr>
            <w:r>
              <w:rPr>
                <w:color w:val="auto"/>
                <w:kern w:val="0"/>
                <w:sz w:val="24"/>
              </w:rPr>
              <w:t>环境</w:t>
            </w:r>
          </w:p>
          <w:p w14:paraId="17382293">
            <w:pPr>
              <w:adjustRightInd w:val="0"/>
              <w:snapToGrid w:val="0"/>
              <w:jc w:val="center"/>
              <w:rPr>
                <w:color w:val="auto"/>
                <w:kern w:val="0"/>
                <w:sz w:val="24"/>
              </w:rPr>
            </w:pPr>
            <w:r>
              <w:rPr>
                <w:color w:val="auto"/>
                <w:kern w:val="0"/>
                <w:sz w:val="24"/>
              </w:rPr>
              <w:t>质量</w:t>
            </w:r>
          </w:p>
          <w:p w14:paraId="17382294">
            <w:pPr>
              <w:adjustRightInd w:val="0"/>
              <w:snapToGrid w:val="0"/>
              <w:jc w:val="center"/>
              <w:rPr>
                <w:color w:val="auto"/>
                <w:kern w:val="0"/>
                <w:sz w:val="24"/>
              </w:rPr>
            </w:pPr>
            <w:r>
              <w:rPr>
                <w:color w:val="auto"/>
                <w:kern w:val="0"/>
                <w:sz w:val="24"/>
              </w:rPr>
              <w:t>现状</w:t>
            </w:r>
          </w:p>
        </w:tc>
        <w:tc>
          <w:tcPr>
            <w:tcW w:w="8408" w:type="dxa"/>
            <w:vAlign w:val="center"/>
          </w:tcPr>
          <w:p w14:paraId="17382295">
            <w:pPr>
              <w:adjustRightInd w:val="0"/>
              <w:snapToGrid w:val="0"/>
              <w:spacing w:line="360" w:lineRule="auto"/>
              <w:ind w:firstLine="482" w:firstLineChars="200"/>
              <w:rPr>
                <w:b/>
                <w:color w:val="auto"/>
                <w:sz w:val="24"/>
              </w:rPr>
            </w:pPr>
            <w:r>
              <w:rPr>
                <w:b/>
                <w:color w:val="auto"/>
                <w:sz w:val="24"/>
              </w:rPr>
              <w:t>1</w:t>
            </w:r>
            <w:r>
              <w:rPr>
                <w:rFonts w:hint="eastAsia"/>
                <w:b/>
                <w:color w:val="auto"/>
                <w:sz w:val="24"/>
              </w:rPr>
              <w:t>、</w:t>
            </w:r>
            <w:r>
              <w:rPr>
                <w:b/>
                <w:color w:val="auto"/>
                <w:sz w:val="24"/>
              </w:rPr>
              <w:t>大气环境质量现状</w:t>
            </w:r>
          </w:p>
          <w:p w14:paraId="7B6114D0">
            <w:pPr>
              <w:adjustRightInd w:val="0"/>
              <w:snapToGrid w:val="0"/>
              <w:spacing w:line="360" w:lineRule="auto"/>
              <w:ind w:firstLine="480" w:firstLineChars="200"/>
              <w:rPr>
                <w:rFonts w:hint="eastAsia"/>
                <w:color w:val="auto"/>
                <w:sz w:val="24"/>
              </w:rPr>
            </w:pPr>
            <w:r>
              <w:rPr>
                <w:rFonts w:hint="eastAsia"/>
                <w:color w:val="auto"/>
                <w:sz w:val="24"/>
              </w:rPr>
              <w:t>根据《2024年淮安市生态环境状况公报》，2024年淮安市空气质量等级优良308 天（扣除沙尘影响异常超标天），优良率为84.2%。与2023年相比，空气质量等级优良的天数增加18天，优良率比率提升4.7个百分点。全市细颗粒物（PM</w:t>
            </w:r>
            <w:r>
              <w:rPr>
                <w:rFonts w:hint="eastAsia"/>
                <w:color w:val="auto"/>
                <w:sz w:val="24"/>
                <w:vertAlign w:val="subscript"/>
              </w:rPr>
              <w:t>2.5</w:t>
            </w:r>
            <w:r>
              <w:rPr>
                <w:rFonts w:hint="eastAsia"/>
                <w:color w:val="auto"/>
                <w:sz w:val="24"/>
              </w:rPr>
              <w:t>）、可吸入颗粒物（PM</w:t>
            </w:r>
            <w:r>
              <w:rPr>
                <w:rFonts w:hint="eastAsia"/>
                <w:color w:val="auto"/>
                <w:sz w:val="24"/>
                <w:vertAlign w:val="subscript"/>
              </w:rPr>
              <w:t>10</w:t>
            </w:r>
            <w:r>
              <w:rPr>
                <w:rFonts w:hint="eastAsia"/>
                <w:color w:val="auto"/>
                <w:sz w:val="24"/>
              </w:rPr>
              <w:t>）、二氧化硫（SO</w:t>
            </w:r>
            <w:r>
              <w:rPr>
                <w:rFonts w:hint="eastAsia"/>
                <w:color w:val="auto"/>
                <w:sz w:val="24"/>
                <w:vertAlign w:val="subscript"/>
              </w:rPr>
              <w:t>2</w:t>
            </w:r>
            <w:r>
              <w:rPr>
                <w:rFonts w:hint="eastAsia"/>
                <w:color w:val="auto"/>
                <w:sz w:val="24"/>
              </w:rPr>
              <w:t>）、二氧化氮（NO</w:t>
            </w:r>
            <w:r>
              <w:rPr>
                <w:rFonts w:hint="eastAsia"/>
                <w:color w:val="auto"/>
                <w:sz w:val="24"/>
                <w:vertAlign w:val="subscript"/>
              </w:rPr>
              <w:t>2</w:t>
            </w:r>
            <w:r>
              <w:rPr>
                <w:rFonts w:hint="eastAsia"/>
                <w:color w:val="auto"/>
                <w:sz w:val="24"/>
              </w:rPr>
              <w:t>）、一氧化碳（CO）和臭氧（O</w:t>
            </w:r>
            <w:r>
              <w:rPr>
                <w:rFonts w:hint="eastAsia"/>
                <w:color w:val="auto"/>
                <w:sz w:val="24"/>
                <w:vertAlign w:val="subscript"/>
              </w:rPr>
              <w:t>3</w:t>
            </w:r>
            <w:r>
              <w:rPr>
                <w:rFonts w:hint="eastAsia"/>
                <w:color w:val="auto"/>
                <w:sz w:val="24"/>
              </w:rPr>
              <w:t>）浓度年均浓度分别为37微克/立方米、54微克/立方米、7微克/立方米、25微克/立方米、0.9毫克/立方米、15</w:t>
            </w:r>
            <w:r>
              <w:rPr>
                <w:rFonts w:hint="eastAsia"/>
                <w:color w:val="auto"/>
                <w:sz w:val="24"/>
                <w:lang w:val="en-US" w:eastAsia="zh-CN"/>
              </w:rPr>
              <w:t>2</w:t>
            </w:r>
            <w:r>
              <w:rPr>
                <w:rFonts w:hint="eastAsia"/>
                <w:color w:val="auto"/>
                <w:sz w:val="24"/>
              </w:rPr>
              <w:t>微克/立方米。除细颗粒物（PM</w:t>
            </w:r>
            <w:r>
              <w:rPr>
                <w:rFonts w:hint="eastAsia"/>
                <w:color w:val="auto"/>
                <w:sz w:val="24"/>
                <w:vertAlign w:val="subscript"/>
              </w:rPr>
              <w:t>2.5</w:t>
            </w:r>
            <w:r>
              <w:rPr>
                <w:rFonts w:hint="eastAsia"/>
                <w:color w:val="auto"/>
                <w:sz w:val="24"/>
              </w:rPr>
              <w:t>）外其余因子均达到国家二级标准限值，故建设项目所在地为不达标区。</w:t>
            </w:r>
          </w:p>
          <w:p w14:paraId="7E321809">
            <w:pPr>
              <w:adjustRightInd w:val="0"/>
              <w:snapToGrid w:val="0"/>
              <w:spacing w:line="360" w:lineRule="auto"/>
              <w:ind w:firstLine="480" w:firstLineChars="200"/>
              <w:rPr>
                <w:rFonts w:hint="eastAsia"/>
                <w:color w:val="auto"/>
                <w:sz w:val="24"/>
              </w:rPr>
            </w:pPr>
            <w:r>
              <w:rPr>
                <w:rFonts w:hint="eastAsia"/>
                <w:color w:val="auto"/>
                <w:sz w:val="24"/>
              </w:rPr>
              <w:t>根据淮安市2025年印发《淮安市2025年大气污染防治工作计划》，提出大气整治方案如下：以降低细颗粒物（PM</w:t>
            </w:r>
            <w:r>
              <w:rPr>
                <w:rFonts w:hint="eastAsia"/>
                <w:color w:val="auto"/>
                <w:sz w:val="24"/>
                <w:vertAlign w:val="subscript"/>
              </w:rPr>
              <w:t>2.5</w:t>
            </w:r>
            <w:r>
              <w:rPr>
                <w:rFonts w:hint="eastAsia"/>
                <w:color w:val="auto"/>
                <w:sz w:val="24"/>
              </w:rPr>
              <w:t>）浓度为主线，坚持科学治理、系统治理、源头治理，大力推动氮氧化物和VOCs（以非甲烷总烃计）减排；以上措施实施后进一步改善淮安市大气环境质量。</w:t>
            </w:r>
          </w:p>
          <w:p w14:paraId="1738229B">
            <w:pPr>
              <w:adjustRightInd w:val="0"/>
              <w:snapToGrid w:val="0"/>
              <w:spacing w:line="360" w:lineRule="auto"/>
              <w:ind w:firstLine="482" w:firstLineChars="200"/>
              <w:rPr>
                <w:b/>
                <w:color w:val="auto"/>
                <w:sz w:val="24"/>
              </w:rPr>
            </w:pPr>
            <w:r>
              <w:rPr>
                <w:b/>
                <w:color w:val="auto"/>
                <w:sz w:val="24"/>
              </w:rPr>
              <w:t>2</w:t>
            </w:r>
            <w:r>
              <w:rPr>
                <w:rFonts w:hint="eastAsia"/>
                <w:b/>
                <w:color w:val="auto"/>
                <w:sz w:val="24"/>
              </w:rPr>
              <w:t>、</w:t>
            </w:r>
            <w:r>
              <w:rPr>
                <w:b/>
                <w:color w:val="auto"/>
                <w:sz w:val="24"/>
              </w:rPr>
              <w:t>地表水环境质量现状</w:t>
            </w:r>
          </w:p>
          <w:p w14:paraId="04423776">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bCs/>
                <w:color w:val="auto"/>
                <w:kern w:val="0"/>
                <w:sz w:val="24"/>
                <w:lang w:val="en-US" w:eastAsia="zh-CN"/>
              </w:rPr>
              <w:t>本</w:t>
            </w:r>
            <w:r>
              <w:rPr>
                <w:rFonts w:hint="eastAsia"/>
                <w:bCs/>
                <w:color w:val="auto"/>
                <w:kern w:val="0"/>
                <w:sz w:val="24"/>
              </w:rPr>
              <w:t>项目无生产废水排放，生活污水经化粪池处理后用于</w:t>
            </w:r>
            <w:r>
              <w:rPr>
                <w:rFonts w:hint="eastAsia"/>
                <w:bCs/>
                <w:color w:val="auto"/>
                <w:kern w:val="0"/>
                <w:sz w:val="24"/>
                <w:lang w:val="en-US" w:eastAsia="zh-CN"/>
              </w:rPr>
              <w:t>农田灌溉</w:t>
            </w:r>
            <w:r>
              <w:rPr>
                <w:rFonts w:hint="eastAsia"/>
                <w:bCs/>
                <w:color w:val="auto"/>
                <w:kern w:val="0"/>
                <w:sz w:val="24"/>
              </w:rPr>
              <w:t>。</w:t>
            </w:r>
            <w:r>
              <w:rPr>
                <w:rFonts w:hint="eastAsia"/>
                <w:color w:val="auto"/>
                <w:sz w:val="24"/>
              </w:rPr>
              <w:t>根据《2024年淮安市生态环境状况公报》，2024年，27条主要河流水质保持稳定，其中淮河、京杭大运河、苏北灌溉总渠、淮河入江水道、分淮入沂水道水质状况为优；南淮泗河、维桥河、张福河、团结河、高桥河、池河、淮河入海水道、盐河、黄河故道、金宝航道、南六塘河、草泽河、唐响河、头溪河、汪木排河、运西河-新河、浔河、一帆河、跃进河、周桥灌区总干渠为良好；公兴河、赵公河水质状况为轻度污染。本项目周边水环境质量良好。</w:t>
            </w:r>
          </w:p>
          <w:p w14:paraId="1738229D">
            <w:pPr>
              <w:adjustRightInd w:val="0"/>
              <w:snapToGrid w:val="0"/>
              <w:spacing w:line="360" w:lineRule="auto"/>
              <w:ind w:firstLine="482" w:firstLineChars="200"/>
              <w:rPr>
                <w:b/>
                <w:color w:val="auto"/>
                <w:sz w:val="24"/>
              </w:rPr>
            </w:pPr>
            <w:r>
              <w:rPr>
                <w:b/>
                <w:color w:val="auto"/>
                <w:sz w:val="24"/>
              </w:rPr>
              <w:t>3</w:t>
            </w:r>
            <w:r>
              <w:rPr>
                <w:rFonts w:hint="eastAsia"/>
                <w:b/>
                <w:color w:val="auto"/>
                <w:sz w:val="24"/>
              </w:rPr>
              <w:t>、</w:t>
            </w:r>
            <w:r>
              <w:rPr>
                <w:b/>
                <w:color w:val="auto"/>
                <w:sz w:val="24"/>
              </w:rPr>
              <w:t>声环境质量现状</w:t>
            </w:r>
          </w:p>
          <w:p w14:paraId="1738229E">
            <w:pPr>
              <w:keepNext w:val="0"/>
              <w:keepLines w:val="0"/>
              <w:pageBreakBefore w:val="0"/>
              <w:widowControl/>
              <w:suppressLineNumbers w:val="0"/>
              <w:kinsoku/>
              <w:wordWrap/>
              <w:overflowPunct/>
              <w:topLinePunct w:val="0"/>
              <w:autoSpaceDE/>
              <w:autoSpaceDN/>
              <w:bidi w:val="0"/>
              <w:adjustRightInd/>
              <w:snapToGrid/>
              <w:spacing w:line="360" w:lineRule="auto"/>
              <w:ind w:firstLine="480" w:firstLineChars="200"/>
              <w:jc w:val="both"/>
              <w:textAlignment w:val="auto"/>
              <w:rPr>
                <w:color w:val="auto"/>
                <w:sz w:val="24"/>
              </w:rPr>
            </w:pPr>
            <w:r>
              <w:rPr>
                <w:rFonts w:hint="eastAsia" w:ascii="Times New Roman" w:hAnsi="Times New Roman" w:eastAsia="宋体" w:cs="Times New Roman"/>
                <w:color w:val="auto"/>
                <w:sz w:val="24"/>
              </w:rPr>
              <w:t>本项目位于淮安市淮阴区马头镇东港路一号，根据《建设项目环境影响报告表编制技术指南（污染影响类）》（试行），</w:t>
            </w:r>
            <w:r>
              <w:rPr>
                <w:rFonts w:hint="eastAsia" w:ascii="Times New Roman" w:hAnsi="Times New Roman" w:eastAsia="宋体" w:cs="Times New Roman"/>
                <w:color w:val="auto"/>
                <w:sz w:val="24"/>
                <w:lang w:val="en-US" w:eastAsia="zh-CN"/>
              </w:rPr>
              <w:t>厂界外周边50米范围内存在声环境保护目标的建设项目，应监测保护目标声环境质量现状并评价达标情况。各点位应监测昼夜间噪声，监测时间不少于1天，项目夜间不生产则仅监测昼间噪声。根据《环境影响评价技术导则 声环境》（HJ2.4-2021），声环境保护目标是指依据法律、法规、标准政策等确定的需要保持安静的建筑物及建筑集中区。本项目厂界外周边50米范围内有声环境保护目标张庄镇</w:t>
            </w:r>
            <w:r>
              <w:rPr>
                <w:rFonts w:hint="eastAsia"/>
                <w:color w:val="auto"/>
                <w:sz w:val="24"/>
              </w:rPr>
              <w:t>，需开展噪声现状监测。根据厂址周围环境特点及工程特点，在厂界四周及50m范围内环境保护目标处共设5个监测点进行了噪声现状监测工作，监测时间为20</w:t>
            </w:r>
            <w:r>
              <w:rPr>
                <w:rFonts w:hint="eastAsia"/>
                <w:color w:val="auto"/>
                <w:sz w:val="24"/>
                <w:lang w:val="en-US" w:eastAsia="zh-CN"/>
              </w:rPr>
              <w:t>24</w:t>
            </w:r>
            <w:r>
              <w:rPr>
                <w:rFonts w:hint="eastAsia"/>
                <w:color w:val="auto"/>
                <w:sz w:val="24"/>
              </w:rPr>
              <w:t>年</w:t>
            </w:r>
            <w:r>
              <w:rPr>
                <w:rFonts w:hint="eastAsia"/>
                <w:color w:val="auto"/>
                <w:sz w:val="24"/>
                <w:lang w:val="en-US" w:eastAsia="zh-CN"/>
              </w:rPr>
              <w:t>11</w:t>
            </w:r>
            <w:r>
              <w:rPr>
                <w:rFonts w:hint="eastAsia"/>
                <w:color w:val="auto"/>
                <w:sz w:val="24"/>
              </w:rPr>
              <w:t>月</w:t>
            </w:r>
            <w:r>
              <w:rPr>
                <w:rFonts w:hint="eastAsia"/>
                <w:color w:val="auto"/>
                <w:sz w:val="24"/>
                <w:lang w:val="en-US" w:eastAsia="zh-CN"/>
              </w:rPr>
              <w:t>28</w:t>
            </w:r>
            <w:r>
              <w:rPr>
                <w:rFonts w:hint="eastAsia"/>
                <w:color w:val="auto"/>
                <w:sz w:val="24"/>
              </w:rPr>
              <w:t>日-</w:t>
            </w:r>
            <w:r>
              <w:rPr>
                <w:rFonts w:hint="eastAsia"/>
                <w:color w:val="auto"/>
                <w:sz w:val="24"/>
                <w:lang w:val="en-US" w:eastAsia="zh-CN"/>
              </w:rPr>
              <w:t>29</w:t>
            </w:r>
            <w:r>
              <w:rPr>
                <w:rFonts w:hint="eastAsia"/>
                <w:color w:val="auto"/>
                <w:sz w:val="24"/>
              </w:rPr>
              <w:t>日，分昼夜各一次。监测结果见表3-1，其厂界及50m范围内环境保护目标处昼夜间噪声值</w:t>
            </w:r>
            <w:r>
              <w:rPr>
                <w:rFonts w:hint="eastAsia"/>
                <w:color w:val="auto"/>
                <w:sz w:val="24"/>
                <w:lang w:val="en-US" w:eastAsia="zh-CN"/>
              </w:rPr>
              <w:t>均</w:t>
            </w:r>
            <w:r>
              <w:rPr>
                <w:rFonts w:hint="eastAsia"/>
                <w:color w:val="auto"/>
                <w:sz w:val="24"/>
              </w:rPr>
              <w:t>达到《声环境质量标准》（GB3096-2008）规定的2类标准。</w:t>
            </w:r>
          </w:p>
          <w:p w14:paraId="1738229F">
            <w:pPr>
              <w:widowControl/>
              <w:snapToGrid w:val="0"/>
              <w:jc w:val="center"/>
              <w:rPr>
                <w:b/>
                <w:color w:val="auto"/>
                <w:sz w:val="24"/>
              </w:rPr>
            </w:pPr>
            <w:r>
              <w:rPr>
                <w:rFonts w:hint="eastAsia"/>
                <w:b/>
                <w:color w:val="auto"/>
                <w:sz w:val="24"/>
              </w:rPr>
              <w:t>表3</w:t>
            </w:r>
            <w:r>
              <w:rPr>
                <w:b/>
                <w:color w:val="auto"/>
                <w:sz w:val="24"/>
              </w:rPr>
              <w:t>-1</w:t>
            </w:r>
            <w:r>
              <w:rPr>
                <w:rFonts w:hint="eastAsia"/>
                <w:b/>
                <w:color w:val="auto"/>
                <w:sz w:val="24"/>
              </w:rPr>
              <w:t xml:space="preserve"> </w:t>
            </w:r>
            <w:r>
              <w:rPr>
                <w:rFonts w:hint="eastAsia"/>
                <w:b/>
                <w:color w:val="auto"/>
                <w:sz w:val="24"/>
                <w:lang w:val="en-US" w:eastAsia="zh-CN"/>
              </w:rPr>
              <w:t>本</w:t>
            </w:r>
            <w:r>
              <w:rPr>
                <w:rFonts w:hint="eastAsia"/>
                <w:b/>
                <w:color w:val="auto"/>
                <w:sz w:val="24"/>
              </w:rPr>
              <w:t>项目声环境监测结果</w:t>
            </w:r>
            <w:r>
              <w:rPr>
                <w:b/>
                <w:color w:val="auto"/>
                <w:sz w:val="24"/>
              </w:rPr>
              <w:t xml:space="preserve">   </w:t>
            </w:r>
            <w:r>
              <w:rPr>
                <w:rFonts w:hint="eastAsia"/>
                <w:b/>
                <w:color w:val="auto"/>
                <w:sz w:val="24"/>
              </w:rPr>
              <w:t>单位：</w:t>
            </w:r>
            <w:r>
              <w:rPr>
                <w:b/>
                <w:color w:val="auto"/>
                <w:sz w:val="24"/>
              </w:rPr>
              <w:t>L</w:t>
            </w:r>
            <w:r>
              <w:rPr>
                <w:b/>
                <w:color w:val="auto"/>
                <w:sz w:val="24"/>
                <w:vertAlign w:val="subscript"/>
              </w:rPr>
              <w:t>eq</w:t>
            </w:r>
            <w:r>
              <w:rPr>
                <w:b/>
                <w:color w:val="auto"/>
                <w:sz w:val="24"/>
              </w:rPr>
              <w:t>dB(A)</w:t>
            </w:r>
          </w:p>
          <w:tbl>
            <w:tblPr>
              <w:tblStyle w:val="88"/>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732"/>
              <w:gridCol w:w="806"/>
              <w:gridCol w:w="900"/>
              <w:gridCol w:w="994"/>
              <w:gridCol w:w="919"/>
              <w:gridCol w:w="1181"/>
              <w:gridCol w:w="881"/>
              <w:gridCol w:w="999"/>
              <w:gridCol w:w="1000"/>
            </w:tblGrid>
            <w:tr w14:paraId="306696E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40" w:hRule="atLeast"/>
                <w:jc w:val="center"/>
              </w:trPr>
              <w:tc>
                <w:tcPr>
                  <w:tcW w:w="914" w:type="pct"/>
                  <w:gridSpan w:val="2"/>
                  <w:tcBorders>
                    <w:top w:val="single" w:color="auto" w:sz="12" w:space="0"/>
                    <w:bottom w:val="single" w:color="auto" w:sz="4" w:space="0"/>
                    <w:right w:val="single" w:color="auto" w:sz="4" w:space="0"/>
                  </w:tcBorders>
                  <w:vAlign w:val="center"/>
                </w:tcPr>
                <w:p w14:paraId="173822A0">
                  <w:pPr>
                    <w:tabs>
                      <w:tab w:val="left" w:pos="8358"/>
                    </w:tabs>
                    <w:jc w:val="center"/>
                    <w:rPr>
                      <w:b/>
                      <w:bCs/>
                      <w:color w:val="auto"/>
                      <w:kern w:val="0"/>
                      <w:szCs w:val="21"/>
                    </w:rPr>
                  </w:pPr>
                  <w:r>
                    <w:rPr>
                      <w:rFonts w:hint="eastAsia"/>
                      <w:b/>
                      <w:bCs/>
                      <w:color w:val="auto"/>
                      <w:kern w:val="0"/>
                      <w:szCs w:val="21"/>
                    </w:rPr>
                    <w:t>监测点位</w:t>
                  </w:r>
                </w:p>
              </w:tc>
              <w:tc>
                <w:tcPr>
                  <w:tcW w:w="534" w:type="pct"/>
                  <w:tcBorders>
                    <w:top w:val="single" w:color="auto" w:sz="12" w:space="0"/>
                    <w:left w:val="single" w:color="auto" w:sz="4" w:space="0"/>
                    <w:bottom w:val="single" w:color="auto" w:sz="4" w:space="0"/>
                    <w:right w:val="single" w:color="auto" w:sz="4" w:space="0"/>
                  </w:tcBorders>
                  <w:vAlign w:val="center"/>
                </w:tcPr>
                <w:p w14:paraId="173822A1">
                  <w:pPr>
                    <w:tabs>
                      <w:tab w:val="left" w:pos="8358"/>
                    </w:tabs>
                    <w:jc w:val="center"/>
                    <w:rPr>
                      <w:b/>
                      <w:bCs/>
                      <w:color w:val="auto"/>
                      <w:kern w:val="0"/>
                      <w:szCs w:val="21"/>
                    </w:rPr>
                  </w:pPr>
                  <w:r>
                    <w:rPr>
                      <w:rFonts w:hint="eastAsia"/>
                      <w:b/>
                      <w:bCs/>
                      <w:color w:val="auto"/>
                      <w:kern w:val="0"/>
                      <w:szCs w:val="21"/>
                      <w:lang w:val="en-US" w:eastAsia="zh-CN"/>
                    </w:rPr>
                    <w:t>厂界东外1米</w:t>
                  </w:r>
                  <w:r>
                    <w:rPr>
                      <w:b/>
                      <w:bCs/>
                      <w:color w:val="auto"/>
                      <w:kern w:val="0"/>
                      <w:szCs w:val="21"/>
                    </w:rPr>
                    <w:t>N1</w:t>
                  </w:r>
                </w:p>
              </w:tc>
              <w:tc>
                <w:tcPr>
                  <w:tcW w:w="590" w:type="pct"/>
                  <w:tcBorders>
                    <w:top w:val="single" w:color="auto" w:sz="12" w:space="0"/>
                    <w:left w:val="single" w:color="auto" w:sz="4" w:space="0"/>
                    <w:bottom w:val="single" w:color="auto" w:sz="4" w:space="0"/>
                    <w:right w:val="single" w:color="auto" w:sz="4" w:space="0"/>
                  </w:tcBorders>
                  <w:vAlign w:val="center"/>
                </w:tcPr>
                <w:p w14:paraId="173822A2">
                  <w:pPr>
                    <w:tabs>
                      <w:tab w:val="left" w:pos="8358"/>
                    </w:tabs>
                    <w:jc w:val="center"/>
                    <w:rPr>
                      <w:b/>
                      <w:bCs/>
                      <w:color w:val="auto"/>
                      <w:kern w:val="0"/>
                      <w:szCs w:val="21"/>
                    </w:rPr>
                  </w:pPr>
                  <w:r>
                    <w:rPr>
                      <w:rFonts w:hint="eastAsia"/>
                      <w:b/>
                      <w:bCs/>
                      <w:color w:val="auto"/>
                      <w:kern w:val="0"/>
                      <w:szCs w:val="21"/>
                      <w:lang w:val="en-US" w:eastAsia="zh-CN"/>
                    </w:rPr>
                    <w:t>厂界南外1米</w:t>
                  </w:r>
                  <w:r>
                    <w:rPr>
                      <w:b/>
                      <w:bCs/>
                      <w:color w:val="auto"/>
                      <w:kern w:val="0"/>
                      <w:szCs w:val="21"/>
                    </w:rPr>
                    <w:t>N2</w:t>
                  </w:r>
                </w:p>
              </w:tc>
              <w:tc>
                <w:tcPr>
                  <w:tcW w:w="546" w:type="pct"/>
                  <w:tcBorders>
                    <w:top w:val="single" w:color="auto" w:sz="12" w:space="0"/>
                    <w:left w:val="single" w:color="auto" w:sz="4" w:space="0"/>
                    <w:bottom w:val="single" w:color="auto" w:sz="4" w:space="0"/>
                    <w:right w:val="single" w:color="auto" w:sz="4" w:space="0"/>
                  </w:tcBorders>
                  <w:vAlign w:val="center"/>
                </w:tcPr>
                <w:p w14:paraId="173822A3">
                  <w:pPr>
                    <w:tabs>
                      <w:tab w:val="left" w:pos="8358"/>
                    </w:tabs>
                    <w:jc w:val="center"/>
                    <w:rPr>
                      <w:b/>
                      <w:bCs/>
                      <w:color w:val="auto"/>
                      <w:kern w:val="0"/>
                      <w:szCs w:val="21"/>
                    </w:rPr>
                  </w:pPr>
                  <w:r>
                    <w:rPr>
                      <w:rFonts w:hint="eastAsia"/>
                      <w:b/>
                      <w:bCs/>
                      <w:color w:val="auto"/>
                      <w:kern w:val="0"/>
                      <w:szCs w:val="21"/>
                      <w:lang w:val="en-US" w:eastAsia="zh-CN"/>
                    </w:rPr>
                    <w:t>厂界西外1米</w:t>
                  </w:r>
                  <w:r>
                    <w:rPr>
                      <w:b/>
                      <w:bCs/>
                      <w:color w:val="auto"/>
                      <w:kern w:val="0"/>
                      <w:szCs w:val="21"/>
                    </w:rPr>
                    <w:t>N3</w:t>
                  </w:r>
                </w:p>
              </w:tc>
              <w:tc>
                <w:tcPr>
                  <w:tcW w:w="701" w:type="pct"/>
                  <w:tcBorders>
                    <w:top w:val="single" w:color="auto" w:sz="12" w:space="0"/>
                    <w:left w:val="single" w:color="auto" w:sz="4" w:space="0"/>
                    <w:bottom w:val="single" w:color="auto" w:sz="4" w:space="0"/>
                    <w:right w:val="single" w:color="auto" w:sz="4" w:space="0"/>
                  </w:tcBorders>
                  <w:vAlign w:val="center"/>
                </w:tcPr>
                <w:p w14:paraId="173822A4">
                  <w:pPr>
                    <w:tabs>
                      <w:tab w:val="left" w:pos="8358"/>
                    </w:tabs>
                    <w:jc w:val="center"/>
                    <w:rPr>
                      <w:b/>
                      <w:bCs/>
                      <w:color w:val="auto"/>
                      <w:kern w:val="0"/>
                      <w:szCs w:val="21"/>
                    </w:rPr>
                  </w:pPr>
                  <w:r>
                    <w:rPr>
                      <w:rFonts w:hint="eastAsia"/>
                      <w:b/>
                      <w:bCs/>
                      <w:color w:val="auto"/>
                      <w:kern w:val="0"/>
                      <w:szCs w:val="21"/>
                      <w:lang w:val="en-US" w:eastAsia="zh-CN"/>
                    </w:rPr>
                    <w:t>厂界北外1米</w:t>
                  </w:r>
                  <w:r>
                    <w:rPr>
                      <w:b/>
                      <w:bCs/>
                      <w:color w:val="auto"/>
                      <w:kern w:val="0"/>
                      <w:szCs w:val="21"/>
                    </w:rPr>
                    <w:t>N4</w:t>
                  </w:r>
                </w:p>
              </w:tc>
              <w:tc>
                <w:tcPr>
                  <w:tcW w:w="523" w:type="pct"/>
                  <w:tcBorders>
                    <w:top w:val="single" w:color="auto" w:sz="12" w:space="0"/>
                    <w:left w:val="single" w:color="auto" w:sz="4" w:space="0"/>
                    <w:bottom w:val="single" w:color="auto" w:sz="4" w:space="0"/>
                    <w:right w:val="single" w:color="auto" w:sz="4" w:space="0"/>
                  </w:tcBorders>
                  <w:vAlign w:val="center"/>
                </w:tcPr>
                <w:p w14:paraId="173822A5">
                  <w:pPr>
                    <w:tabs>
                      <w:tab w:val="left" w:pos="8358"/>
                    </w:tabs>
                    <w:jc w:val="center"/>
                    <w:rPr>
                      <w:b/>
                      <w:bCs/>
                      <w:color w:val="auto"/>
                      <w:kern w:val="0"/>
                      <w:szCs w:val="21"/>
                    </w:rPr>
                  </w:pPr>
                  <w:r>
                    <w:rPr>
                      <w:rFonts w:hint="eastAsia"/>
                      <w:b/>
                      <w:bCs/>
                      <w:color w:val="auto"/>
                      <w:kern w:val="0"/>
                      <w:szCs w:val="21"/>
                    </w:rPr>
                    <w:t>张庄镇N5</w:t>
                  </w:r>
                </w:p>
              </w:tc>
              <w:tc>
                <w:tcPr>
                  <w:tcW w:w="593" w:type="pct"/>
                  <w:tcBorders>
                    <w:top w:val="single" w:color="auto" w:sz="12" w:space="0"/>
                    <w:left w:val="single" w:color="auto" w:sz="4" w:space="0"/>
                    <w:bottom w:val="single" w:color="auto" w:sz="4" w:space="0"/>
                  </w:tcBorders>
                  <w:vAlign w:val="center"/>
                </w:tcPr>
                <w:p w14:paraId="173822A6">
                  <w:pPr>
                    <w:tabs>
                      <w:tab w:val="left" w:pos="8358"/>
                    </w:tabs>
                    <w:jc w:val="center"/>
                    <w:rPr>
                      <w:b/>
                      <w:bCs/>
                      <w:color w:val="auto"/>
                      <w:kern w:val="0"/>
                      <w:szCs w:val="21"/>
                    </w:rPr>
                  </w:pPr>
                  <w:r>
                    <w:rPr>
                      <w:rFonts w:hint="eastAsia"/>
                      <w:b/>
                      <w:bCs/>
                      <w:color w:val="auto"/>
                      <w:kern w:val="0"/>
                      <w:szCs w:val="21"/>
                    </w:rPr>
                    <w:t>标准值</w:t>
                  </w:r>
                </w:p>
              </w:tc>
              <w:tc>
                <w:tcPr>
                  <w:tcW w:w="594" w:type="pct"/>
                  <w:tcBorders>
                    <w:top w:val="single" w:color="auto" w:sz="12" w:space="0"/>
                    <w:left w:val="single" w:color="auto" w:sz="4" w:space="0"/>
                    <w:bottom w:val="single" w:color="auto" w:sz="4" w:space="0"/>
                  </w:tcBorders>
                  <w:vAlign w:val="center"/>
                </w:tcPr>
                <w:p w14:paraId="5B406226">
                  <w:pPr>
                    <w:tabs>
                      <w:tab w:val="left" w:pos="8358"/>
                    </w:tabs>
                    <w:jc w:val="center"/>
                    <w:rPr>
                      <w:rFonts w:hint="default" w:eastAsia="宋体"/>
                      <w:b/>
                      <w:bCs/>
                      <w:color w:val="auto"/>
                      <w:kern w:val="0"/>
                      <w:szCs w:val="21"/>
                      <w:lang w:val="en-US" w:eastAsia="zh-CN"/>
                    </w:rPr>
                  </w:pPr>
                  <w:r>
                    <w:rPr>
                      <w:rFonts w:hint="eastAsia"/>
                      <w:b/>
                      <w:bCs/>
                      <w:color w:val="auto"/>
                      <w:kern w:val="0"/>
                      <w:szCs w:val="21"/>
                      <w:lang w:val="en-US" w:eastAsia="zh-CN"/>
                    </w:rPr>
                    <w:t>是否达标</w:t>
                  </w:r>
                </w:p>
              </w:tc>
            </w:tr>
            <w:tr w14:paraId="492C6FB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435" w:type="pct"/>
                  <w:vMerge w:val="restart"/>
                  <w:tcBorders>
                    <w:top w:val="single" w:color="auto" w:sz="4" w:space="0"/>
                    <w:bottom w:val="single" w:color="auto" w:sz="4" w:space="0"/>
                    <w:right w:val="single" w:color="auto" w:sz="4" w:space="0"/>
                  </w:tcBorders>
                  <w:vAlign w:val="center"/>
                </w:tcPr>
                <w:p w14:paraId="173822A8">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11.28</w:t>
                  </w:r>
                </w:p>
              </w:tc>
              <w:tc>
                <w:tcPr>
                  <w:tcW w:w="479" w:type="pct"/>
                  <w:tcBorders>
                    <w:top w:val="single" w:color="auto" w:sz="4" w:space="0"/>
                    <w:left w:val="single" w:color="auto" w:sz="4" w:space="0"/>
                    <w:bottom w:val="single" w:color="auto" w:sz="4" w:space="0"/>
                    <w:right w:val="single" w:color="auto" w:sz="4" w:space="0"/>
                  </w:tcBorders>
                  <w:vAlign w:val="center"/>
                </w:tcPr>
                <w:p w14:paraId="173822A9">
                  <w:pPr>
                    <w:tabs>
                      <w:tab w:val="left" w:pos="8358"/>
                    </w:tabs>
                    <w:jc w:val="center"/>
                    <w:rPr>
                      <w:color w:val="auto"/>
                      <w:kern w:val="0"/>
                      <w:szCs w:val="21"/>
                    </w:rPr>
                  </w:pPr>
                  <w:r>
                    <w:rPr>
                      <w:rFonts w:hint="eastAsia"/>
                      <w:color w:val="auto"/>
                      <w:kern w:val="0"/>
                      <w:szCs w:val="21"/>
                    </w:rPr>
                    <w:t>昼间</w:t>
                  </w:r>
                </w:p>
              </w:tc>
              <w:tc>
                <w:tcPr>
                  <w:tcW w:w="534" w:type="pct"/>
                  <w:tcBorders>
                    <w:top w:val="single" w:color="auto" w:sz="4" w:space="0"/>
                    <w:left w:val="single" w:color="auto" w:sz="4" w:space="0"/>
                    <w:bottom w:val="single" w:color="auto" w:sz="4" w:space="0"/>
                    <w:right w:val="single" w:color="auto" w:sz="4" w:space="0"/>
                  </w:tcBorders>
                  <w:vAlign w:val="center"/>
                </w:tcPr>
                <w:p w14:paraId="173822AA">
                  <w:pPr>
                    <w:tabs>
                      <w:tab w:val="left" w:pos="8358"/>
                    </w:tabs>
                    <w:jc w:val="center"/>
                    <w:rPr>
                      <w:color w:val="auto"/>
                      <w:kern w:val="0"/>
                      <w:szCs w:val="21"/>
                    </w:rPr>
                  </w:pPr>
                  <w:r>
                    <w:rPr>
                      <w:rFonts w:hint="eastAsia"/>
                      <w:color w:val="auto"/>
                      <w:kern w:val="0"/>
                      <w:szCs w:val="21"/>
                      <w:lang w:val="en-US" w:eastAsia="zh-CN"/>
                    </w:rPr>
                    <w:t>49</w:t>
                  </w:r>
                  <w:r>
                    <w:rPr>
                      <w:rFonts w:hint="eastAsia"/>
                      <w:color w:val="auto"/>
                      <w:kern w:val="0"/>
                      <w:szCs w:val="21"/>
                    </w:rPr>
                    <w:t xml:space="preserve"> </w:t>
                  </w:r>
                </w:p>
              </w:tc>
              <w:tc>
                <w:tcPr>
                  <w:tcW w:w="590" w:type="pct"/>
                  <w:tcBorders>
                    <w:top w:val="single" w:color="auto" w:sz="4" w:space="0"/>
                    <w:left w:val="single" w:color="auto" w:sz="4" w:space="0"/>
                    <w:bottom w:val="single" w:color="auto" w:sz="4" w:space="0"/>
                    <w:right w:val="single" w:color="auto" w:sz="4" w:space="0"/>
                  </w:tcBorders>
                  <w:vAlign w:val="center"/>
                </w:tcPr>
                <w:p w14:paraId="173822AB">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54</w:t>
                  </w:r>
                </w:p>
              </w:tc>
              <w:tc>
                <w:tcPr>
                  <w:tcW w:w="546" w:type="pct"/>
                  <w:tcBorders>
                    <w:top w:val="single" w:color="auto" w:sz="4" w:space="0"/>
                    <w:left w:val="single" w:color="auto" w:sz="4" w:space="0"/>
                    <w:bottom w:val="single" w:color="auto" w:sz="4" w:space="0"/>
                    <w:right w:val="single" w:color="auto" w:sz="4" w:space="0"/>
                  </w:tcBorders>
                  <w:vAlign w:val="center"/>
                </w:tcPr>
                <w:p w14:paraId="173822AC">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57</w:t>
                  </w:r>
                </w:p>
              </w:tc>
              <w:tc>
                <w:tcPr>
                  <w:tcW w:w="701" w:type="pct"/>
                  <w:tcBorders>
                    <w:top w:val="single" w:color="auto" w:sz="4" w:space="0"/>
                    <w:left w:val="single" w:color="auto" w:sz="4" w:space="0"/>
                    <w:bottom w:val="single" w:color="auto" w:sz="4" w:space="0"/>
                    <w:right w:val="single" w:color="auto" w:sz="4" w:space="0"/>
                  </w:tcBorders>
                  <w:vAlign w:val="center"/>
                </w:tcPr>
                <w:p w14:paraId="173822AD">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56</w:t>
                  </w:r>
                </w:p>
              </w:tc>
              <w:tc>
                <w:tcPr>
                  <w:tcW w:w="523" w:type="pct"/>
                  <w:tcBorders>
                    <w:top w:val="single" w:color="auto" w:sz="4" w:space="0"/>
                    <w:left w:val="single" w:color="auto" w:sz="4" w:space="0"/>
                    <w:bottom w:val="single" w:color="auto" w:sz="4" w:space="0"/>
                    <w:right w:val="single" w:color="auto" w:sz="4" w:space="0"/>
                  </w:tcBorders>
                  <w:vAlign w:val="center"/>
                </w:tcPr>
                <w:p w14:paraId="173822AE">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43</w:t>
                  </w:r>
                </w:p>
              </w:tc>
              <w:tc>
                <w:tcPr>
                  <w:tcW w:w="593" w:type="pct"/>
                  <w:tcBorders>
                    <w:top w:val="single" w:color="auto" w:sz="4" w:space="0"/>
                    <w:left w:val="single" w:color="auto" w:sz="4" w:space="0"/>
                    <w:bottom w:val="single" w:color="auto" w:sz="4" w:space="0"/>
                  </w:tcBorders>
                  <w:vAlign w:val="center"/>
                </w:tcPr>
                <w:p w14:paraId="173822AF">
                  <w:pPr>
                    <w:tabs>
                      <w:tab w:val="left" w:pos="8358"/>
                    </w:tabs>
                    <w:jc w:val="center"/>
                    <w:rPr>
                      <w:color w:val="auto"/>
                      <w:kern w:val="0"/>
                      <w:szCs w:val="21"/>
                    </w:rPr>
                  </w:pPr>
                  <w:r>
                    <w:rPr>
                      <w:color w:val="auto"/>
                      <w:kern w:val="0"/>
                      <w:szCs w:val="21"/>
                    </w:rPr>
                    <w:t>60</w:t>
                  </w:r>
                </w:p>
              </w:tc>
              <w:tc>
                <w:tcPr>
                  <w:tcW w:w="594" w:type="pct"/>
                  <w:tcBorders>
                    <w:top w:val="single" w:color="auto" w:sz="4" w:space="0"/>
                    <w:left w:val="single" w:color="auto" w:sz="4" w:space="0"/>
                    <w:bottom w:val="single" w:color="auto" w:sz="4" w:space="0"/>
                  </w:tcBorders>
                  <w:vAlign w:val="center"/>
                </w:tcPr>
                <w:p w14:paraId="732A1155">
                  <w:pPr>
                    <w:tabs>
                      <w:tab w:val="left" w:pos="8358"/>
                    </w:tabs>
                    <w:jc w:val="center"/>
                    <w:rPr>
                      <w:rFonts w:hint="eastAsia" w:eastAsia="宋体"/>
                      <w:color w:val="auto"/>
                      <w:kern w:val="0"/>
                      <w:szCs w:val="21"/>
                      <w:lang w:val="en-US" w:eastAsia="zh-CN"/>
                    </w:rPr>
                  </w:pPr>
                  <w:r>
                    <w:rPr>
                      <w:rFonts w:hint="eastAsia"/>
                      <w:color w:val="auto"/>
                      <w:kern w:val="0"/>
                      <w:szCs w:val="21"/>
                      <w:lang w:val="en-US" w:eastAsia="zh-CN"/>
                    </w:rPr>
                    <w:t>达标</w:t>
                  </w:r>
                </w:p>
              </w:tc>
            </w:tr>
            <w:tr w14:paraId="4B246C8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435" w:type="pct"/>
                  <w:vMerge w:val="continue"/>
                  <w:tcBorders>
                    <w:top w:val="single" w:color="auto" w:sz="4" w:space="0"/>
                    <w:bottom w:val="single" w:color="auto" w:sz="4" w:space="0"/>
                    <w:right w:val="single" w:color="auto" w:sz="4" w:space="0"/>
                  </w:tcBorders>
                  <w:vAlign w:val="center"/>
                </w:tcPr>
                <w:p w14:paraId="173822B1">
                  <w:pPr>
                    <w:tabs>
                      <w:tab w:val="left" w:pos="8358"/>
                    </w:tabs>
                    <w:jc w:val="center"/>
                    <w:rPr>
                      <w:color w:val="auto"/>
                      <w:kern w:val="0"/>
                      <w:szCs w:val="21"/>
                    </w:rPr>
                  </w:pPr>
                </w:p>
              </w:tc>
              <w:tc>
                <w:tcPr>
                  <w:tcW w:w="479" w:type="pct"/>
                  <w:tcBorders>
                    <w:top w:val="single" w:color="auto" w:sz="4" w:space="0"/>
                    <w:left w:val="single" w:color="auto" w:sz="4" w:space="0"/>
                    <w:bottom w:val="single" w:color="auto" w:sz="4" w:space="0"/>
                    <w:right w:val="single" w:color="auto" w:sz="4" w:space="0"/>
                  </w:tcBorders>
                  <w:vAlign w:val="center"/>
                </w:tcPr>
                <w:p w14:paraId="173822B2">
                  <w:pPr>
                    <w:tabs>
                      <w:tab w:val="left" w:pos="8358"/>
                    </w:tabs>
                    <w:jc w:val="center"/>
                    <w:rPr>
                      <w:color w:val="auto"/>
                      <w:kern w:val="0"/>
                      <w:szCs w:val="21"/>
                    </w:rPr>
                  </w:pPr>
                  <w:r>
                    <w:rPr>
                      <w:rFonts w:hint="eastAsia"/>
                      <w:color w:val="auto"/>
                      <w:kern w:val="0"/>
                      <w:szCs w:val="21"/>
                    </w:rPr>
                    <w:t>夜间</w:t>
                  </w:r>
                </w:p>
              </w:tc>
              <w:tc>
                <w:tcPr>
                  <w:tcW w:w="534" w:type="pct"/>
                  <w:tcBorders>
                    <w:top w:val="single" w:color="auto" w:sz="4" w:space="0"/>
                    <w:left w:val="single" w:color="auto" w:sz="4" w:space="0"/>
                    <w:bottom w:val="single" w:color="auto" w:sz="4" w:space="0"/>
                    <w:right w:val="single" w:color="auto" w:sz="4" w:space="0"/>
                  </w:tcBorders>
                  <w:vAlign w:val="center"/>
                </w:tcPr>
                <w:p w14:paraId="173822B3">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40</w:t>
                  </w:r>
                </w:p>
              </w:tc>
              <w:tc>
                <w:tcPr>
                  <w:tcW w:w="590" w:type="pct"/>
                  <w:tcBorders>
                    <w:top w:val="single" w:color="auto" w:sz="4" w:space="0"/>
                    <w:left w:val="single" w:color="auto" w:sz="4" w:space="0"/>
                    <w:bottom w:val="single" w:color="auto" w:sz="4" w:space="0"/>
                    <w:right w:val="single" w:color="auto" w:sz="4" w:space="0"/>
                  </w:tcBorders>
                  <w:vAlign w:val="center"/>
                </w:tcPr>
                <w:p w14:paraId="173822B4">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43</w:t>
                  </w:r>
                </w:p>
              </w:tc>
              <w:tc>
                <w:tcPr>
                  <w:tcW w:w="546" w:type="pct"/>
                  <w:tcBorders>
                    <w:top w:val="single" w:color="auto" w:sz="4" w:space="0"/>
                    <w:left w:val="single" w:color="auto" w:sz="4" w:space="0"/>
                    <w:bottom w:val="single" w:color="auto" w:sz="4" w:space="0"/>
                    <w:right w:val="single" w:color="auto" w:sz="4" w:space="0"/>
                  </w:tcBorders>
                  <w:vAlign w:val="center"/>
                </w:tcPr>
                <w:p w14:paraId="173822B5">
                  <w:pPr>
                    <w:jc w:val="center"/>
                    <w:rPr>
                      <w:rFonts w:hint="default" w:eastAsia="宋体"/>
                      <w:color w:val="auto"/>
                      <w:kern w:val="0"/>
                      <w:szCs w:val="21"/>
                      <w:lang w:val="en-US" w:eastAsia="zh-CN"/>
                    </w:rPr>
                  </w:pPr>
                  <w:r>
                    <w:rPr>
                      <w:rFonts w:hint="eastAsia"/>
                      <w:color w:val="auto"/>
                      <w:kern w:val="0"/>
                      <w:szCs w:val="21"/>
                      <w:lang w:val="en-US" w:eastAsia="zh-CN"/>
                    </w:rPr>
                    <w:t>41</w:t>
                  </w:r>
                </w:p>
              </w:tc>
              <w:tc>
                <w:tcPr>
                  <w:tcW w:w="701" w:type="pct"/>
                  <w:tcBorders>
                    <w:top w:val="single" w:color="auto" w:sz="4" w:space="0"/>
                    <w:left w:val="single" w:color="auto" w:sz="4" w:space="0"/>
                    <w:bottom w:val="single" w:color="auto" w:sz="4" w:space="0"/>
                    <w:right w:val="single" w:color="auto" w:sz="4" w:space="0"/>
                  </w:tcBorders>
                  <w:vAlign w:val="center"/>
                </w:tcPr>
                <w:p w14:paraId="173822B6">
                  <w:pPr>
                    <w:jc w:val="center"/>
                    <w:rPr>
                      <w:rFonts w:hint="default" w:eastAsia="宋体"/>
                      <w:color w:val="auto"/>
                      <w:kern w:val="0"/>
                      <w:szCs w:val="21"/>
                      <w:lang w:val="en-US" w:eastAsia="zh-CN"/>
                    </w:rPr>
                  </w:pPr>
                  <w:r>
                    <w:rPr>
                      <w:rFonts w:hint="eastAsia"/>
                      <w:color w:val="auto"/>
                      <w:kern w:val="0"/>
                      <w:szCs w:val="21"/>
                      <w:lang w:val="en-US" w:eastAsia="zh-CN"/>
                    </w:rPr>
                    <w:t>42</w:t>
                  </w:r>
                </w:p>
              </w:tc>
              <w:tc>
                <w:tcPr>
                  <w:tcW w:w="523" w:type="pct"/>
                  <w:tcBorders>
                    <w:top w:val="single" w:color="auto" w:sz="4" w:space="0"/>
                    <w:left w:val="single" w:color="auto" w:sz="4" w:space="0"/>
                    <w:bottom w:val="single" w:color="auto" w:sz="4" w:space="0"/>
                    <w:right w:val="single" w:color="auto" w:sz="4" w:space="0"/>
                  </w:tcBorders>
                  <w:vAlign w:val="center"/>
                </w:tcPr>
                <w:p w14:paraId="173822B7">
                  <w:pPr>
                    <w:jc w:val="center"/>
                    <w:rPr>
                      <w:rFonts w:hint="default" w:eastAsia="宋体"/>
                      <w:color w:val="auto"/>
                      <w:kern w:val="0"/>
                      <w:szCs w:val="21"/>
                      <w:lang w:val="en-US" w:eastAsia="zh-CN"/>
                    </w:rPr>
                  </w:pPr>
                  <w:r>
                    <w:rPr>
                      <w:rFonts w:hint="eastAsia"/>
                      <w:color w:val="auto"/>
                      <w:kern w:val="0"/>
                      <w:szCs w:val="21"/>
                      <w:lang w:val="en-US" w:eastAsia="zh-CN"/>
                    </w:rPr>
                    <w:t>34</w:t>
                  </w:r>
                </w:p>
              </w:tc>
              <w:tc>
                <w:tcPr>
                  <w:tcW w:w="593" w:type="pct"/>
                  <w:tcBorders>
                    <w:top w:val="single" w:color="auto" w:sz="4" w:space="0"/>
                    <w:left w:val="single" w:color="auto" w:sz="4" w:space="0"/>
                    <w:bottom w:val="single" w:color="auto" w:sz="4" w:space="0"/>
                  </w:tcBorders>
                  <w:vAlign w:val="center"/>
                </w:tcPr>
                <w:p w14:paraId="173822B8">
                  <w:pPr>
                    <w:tabs>
                      <w:tab w:val="left" w:pos="8358"/>
                    </w:tabs>
                    <w:jc w:val="center"/>
                    <w:rPr>
                      <w:color w:val="auto"/>
                      <w:kern w:val="0"/>
                      <w:szCs w:val="21"/>
                    </w:rPr>
                  </w:pPr>
                  <w:r>
                    <w:rPr>
                      <w:color w:val="auto"/>
                      <w:kern w:val="0"/>
                      <w:szCs w:val="21"/>
                    </w:rPr>
                    <w:t>50</w:t>
                  </w:r>
                </w:p>
              </w:tc>
              <w:tc>
                <w:tcPr>
                  <w:tcW w:w="594" w:type="pct"/>
                  <w:tcBorders>
                    <w:top w:val="single" w:color="auto" w:sz="4" w:space="0"/>
                    <w:left w:val="single" w:color="auto" w:sz="4" w:space="0"/>
                    <w:bottom w:val="single" w:color="auto" w:sz="4" w:space="0"/>
                  </w:tcBorders>
                  <w:vAlign w:val="center"/>
                </w:tcPr>
                <w:p w14:paraId="464FEA40">
                  <w:pPr>
                    <w:tabs>
                      <w:tab w:val="left" w:pos="8358"/>
                    </w:tabs>
                    <w:jc w:val="center"/>
                    <w:rPr>
                      <w:rFonts w:hint="eastAsia" w:eastAsia="宋体"/>
                      <w:color w:val="auto"/>
                      <w:kern w:val="0"/>
                      <w:szCs w:val="21"/>
                      <w:lang w:val="en-US" w:eastAsia="zh-CN"/>
                    </w:rPr>
                  </w:pPr>
                  <w:r>
                    <w:rPr>
                      <w:rFonts w:hint="eastAsia"/>
                      <w:color w:val="auto"/>
                      <w:kern w:val="0"/>
                      <w:szCs w:val="21"/>
                      <w:lang w:val="en-US" w:eastAsia="zh-CN"/>
                    </w:rPr>
                    <w:t>达标</w:t>
                  </w:r>
                </w:p>
              </w:tc>
            </w:tr>
            <w:tr w14:paraId="4831F43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435" w:type="pct"/>
                  <w:vMerge w:val="restart"/>
                  <w:tcBorders>
                    <w:top w:val="single" w:color="auto" w:sz="4" w:space="0"/>
                    <w:bottom w:val="single" w:color="auto" w:sz="4" w:space="0"/>
                    <w:right w:val="single" w:color="auto" w:sz="4" w:space="0"/>
                  </w:tcBorders>
                  <w:vAlign w:val="center"/>
                </w:tcPr>
                <w:p w14:paraId="173822BA">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11.29</w:t>
                  </w:r>
                </w:p>
              </w:tc>
              <w:tc>
                <w:tcPr>
                  <w:tcW w:w="479" w:type="pct"/>
                  <w:tcBorders>
                    <w:top w:val="single" w:color="auto" w:sz="4" w:space="0"/>
                    <w:left w:val="single" w:color="auto" w:sz="4" w:space="0"/>
                    <w:bottom w:val="single" w:color="auto" w:sz="4" w:space="0"/>
                    <w:right w:val="single" w:color="auto" w:sz="4" w:space="0"/>
                  </w:tcBorders>
                  <w:vAlign w:val="center"/>
                </w:tcPr>
                <w:p w14:paraId="173822BB">
                  <w:pPr>
                    <w:tabs>
                      <w:tab w:val="left" w:pos="8358"/>
                    </w:tabs>
                    <w:jc w:val="center"/>
                    <w:rPr>
                      <w:color w:val="auto"/>
                      <w:kern w:val="0"/>
                      <w:szCs w:val="21"/>
                    </w:rPr>
                  </w:pPr>
                  <w:r>
                    <w:rPr>
                      <w:rFonts w:hint="eastAsia"/>
                      <w:color w:val="auto"/>
                      <w:kern w:val="0"/>
                      <w:szCs w:val="21"/>
                    </w:rPr>
                    <w:t>昼间</w:t>
                  </w:r>
                </w:p>
              </w:tc>
              <w:tc>
                <w:tcPr>
                  <w:tcW w:w="534" w:type="pct"/>
                  <w:tcBorders>
                    <w:top w:val="single" w:color="auto" w:sz="4" w:space="0"/>
                    <w:left w:val="single" w:color="auto" w:sz="4" w:space="0"/>
                    <w:bottom w:val="single" w:color="auto" w:sz="4" w:space="0"/>
                    <w:right w:val="single" w:color="auto" w:sz="4" w:space="0"/>
                  </w:tcBorders>
                  <w:vAlign w:val="center"/>
                </w:tcPr>
                <w:p w14:paraId="173822BC">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42</w:t>
                  </w:r>
                </w:p>
              </w:tc>
              <w:tc>
                <w:tcPr>
                  <w:tcW w:w="590" w:type="pct"/>
                  <w:tcBorders>
                    <w:top w:val="single" w:color="auto" w:sz="4" w:space="0"/>
                    <w:left w:val="single" w:color="auto" w:sz="4" w:space="0"/>
                    <w:bottom w:val="single" w:color="auto" w:sz="4" w:space="0"/>
                    <w:right w:val="single" w:color="auto" w:sz="4" w:space="0"/>
                  </w:tcBorders>
                  <w:vAlign w:val="center"/>
                </w:tcPr>
                <w:p w14:paraId="173822BD">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53</w:t>
                  </w:r>
                </w:p>
              </w:tc>
              <w:tc>
                <w:tcPr>
                  <w:tcW w:w="546" w:type="pct"/>
                  <w:tcBorders>
                    <w:top w:val="single" w:color="auto" w:sz="4" w:space="0"/>
                    <w:left w:val="single" w:color="auto" w:sz="4" w:space="0"/>
                    <w:bottom w:val="single" w:color="auto" w:sz="4" w:space="0"/>
                    <w:right w:val="single" w:color="auto" w:sz="4" w:space="0"/>
                  </w:tcBorders>
                  <w:vAlign w:val="center"/>
                </w:tcPr>
                <w:p w14:paraId="173822BE">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56</w:t>
                  </w:r>
                </w:p>
              </w:tc>
              <w:tc>
                <w:tcPr>
                  <w:tcW w:w="701" w:type="pct"/>
                  <w:tcBorders>
                    <w:top w:val="single" w:color="auto" w:sz="4" w:space="0"/>
                    <w:left w:val="single" w:color="auto" w:sz="4" w:space="0"/>
                    <w:bottom w:val="single" w:color="auto" w:sz="4" w:space="0"/>
                    <w:right w:val="single" w:color="auto" w:sz="4" w:space="0"/>
                  </w:tcBorders>
                  <w:vAlign w:val="center"/>
                </w:tcPr>
                <w:p w14:paraId="173822BF">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58</w:t>
                  </w:r>
                </w:p>
              </w:tc>
              <w:tc>
                <w:tcPr>
                  <w:tcW w:w="523" w:type="pct"/>
                  <w:tcBorders>
                    <w:top w:val="single" w:color="auto" w:sz="4" w:space="0"/>
                    <w:left w:val="single" w:color="auto" w:sz="4" w:space="0"/>
                    <w:bottom w:val="single" w:color="auto" w:sz="4" w:space="0"/>
                    <w:right w:val="single" w:color="auto" w:sz="4" w:space="0"/>
                  </w:tcBorders>
                  <w:vAlign w:val="center"/>
                </w:tcPr>
                <w:p w14:paraId="173822C0">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40</w:t>
                  </w:r>
                </w:p>
              </w:tc>
              <w:tc>
                <w:tcPr>
                  <w:tcW w:w="593" w:type="pct"/>
                  <w:tcBorders>
                    <w:top w:val="single" w:color="auto" w:sz="4" w:space="0"/>
                    <w:left w:val="single" w:color="auto" w:sz="4" w:space="0"/>
                    <w:bottom w:val="single" w:color="auto" w:sz="4" w:space="0"/>
                  </w:tcBorders>
                  <w:vAlign w:val="center"/>
                </w:tcPr>
                <w:p w14:paraId="173822C1">
                  <w:pPr>
                    <w:tabs>
                      <w:tab w:val="left" w:pos="8358"/>
                    </w:tabs>
                    <w:jc w:val="center"/>
                    <w:rPr>
                      <w:color w:val="auto"/>
                      <w:kern w:val="0"/>
                      <w:szCs w:val="21"/>
                    </w:rPr>
                  </w:pPr>
                  <w:r>
                    <w:rPr>
                      <w:color w:val="auto"/>
                      <w:kern w:val="0"/>
                      <w:szCs w:val="21"/>
                    </w:rPr>
                    <w:t>60</w:t>
                  </w:r>
                </w:p>
              </w:tc>
              <w:tc>
                <w:tcPr>
                  <w:tcW w:w="594" w:type="pct"/>
                  <w:tcBorders>
                    <w:top w:val="single" w:color="auto" w:sz="4" w:space="0"/>
                    <w:left w:val="single" w:color="auto" w:sz="4" w:space="0"/>
                    <w:bottom w:val="single" w:color="auto" w:sz="4" w:space="0"/>
                  </w:tcBorders>
                  <w:vAlign w:val="center"/>
                </w:tcPr>
                <w:p w14:paraId="6D85A89A">
                  <w:pPr>
                    <w:tabs>
                      <w:tab w:val="left" w:pos="8358"/>
                    </w:tabs>
                    <w:jc w:val="center"/>
                    <w:rPr>
                      <w:rFonts w:hint="eastAsia" w:eastAsia="宋体"/>
                      <w:color w:val="auto"/>
                      <w:kern w:val="0"/>
                      <w:szCs w:val="21"/>
                      <w:lang w:val="en-US" w:eastAsia="zh-CN"/>
                    </w:rPr>
                  </w:pPr>
                  <w:r>
                    <w:rPr>
                      <w:rFonts w:hint="eastAsia"/>
                      <w:color w:val="auto"/>
                      <w:kern w:val="0"/>
                      <w:szCs w:val="21"/>
                      <w:lang w:val="en-US" w:eastAsia="zh-CN"/>
                    </w:rPr>
                    <w:t>达标</w:t>
                  </w:r>
                </w:p>
              </w:tc>
            </w:tr>
            <w:tr w14:paraId="6627961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435" w:type="pct"/>
                  <w:vMerge w:val="continue"/>
                  <w:tcBorders>
                    <w:top w:val="single" w:color="auto" w:sz="4" w:space="0"/>
                    <w:bottom w:val="single" w:color="auto" w:sz="12" w:space="0"/>
                    <w:right w:val="single" w:color="auto" w:sz="4" w:space="0"/>
                  </w:tcBorders>
                  <w:vAlign w:val="center"/>
                </w:tcPr>
                <w:p w14:paraId="173822C3">
                  <w:pPr>
                    <w:tabs>
                      <w:tab w:val="left" w:pos="8358"/>
                    </w:tabs>
                    <w:jc w:val="center"/>
                    <w:rPr>
                      <w:color w:val="auto"/>
                      <w:kern w:val="0"/>
                      <w:szCs w:val="21"/>
                    </w:rPr>
                  </w:pPr>
                </w:p>
              </w:tc>
              <w:tc>
                <w:tcPr>
                  <w:tcW w:w="479" w:type="pct"/>
                  <w:tcBorders>
                    <w:top w:val="single" w:color="auto" w:sz="4" w:space="0"/>
                    <w:left w:val="single" w:color="auto" w:sz="4" w:space="0"/>
                    <w:bottom w:val="single" w:color="auto" w:sz="12" w:space="0"/>
                    <w:right w:val="single" w:color="auto" w:sz="4" w:space="0"/>
                  </w:tcBorders>
                  <w:vAlign w:val="center"/>
                </w:tcPr>
                <w:p w14:paraId="173822C4">
                  <w:pPr>
                    <w:tabs>
                      <w:tab w:val="left" w:pos="8358"/>
                    </w:tabs>
                    <w:jc w:val="center"/>
                    <w:rPr>
                      <w:color w:val="auto"/>
                      <w:kern w:val="0"/>
                      <w:szCs w:val="21"/>
                    </w:rPr>
                  </w:pPr>
                  <w:r>
                    <w:rPr>
                      <w:rFonts w:hint="eastAsia"/>
                      <w:color w:val="auto"/>
                      <w:kern w:val="0"/>
                      <w:szCs w:val="21"/>
                    </w:rPr>
                    <w:t>夜间</w:t>
                  </w:r>
                </w:p>
              </w:tc>
              <w:tc>
                <w:tcPr>
                  <w:tcW w:w="534" w:type="pct"/>
                  <w:tcBorders>
                    <w:top w:val="single" w:color="auto" w:sz="4" w:space="0"/>
                    <w:left w:val="single" w:color="auto" w:sz="4" w:space="0"/>
                    <w:bottom w:val="single" w:color="auto" w:sz="12" w:space="0"/>
                    <w:right w:val="single" w:color="auto" w:sz="4" w:space="0"/>
                  </w:tcBorders>
                  <w:vAlign w:val="center"/>
                </w:tcPr>
                <w:p w14:paraId="173822C5">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43</w:t>
                  </w:r>
                </w:p>
              </w:tc>
              <w:tc>
                <w:tcPr>
                  <w:tcW w:w="590" w:type="pct"/>
                  <w:tcBorders>
                    <w:top w:val="single" w:color="auto" w:sz="4" w:space="0"/>
                    <w:left w:val="single" w:color="auto" w:sz="4" w:space="0"/>
                    <w:bottom w:val="single" w:color="auto" w:sz="12" w:space="0"/>
                    <w:right w:val="single" w:color="auto" w:sz="4" w:space="0"/>
                  </w:tcBorders>
                  <w:vAlign w:val="center"/>
                </w:tcPr>
                <w:p w14:paraId="173822C6">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42</w:t>
                  </w:r>
                </w:p>
              </w:tc>
              <w:tc>
                <w:tcPr>
                  <w:tcW w:w="546" w:type="pct"/>
                  <w:tcBorders>
                    <w:top w:val="single" w:color="auto" w:sz="4" w:space="0"/>
                    <w:left w:val="single" w:color="auto" w:sz="4" w:space="0"/>
                    <w:bottom w:val="single" w:color="auto" w:sz="12" w:space="0"/>
                    <w:right w:val="single" w:color="auto" w:sz="4" w:space="0"/>
                  </w:tcBorders>
                  <w:vAlign w:val="center"/>
                </w:tcPr>
                <w:p w14:paraId="173822C7">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42</w:t>
                  </w:r>
                </w:p>
              </w:tc>
              <w:tc>
                <w:tcPr>
                  <w:tcW w:w="701" w:type="pct"/>
                  <w:tcBorders>
                    <w:top w:val="single" w:color="auto" w:sz="4" w:space="0"/>
                    <w:left w:val="single" w:color="auto" w:sz="4" w:space="0"/>
                    <w:bottom w:val="single" w:color="auto" w:sz="12" w:space="0"/>
                    <w:right w:val="single" w:color="auto" w:sz="4" w:space="0"/>
                  </w:tcBorders>
                  <w:vAlign w:val="center"/>
                </w:tcPr>
                <w:p w14:paraId="173822C8">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42</w:t>
                  </w:r>
                </w:p>
              </w:tc>
              <w:tc>
                <w:tcPr>
                  <w:tcW w:w="523" w:type="pct"/>
                  <w:tcBorders>
                    <w:top w:val="single" w:color="auto" w:sz="4" w:space="0"/>
                    <w:left w:val="single" w:color="auto" w:sz="4" w:space="0"/>
                    <w:bottom w:val="single" w:color="auto" w:sz="12" w:space="0"/>
                    <w:right w:val="single" w:color="auto" w:sz="4" w:space="0"/>
                  </w:tcBorders>
                  <w:vAlign w:val="center"/>
                </w:tcPr>
                <w:p w14:paraId="173822C9">
                  <w:pPr>
                    <w:tabs>
                      <w:tab w:val="left" w:pos="8358"/>
                    </w:tabs>
                    <w:jc w:val="center"/>
                    <w:rPr>
                      <w:rFonts w:hint="default" w:eastAsia="宋体"/>
                      <w:color w:val="auto"/>
                      <w:kern w:val="0"/>
                      <w:szCs w:val="21"/>
                      <w:lang w:val="en-US" w:eastAsia="zh-CN"/>
                    </w:rPr>
                  </w:pPr>
                  <w:r>
                    <w:rPr>
                      <w:rFonts w:hint="eastAsia"/>
                      <w:color w:val="auto"/>
                      <w:kern w:val="0"/>
                      <w:szCs w:val="21"/>
                      <w:lang w:val="en-US" w:eastAsia="zh-CN"/>
                    </w:rPr>
                    <w:t>40</w:t>
                  </w:r>
                </w:p>
              </w:tc>
              <w:tc>
                <w:tcPr>
                  <w:tcW w:w="593" w:type="pct"/>
                  <w:tcBorders>
                    <w:top w:val="single" w:color="auto" w:sz="4" w:space="0"/>
                    <w:left w:val="single" w:color="auto" w:sz="4" w:space="0"/>
                    <w:bottom w:val="single" w:color="auto" w:sz="12" w:space="0"/>
                  </w:tcBorders>
                  <w:vAlign w:val="center"/>
                </w:tcPr>
                <w:p w14:paraId="173822CA">
                  <w:pPr>
                    <w:tabs>
                      <w:tab w:val="left" w:pos="8358"/>
                    </w:tabs>
                    <w:jc w:val="center"/>
                    <w:rPr>
                      <w:color w:val="auto"/>
                      <w:kern w:val="0"/>
                      <w:szCs w:val="21"/>
                    </w:rPr>
                  </w:pPr>
                  <w:r>
                    <w:rPr>
                      <w:color w:val="auto"/>
                      <w:kern w:val="0"/>
                      <w:szCs w:val="21"/>
                    </w:rPr>
                    <w:t>50</w:t>
                  </w:r>
                </w:p>
              </w:tc>
              <w:tc>
                <w:tcPr>
                  <w:tcW w:w="594" w:type="pct"/>
                  <w:tcBorders>
                    <w:top w:val="single" w:color="auto" w:sz="4" w:space="0"/>
                    <w:left w:val="single" w:color="auto" w:sz="4" w:space="0"/>
                    <w:bottom w:val="single" w:color="auto" w:sz="12" w:space="0"/>
                  </w:tcBorders>
                  <w:vAlign w:val="center"/>
                </w:tcPr>
                <w:p w14:paraId="1014DCA3">
                  <w:pPr>
                    <w:tabs>
                      <w:tab w:val="left" w:pos="8358"/>
                    </w:tabs>
                    <w:jc w:val="center"/>
                    <w:rPr>
                      <w:rFonts w:hint="eastAsia" w:eastAsia="宋体"/>
                      <w:color w:val="auto"/>
                      <w:kern w:val="0"/>
                      <w:szCs w:val="21"/>
                      <w:lang w:val="en-US" w:eastAsia="zh-CN"/>
                    </w:rPr>
                  </w:pPr>
                  <w:r>
                    <w:rPr>
                      <w:rFonts w:hint="eastAsia"/>
                      <w:color w:val="auto"/>
                      <w:kern w:val="0"/>
                      <w:szCs w:val="21"/>
                      <w:lang w:val="en-US" w:eastAsia="zh-CN"/>
                    </w:rPr>
                    <w:t>达标</w:t>
                  </w:r>
                </w:p>
              </w:tc>
            </w:tr>
          </w:tbl>
          <w:p w14:paraId="173822CC">
            <w:pPr>
              <w:adjustRightInd w:val="0"/>
              <w:snapToGrid w:val="0"/>
              <w:spacing w:line="360" w:lineRule="auto"/>
              <w:ind w:firstLine="482" w:firstLineChars="200"/>
              <w:rPr>
                <w:b/>
                <w:color w:val="auto"/>
                <w:sz w:val="24"/>
              </w:rPr>
            </w:pPr>
            <w:r>
              <w:rPr>
                <w:b/>
                <w:color w:val="auto"/>
                <w:sz w:val="24"/>
              </w:rPr>
              <w:t>4</w:t>
            </w:r>
            <w:r>
              <w:rPr>
                <w:rFonts w:hint="eastAsia"/>
                <w:b/>
                <w:color w:val="auto"/>
                <w:sz w:val="24"/>
              </w:rPr>
              <w:t>、</w:t>
            </w:r>
            <w:r>
              <w:rPr>
                <w:b/>
                <w:color w:val="auto"/>
                <w:sz w:val="24"/>
              </w:rPr>
              <w:t>生态环境质量现状</w:t>
            </w:r>
          </w:p>
          <w:p w14:paraId="173822CD">
            <w:pPr>
              <w:adjustRightInd w:val="0"/>
              <w:snapToGrid w:val="0"/>
              <w:spacing w:line="360" w:lineRule="auto"/>
              <w:ind w:firstLine="480" w:firstLineChars="200"/>
              <w:rPr>
                <w:color w:val="auto"/>
                <w:sz w:val="24"/>
              </w:rPr>
            </w:pPr>
            <w:r>
              <w:rPr>
                <w:rFonts w:hint="eastAsia"/>
                <w:color w:val="auto"/>
                <w:sz w:val="24"/>
                <w:lang w:val="en-US" w:eastAsia="zh-CN"/>
              </w:rPr>
              <w:t>本</w:t>
            </w:r>
            <w:r>
              <w:rPr>
                <w:rFonts w:hint="eastAsia"/>
                <w:color w:val="auto"/>
                <w:sz w:val="24"/>
              </w:rPr>
              <w:t>项目位于淮安市淮阴区马头镇东港路一号，对照《建设项目环境影响报告表编制技术指南（污染影响类）（试行）》：产业园区外建设项目新增用地且用地范围内含有生态环境保护目标时，应进行生态现状调查。本项目用地范围不涉及生态保护目标，故无需进行生态现状调查</w:t>
            </w:r>
            <w:r>
              <w:rPr>
                <w:color w:val="auto"/>
                <w:sz w:val="24"/>
              </w:rPr>
              <w:t>。</w:t>
            </w:r>
          </w:p>
          <w:p w14:paraId="173822CE">
            <w:pPr>
              <w:adjustRightInd w:val="0"/>
              <w:snapToGrid w:val="0"/>
              <w:spacing w:line="360" w:lineRule="auto"/>
              <w:ind w:firstLine="482" w:firstLineChars="200"/>
              <w:rPr>
                <w:b/>
                <w:color w:val="auto"/>
                <w:sz w:val="24"/>
              </w:rPr>
            </w:pPr>
            <w:r>
              <w:rPr>
                <w:b/>
                <w:color w:val="auto"/>
                <w:sz w:val="24"/>
              </w:rPr>
              <w:t>5</w:t>
            </w:r>
            <w:r>
              <w:rPr>
                <w:rFonts w:hint="eastAsia"/>
                <w:b/>
                <w:color w:val="auto"/>
                <w:sz w:val="24"/>
              </w:rPr>
              <w:t>、</w:t>
            </w:r>
            <w:r>
              <w:rPr>
                <w:b/>
                <w:color w:val="auto"/>
                <w:sz w:val="24"/>
              </w:rPr>
              <w:t>电磁辐射</w:t>
            </w:r>
          </w:p>
          <w:p w14:paraId="173822CF">
            <w:pPr>
              <w:adjustRightInd w:val="0"/>
              <w:snapToGrid w:val="0"/>
              <w:spacing w:line="360" w:lineRule="auto"/>
              <w:ind w:firstLine="480" w:firstLineChars="200"/>
              <w:rPr>
                <w:color w:val="auto"/>
                <w:sz w:val="24"/>
              </w:rPr>
            </w:pPr>
            <w:r>
              <w:rPr>
                <w:color w:val="auto"/>
                <w:sz w:val="24"/>
              </w:rPr>
              <w:t>本项目不涉及电磁辐射</w:t>
            </w:r>
            <w:r>
              <w:rPr>
                <w:rFonts w:hint="eastAsia"/>
                <w:color w:val="auto"/>
                <w:sz w:val="24"/>
              </w:rPr>
              <w:t>，不需要开展电磁辐射现状监测与评价</w:t>
            </w:r>
            <w:r>
              <w:rPr>
                <w:color w:val="auto"/>
                <w:sz w:val="24"/>
              </w:rPr>
              <w:t>。</w:t>
            </w:r>
          </w:p>
          <w:p w14:paraId="173822D0">
            <w:pPr>
              <w:adjustRightInd w:val="0"/>
              <w:snapToGrid w:val="0"/>
              <w:spacing w:line="360" w:lineRule="auto"/>
              <w:ind w:firstLine="482" w:firstLineChars="200"/>
              <w:rPr>
                <w:b/>
                <w:color w:val="auto"/>
                <w:sz w:val="24"/>
              </w:rPr>
            </w:pPr>
            <w:r>
              <w:rPr>
                <w:b/>
                <w:color w:val="auto"/>
                <w:sz w:val="24"/>
              </w:rPr>
              <w:t>6</w:t>
            </w:r>
            <w:r>
              <w:rPr>
                <w:rFonts w:hint="eastAsia"/>
                <w:b/>
                <w:color w:val="auto"/>
                <w:sz w:val="24"/>
              </w:rPr>
              <w:t>、</w:t>
            </w:r>
            <w:r>
              <w:rPr>
                <w:b/>
                <w:color w:val="auto"/>
                <w:sz w:val="24"/>
              </w:rPr>
              <w:t>地下水、土壤环境</w:t>
            </w:r>
          </w:p>
          <w:p w14:paraId="173822D1">
            <w:pPr>
              <w:adjustRightInd w:val="0"/>
              <w:snapToGrid w:val="0"/>
              <w:spacing w:line="360" w:lineRule="auto"/>
              <w:ind w:firstLine="480" w:firstLineChars="200"/>
              <w:rPr>
                <w:color w:val="auto"/>
                <w:sz w:val="24"/>
              </w:rPr>
            </w:pPr>
            <w:r>
              <w:rPr>
                <w:rFonts w:hint="eastAsia"/>
                <w:color w:val="auto"/>
                <w:sz w:val="24"/>
              </w:rPr>
              <w:t>根据《建设项目环境影响报告表编制技术指南》（污染影响类），原则上不开展地下水、土壤环境质量现状调查。建设项目存在土壤、地下水环境污染途径的，应结合污染源、保护目标分布情况开展现状调查以留作背景值。</w:t>
            </w:r>
          </w:p>
          <w:p w14:paraId="173822D2">
            <w:pPr>
              <w:adjustRightInd w:val="0"/>
              <w:snapToGrid w:val="0"/>
              <w:spacing w:line="360" w:lineRule="auto"/>
              <w:ind w:firstLine="480" w:firstLineChars="200"/>
              <w:rPr>
                <w:color w:val="auto"/>
                <w:sz w:val="24"/>
              </w:rPr>
            </w:pPr>
            <w:r>
              <w:rPr>
                <w:rFonts w:hint="eastAsia"/>
                <w:color w:val="auto"/>
                <w:sz w:val="24"/>
              </w:rPr>
              <w:t>运营期生产车间内部地面均进行硬化处理，营运期间</w:t>
            </w:r>
            <w:r>
              <w:rPr>
                <w:rFonts w:hint="eastAsia"/>
                <w:color w:val="auto"/>
                <w:sz w:val="24"/>
                <w:lang w:val="en-US" w:eastAsia="zh-CN"/>
              </w:rPr>
              <w:t>仅产生生活污水，</w:t>
            </w:r>
            <w:r>
              <w:rPr>
                <w:rFonts w:hint="eastAsia"/>
                <w:bCs/>
                <w:color w:val="auto"/>
                <w:kern w:val="0"/>
                <w:sz w:val="24"/>
              </w:rPr>
              <w:t>生活污水经化粪池处理后用于</w:t>
            </w:r>
            <w:r>
              <w:rPr>
                <w:rFonts w:hint="eastAsia"/>
                <w:bCs/>
                <w:color w:val="auto"/>
                <w:kern w:val="0"/>
                <w:sz w:val="24"/>
                <w:lang w:val="en-US" w:eastAsia="zh-CN"/>
              </w:rPr>
              <w:t>农田灌溉</w:t>
            </w:r>
            <w:r>
              <w:rPr>
                <w:rFonts w:hint="eastAsia"/>
                <w:bCs/>
                <w:color w:val="auto"/>
                <w:kern w:val="0"/>
                <w:sz w:val="24"/>
              </w:rPr>
              <w:t>，</w:t>
            </w:r>
            <w:r>
              <w:rPr>
                <w:rFonts w:hint="eastAsia"/>
                <w:color w:val="auto"/>
                <w:sz w:val="24"/>
              </w:rPr>
              <w:t>化粪池已进行防渗；废机油、废桶等危险废物暂存于危废暂存间，定期委托有资质单位安全处置。危废暂存间按照《危险废物贮存污染控制标准》（GB 18597-2023）进行建设，不存在地下水、土壤环境污染路径，因此</w:t>
            </w:r>
            <w:r>
              <w:rPr>
                <w:rFonts w:hint="eastAsia"/>
                <w:color w:val="auto"/>
                <w:sz w:val="24"/>
                <w:lang w:val="zh-CN"/>
              </w:rPr>
              <w:t>项目不需开展地下水、土壤环境质量现状调查。</w:t>
            </w:r>
          </w:p>
        </w:tc>
      </w:tr>
      <w:tr w14:paraId="1738231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6" w:type="dxa"/>
            <w:vAlign w:val="center"/>
          </w:tcPr>
          <w:p w14:paraId="173822D4">
            <w:pPr>
              <w:adjustRightInd w:val="0"/>
              <w:snapToGrid w:val="0"/>
              <w:jc w:val="center"/>
              <w:rPr>
                <w:color w:val="auto"/>
                <w:kern w:val="0"/>
                <w:sz w:val="24"/>
              </w:rPr>
            </w:pPr>
            <w:r>
              <w:rPr>
                <w:color w:val="auto"/>
                <w:kern w:val="0"/>
                <w:sz w:val="24"/>
              </w:rPr>
              <w:t>环境</w:t>
            </w:r>
          </w:p>
          <w:p w14:paraId="173822D5">
            <w:pPr>
              <w:adjustRightInd w:val="0"/>
              <w:snapToGrid w:val="0"/>
              <w:jc w:val="center"/>
              <w:rPr>
                <w:color w:val="auto"/>
                <w:kern w:val="0"/>
                <w:sz w:val="24"/>
              </w:rPr>
            </w:pPr>
            <w:r>
              <w:rPr>
                <w:color w:val="auto"/>
                <w:kern w:val="0"/>
                <w:sz w:val="24"/>
              </w:rPr>
              <w:t>保护</w:t>
            </w:r>
          </w:p>
          <w:p w14:paraId="173822D6">
            <w:pPr>
              <w:adjustRightInd w:val="0"/>
              <w:snapToGrid w:val="0"/>
              <w:jc w:val="center"/>
              <w:rPr>
                <w:color w:val="auto"/>
                <w:kern w:val="0"/>
                <w:sz w:val="24"/>
              </w:rPr>
            </w:pPr>
            <w:r>
              <w:rPr>
                <w:color w:val="auto"/>
                <w:kern w:val="0"/>
                <w:sz w:val="24"/>
              </w:rPr>
              <w:t>目标</w:t>
            </w:r>
          </w:p>
        </w:tc>
        <w:tc>
          <w:tcPr>
            <w:tcW w:w="8408" w:type="dxa"/>
          </w:tcPr>
          <w:p w14:paraId="173822D7">
            <w:pPr>
              <w:adjustRightInd w:val="0"/>
              <w:snapToGrid w:val="0"/>
              <w:spacing w:line="360" w:lineRule="auto"/>
              <w:ind w:firstLine="480" w:firstLineChars="200"/>
              <w:rPr>
                <w:color w:val="auto"/>
                <w:sz w:val="24"/>
              </w:rPr>
            </w:pPr>
            <w:r>
              <w:rPr>
                <w:color w:val="auto"/>
                <w:sz w:val="24"/>
              </w:rPr>
              <w:t>本项目位于淮安市淮阴区马头镇东港路一号（地理位置见</w:t>
            </w:r>
            <w:r>
              <w:rPr>
                <w:b/>
                <w:bCs/>
                <w:color w:val="auto"/>
                <w:sz w:val="24"/>
              </w:rPr>
              <w:t>附图1</w:t>
            </w:r>
            <w:r>
              <w:rPr>
                <w:color w:val="auto"/>
                <w:sz w:val="24"/>
              </w:rPr>
              <w:t>），周边500m范围内环境概况见</w:t>
            </w:r>
            <w:r>
              <w:rPr>
                <w:b/>
                <w:bCs/>
                <w:color w:val="auto"/>
                <w:sz w:val="24"/>
              </w:rPr>
              <w:t>附图</w:t>
            </w:r>
            <w:r>
              <w:rPr>
                <w:rFonts w:hint="eastAsia"/>
                <w:b/>
                <w:bCs/>
                <w:color w:val="auto"/>
                <w:sz w:val="24"/>
              </w:rPr>
              <w:t>6</w:t>
            </w:r>
            <w:r>
              <w:rPr>
                <w:color w:val="auto"/>
                <w:sz w:val="24"/>
              </w:rPr>
              <w:t>。根据本项目的周边情况，确定主要环境保护目标见表3-</w:t>
            </w:r>
            <w:r>
              <w:rPr>
                <w:rFonts w:hint="eastAsia"/>
                <w:color w:val="auto"/>
                <w:sz w:val="24"/>
              </w:rPr>
              <w:t>2</w:t>
            </w:r>
            <w:r>
              <w:rPr>
                <w:color w:val="auto"/>
                <w:sz w:val="24"/>
              </w:rPr>
              <w:t>。</w:t>
            </w:r>
          </w:p>
          <w:p w14:paraId="173822D8">
            <w:pPr>
              <w:widowControl/>
              <w:snapToGrid w:val="0"/>
              <w:jc w:val="center"/>
              <w:rPr>
                <w:b/>
                <w:color w:val="auto"/>
                <w:sz w:val="24"/>
              </w:rPr>
            </w:pPr>
            <w:r>
              <w:rPr>
                <w:rFonts w:hint="eastAsia"/>
                <w:b/>
                <w:color w:val="auto"/>
                <w:sz w:val="24"/>
              </w:rPr>
              <w:t>表3-2 主要环境保护目标</w:t>
            </w:r>
          </w:p>
          <w:tbl>
            <w:tblPr>
              <w:tblStyle w:val="88"/>
              <w:tblW w:w="5000" w:type="pct"/>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15" w:type="dxa"/>
                <w:left w:w="15" w:type="dxa"/>
                <w:bottom w:w="15" w:type="dxa"/>
                <w:right w:w="15" w:type="dxa"/>
              </w:tblCellMar>
            </w:tblPr>
            <w:tblGrid>
              <w:gridCol w:w="514"/>
              <w:gridCol w:w="1093"/>
              <w:gridCol w:w="983"/>
              <w:gridCol w:w="1000"/>
              <w:gridCol w:w="1064"/>
              <w:gridCol w:w="850"/>
              <w:gridCol w:w="928"/>
              <w:gridCol w:w="1985"/>
            </w:tblGrid>
            <w:tr w14:paraId="173822E0">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15" w:type="dxa"/>
                  <w:left w:w="15" w:type="dxa"/>
                  <w:bottom w:w="15" w:type="dxa"/>
                  <w:right w:w="15" w:type="dxa"/>
                </w:tblCellMar>
              </w:tblPrEx>
              <w:trPr>
                <w:trHeight w:val="340" w:hRule="atLeast"/>
                <w:jc w:val="center"/>
              </w:trPr>
              <w:tc>
                <w:tcPr>
                  <w:tcW w:w="305" w:type="pct"/>
                  <w:vMerge w:val="restart"/>
                  <w:shd w:val="clear" w:color="auto" w:fill="auto"/>
                  <w:vAlign w:val="center"/>
                </w:tcPr>
                <w:p w14:paraId="173822D9">
                  <w:pPr>
                    <w:adjustRightInd w:val="0"/>
                    <w:snapToGrid w:val="0"/>
                    <w:jc w:val="center"/>
                    <w:rPr>
                      <w:b/>
                      <w:bCs/>
                      <w:color w:val="auto"/>
                      <w:szCs w:val="21"/>
                    </w:rPr>
                  </w:pPr>
                  <w:r>
                    <w:rPr>
                      <w:b/>
                      <w:bCs/>
                      <w:color w:val="auto"/>
                      <w:szCs w:val="21"/>
                    </w:rPr>
                    <w:t>名称</w:t>
                  </w:r>
                </w:p>
              </w:tc>
              <w:tc>
                <w:tcPr>
                  <w:tcW w:w="1233" w:type="pct"/>
                  <w:gridSpan w:val="2"/>
                  <w:shd w:val="clear" w:color="auto" w:fill="auto"/>
                  <w:vAlign w:val="center"/>
                </w:tcPr>
                <w:p w14:paraId="173822DA">
                  <w:pPr>
                    <w:adjustRightInd w:val="0"/>
                    <w:snapToGrid w:val="0"/>
                    <w:jc w:val="center"/>
                    <w:rPr>
                      <w:b/>
                      <w:bCs/>
                      <w:color w:val="auto"/>
                      <w:szCs w:val="21"/>
                    </w:rPr>
                  </w:pPr>
                  <w:r>
                    <w:rPr>
                      <w:b/>
                      <w:bCs/>
                      <w:color w:val="auto"/>
                      <w:szCs w:val="21"/>
                    </w:rPr>
                    <w:t>坐标/m</w:t>
                  </w:r>
                </w:p>
              </w:tc>
              <w:tc>
                <w:tcPr>
                  <w:tcW w:w="594" w:type="pct"/>
                  <w:vMerge w:val="restart"/>
                  <w:shd w:val="clear" w:color="auto" w:fill="auto"/>
                  <w:vAlign w:val="center"/>
                </w:tcPr>
                <w:p w14:paraId="173822DB">
                  <w:pPr>
                    <w:adjustRightInd w:val="0"/>
                    <w:snapToGrid w:val="0"/>
                    <w:jc w:val="center"/>
                    <w:rPr>
                      <w:b/>
                      <w:bCs/>
                      <w:color w:val="auto"/>
                      <w:szCs w:val="21"/>
                    </w:rPr>
                  </w:pPr>
                  <w:r>
                    <w:rPr>
                      <w:b/>
                      <w:bCs/>
                      <w:color w:val="auto"/>
                      <w:szCs w:val="21"/>
                    </w:rPr>
                    <w:t>保护对象</w:t>
                  </w:r>
                </w:p>
              </w:tc>
              <w:tc>
                <w:tcPr>
                  <w:tcW w:w="632" w:type="pct"/>
                  <w:vMerge w:val="restart"/>
                  <w:shd w:val="clear" w:color="auto" w:fill="auto"/>
                  <w:vAlign w:val="center"/>
                </w:tcPr>
                <w:p w14:paraId="173822DC">
                  <w:pPr>
                    <w:adjustRightInd w:val="0"/>
                    <w:snapToGrid w:val="0"/>
                    <w:jc w:val="center"/>
                    <w:rPr>
                      <w:b/>
                      <w:bCs/>
                      <w:color w:val="auto"/>
                      <w:szCs w:val="21"/>
                    </w:rPr>
                  </w:pPr>
                  <w:r>
                    <w:rPr>
                      <w:b/>
                      <w:bCs/>
                      <w:color w:val="auto"/>
                      <w:szCs w:val="21"/>
                    </w:rPr>
                    <w:t>保护内容</w:t>
                  </w:r>
                </w:p>
              </w:tc>
              <w:tc>
                <w:tcPr>
                  <w:tcW w:w="505" w:type="pct"/>
                  <w:vMerge w:val="restart"/>
                  <w:shd w:val="clear" w:color="auto" w:fill="auto"/>
                  <w:vAlign w:val="center"/>
                </w:tcPr>
                <w:p w14:paraId="173822DD">
                  <w:pPr>
                    <w:adjustRightInd w:val="0"/>
                    <w:snapToGrid w:val="0"/>
                    <w:jc w:val="center"/>
                    <w:rPr>
                      <w:b/>
                      <w:bCs/>
                      <w:color w:val="auto"/>
                      <w:szCs w:val="21"/>
                    </w:rPr>
                  </w:pPr>
                  <w:r>
                    <w:rPr>
                      <w:b/>
                      <w:bCs/>
                      <w:color w:val="auto"/>
                      <w:szCs w:val="21"/>
                    </w:rPr>
                    <w:t>相对厂址方位</w:t>
                  </w:r>
                </w:p>
              </w:tc>
              <w:tc>
                <w:tcPr>
                  <w:tcW w:w="551" w:type="pct"/>
                  <w:vMerge w:val="restart"/>
                  <w:shd w:val="clear" w:color="auto" w:fill="auto"/>
                  <w:vAlign w:val="center"/>
                </w:tcPr>
                <w:p w14:paraId="173822DE">
                  <w:pPr>
                    <w:adjustRightInd w:val="0"/>
                    <w:snapToGrid w:val="0"/>
                    <w:jc w:val="center"/>
                    <w:rPr>
                      <w:b/>
                      <w:bCs/>
                      <w:color w:val="auto"/>
                      <w:szCs w:val="21"/>
                    </w:rPr>
                  </w:pPr>
                  <w:r>
                    <w:rPr>
                      <w:b/>
                      <w:bCs/>
                      <w:color w:val="auto"/>
                      <w:szCs w:val="21"/>
                    </w:rPr>
                    <w:t>相对厂界距离/m</w:t>
                  </w:r>
                </w:p>
              </w:tc>
              <w:tc>
                <w:tcPr>
                  <w:tcW w:w="1177" w:type="pct"/>
                  <w:vMerge w:val="restart"/>
                  <w:shd w:val="clear" w:color="auto" w:fill="auto"/>
                  <w:vAlign w:val="center"/>
                </w:tcPr>
                <w:p w14:paraId="173822DF">
                  <w:pPr>
                    <w:adjustRightInd w:val="0"/>
                    <w:snapToGrid w:val="0"/>
                    <w:jc w:val="center"/>
                    <w:rPr>
                      <w:b/>
                      <w:bCs/>
                      <w:color w:val="auto"/>
                      <w:szCs w:val="21"/>
                    </w:rPr>
                  </w:pPr>
                  <w:r>
                    <w:rPr>
                      <w:b/>
                      <w:bCs/>
                      <w:color w:val="auto"/>
                      <w:szCs w:val="21"/>
                    </w:rPr>
                    <w:t>环境质量标准</w:t>
                  </w:r>
                </w:p>
              </w:tc>
            </w:tr>
            <w:tr w14:paraId="173822E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15" w:type="dxa"/>
                  <w:left w:w="15" w:type="dxa"/>
                  <w:bottom w:w="15" w:type="dxa"/>
                  <w:right w:w="15" w:type="dxa"/>
                </w:tblCellMar>
              </w:tblPrEx>
              <w:trPr>
                <w:trHeight w:val="340" w:hRule="atLeast"/>
                <w:jc w:val="center"/>
              </w:trPr>
              <w:tc>
                <w:tcPr>
                  <w:tcW w:w="305" w:type="pct"/>
                  <w:vMerge w:val="continue"/>
                  <w:shd w:val="clear" w:color="auto" w:fill="auto"/>
                  <w:vAlign w:val="center"/>
                </w:tcPr>
                <w:p w14:paraId="173822E1">
                  <w:pPr>
                    <w:adjustRightInd w:val="0"/>
                    <w:snapToGrid w:val="0"/>
                    <w:jc w:val="center"/>
                    <w:rPr>
                      <w:color w:val="auto"/>
                      <w:szCs w:val="21"/>
                    </w:rPr>
                  </w:pPr>
                </w:p>
              </w:tc>
              <w:tc>
                <w:tcPr>
                  <w:tcW w:w="649" w:type="pct"/>
                  <w:shd w:val="clear" w:color="auto" w:fill="auto"/>
                  <w:vAlign w:val="center"/>
                </w:tcPr>
                <w:p w14:paraId="173822E2">
                  <w:pPr>
                    <w:adjustRightInd w:val="0"/>
                    <w:snapToGrid w:val="0"/>
                    <w:jc w:val="center"/>
                    <w:rPr>
                      <w:b/>
                      <w:bCs/>
                      <w:color w:val="auto"/>
                      <w:szCs w:val="21"/>
                    </w:rPr>
                  </w:pPr>
                  <w:r>
                    <w:rPr>
                      <w:b/>
                      <w:bCs/>
                      <w:color w:val="auto"/>
                      <w:szCs w:val="21"/>
                    </w:rPr>
                    <w:t>X</w:t>
                  </w:r>
                </w:p>
              </w:tc>
              <w:tc>
                <w:tcPr>
                  <w:tcW w:w="583" w:type="pct"/>
                  <w:shd w:val="clear" w:color="auto" w:fill="auto"/>
                  <w:vAlign w:val="center"/>
                </w:tcPr>
                <w:p w14:paraId="173822E3">
                  <w:pPr>
                    <w:adjustRightInd w:val="0"/>
                    <w:snapToGrid w:val="0"/>
                    <w:jc w:val="center"/>
                    <w:rPr>
                      <w:b/>
                      <w:bCs/>
                      <w:color w:val="auto"/>
                      <w:szCs w:val="21"/>
                    </w:rPr>
                  </w:pPr>
                  <w:r>
                    <w:rPr>
                      <w:b/>
                      <w:bCs/>
                      <w:color w:val="auto"/>
                      <w:szCs w:val="21"/>
                    </w:rPr>
                    <w:t>Y</w:t>
                  </w:r>
                </w:p>
              </w:tc>
              <w:tc>
                <w:tcPr>
                  <w:tcW w:w="594" w:type="pct"/>
                  <w:vMerge w:val="continue"/>
                  <w:shd w:val="clear" w:color="auto" w:fill="auto"/>
                  <w:vAlign w:val="center"/>
                </w:tcPr>
                <w:p w14:paraId="173822E4">
                  <w:pPr>
                    <w:adjustRightInd w:val="0"/>
                    <w:snapToGrid w:val="0"/>
                    <w:jc w:val="center"/>
                    <w:rPr>
                      <w:color w:val="auto"/>
                      <w:szCs w:val="21"/>
                    </w:rPr>
                  </w:pPr>
                </w:p>
              </w:tc>
              <w:tc>
                <w:tcPr>
                  <w:tcW w:w="632" w:type="pct"/>
                  <w:vMerge w:val="continue"/>
                  <w:shd w:val="clear" w:color="auto" w:fill="auto"/>
                  <w:vAlign w:val="center"/>
                </w:tcPr>
                <w:p w14:paraId="173822E5">
                  <w:pPr>
                    <w:adjustRightInd w:val="0"/>
                    <w:snapToGrid w:val="0"/>
                    <w:jc w:val="center"/>
                    <w:rPr>
                      <w:color w:val="auto"/>
                      <w:szCs w:val="21"/>
                    </w:rPr>
                  </w:pPr>
                </w:p>
              </w:tc>
              <w:tc>
                <w:tcPr>
                  <w:tcW w:w="505" w:type="pct"/>
                  <w:vMerge w:val="continue"/>
                  <w:shd w:val="clear" w:color="auto" w:fill="auto"/>
                  <w:vAlign w:val="center"/>
                </w:tcPr>
                <w:p w14:paraId="173822E6">
                  <w:pPr>
                    <w:adjustRightInd w:val="0"/>
                    <w:snapToGrid w:val="0"/>
                    <w:jc w:val="center"/>
                    <w:rPr>
                      <w:color w:val="auto"/>
                      <w:szCs w:val="21"/>
                    </w:rPr>
                  </w:pPr>
                </w:p>
              </w:tc>
              <w:tc>
                <w:tcPr>
                  <w:tcW w:w="551" w:type="pct"/>
                  <w:vMerge w:val="continue"/>
                  <w:shd w:val="clear" w:color="auto" w:fill="auto"/>
                  <w:vAlign w:val="center"/>
                </w:tcPr>
                <w:p w14:paraId="173822E7">
                  <w:pPr>
                    <w:adjustRightInd w:val="0"/>
                    <w:snapToGrid w:val="0"/>
                    <w:jc w:val="center"/>
                    <w:rPr>
                      <w:color w:val="auto"/>
                      <w:szCs w:val="21"/>
                    </w:rPr>
                  </w:pPr>
                </w:p>
              </w:tc>
              <w:tc>
                <w:tcPr>
                  <w:tcW w:w="1177" w:type="pct"/>
                  <w:vMerge w:val="continue"/>
                  <w:shd w:val="clear" w:color="auto" w:fill="auto"/>
                  <w:vAlign w:val="center"/>
                </w:tcPr>
                <w:p w14:paraId="173822E8">
                  <w:pPr>
                    <w:adjustRightInd w:val="0"/>
                    <w:snapToGrid w:val="0"/>
                    <w:jc w:val="center"/>
                    <w:rPr>
                      <w:color w:val="auto"/>
                      <w:szCs w:val="21"/>
                    </w:rPr>
                  </w:pPr>
                </w:p>
              </w:tc>
            </w:tr>
            <w:tr w14:paraId="173822F2">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15" w:type="dxa"/>
                  <w:left w:w="15" w:type="dxa"/>
                  <w:bottom w:w="15" w:type="dxa"/>
                  <w:right w:w="15" w:type="dxa"/>
                </w:tblCellMar>
              </w:tblPrEx>
              <w:trPr>
                <w:trHeight w:val="340" w:hRule="atLeast"/>
                <w:jc w:val="center"/>
              </w:trPr>
              <w:tc>
                <w:tcPr>
                  <w:tcW w:w="305" w:type="pct"/>
                  <w:vMerge w:val="restart"/>
                  <w:shd w:val="clear" w:color="auto" w:fill="auto"/>
                  <w:vAlign w:val="center"/>
                </w:tcPr>
                <w:p w14:paraId="173822EA">
                  <w:pPr>
                    <w:adjustRightInd w:val="0"/>
                    <w:snapToGrid w:val="0"/>
                    <w:jc w:val="center"/>
                    <w:rPr>
                      <w:color w:val="auto"/>
                      <w:szCs w:val="21"/>
                    </w:rPr>
                  </w:pPr>
                  <w:r>
                    <w:rPr>
                      <w:rFonts w:hint="eastAsia"/>
                      <w:color w:val="auto"/>
                      <w:szCs w:val="21"/>
                    </w:rPr>
                    <w:t>大气环境</w:t>
                  </w:r>
                </w:p>
              </w:tc>
              <w:tc>
                <w:tcPr>
                  <w:tcW w:w="649" w:type="pct"/>
                  <w:shd w:val="clear" w:color="auto" w:fill="auto"/>
                  <w:vAlign w:val="center"/>
                </w:tcPr>
                <w:p w14:paraId="173822EB">
                  <w:pPr>
                    <w:adjustRightInd w:val="0"/>
                    <w:snapToGrid w:val="0"/>
                    <w:jc w:val="center"/>
                    <w:rPr>
                      <w:color w:val="auto"/>
                      <w:szCs w:val="21"/>
                    </w:rPr>
                  </w:pPr>
                  <w:r>
                    <w:rPr>
                      <w:rFonts w:hint="eastAsia"/>
                      <w:color w:val="auto"/>
                      <w:szCs w:val="21"/>
                    </w:rPr>
                    <w:t>118.929043</w:t>
                  </w:r>
                </w:p>
              </w:tc>
              <w:tc>
                <w:tcPr>
                  <w:tcW w:w="583" w:type="pct"/>
                  <w:shd w:val="clear" w:color="auto" w:fill="auto"/>
                  <w:vAlign w:val="center"/>
                </w:tcPr>
                <w:p w14:paraId="173822EC">
                  <w:pPr>
                    <w:adjustRightInd w:val="0"/>
                    <w:snapToGrid w:val="0"/>
                    <w:jc w:val="center"/>
                    <w:rPr>
                      <w:color w:val="auto"/>
                      <w:szCs w:val="21"/>
                    </w:rPr>
                  </w:pPr>
                  <w:r>
                    <w:rPr>
                      <w:rFonts w:hint="eastAsia"/>
                      <w:color w:val="auto"/>
                      <w:szCs w:val="21"/>
                    </w:rPr>
                    <w:t>33.533022</w:t>
                  </w:r>
                </w:p>
              </w:tc>
              <w:tc>
                <w:tcPr>
                  <w:tcW w:w="594" w:type="pct"/>
                  <w:shd w:val="clear" w:color="auto" w:fill="auto"/>
                  <w:vAlign w:val="center"/>
                </w:tcPr>
                <w:p w14:paraId="173822ED">
                  <w:pPr>
                    <w:adjustRightInd w:val="0"/>
                    <w:snapToGrid w:val="0"/>
                    <w:jc w:val="center"/>
                    <w:rPr>
                      <w:color w:val="auto"/>
                      <w:szCs w:val="21"/>
                    </w:rPr>
                  </w:pPr>
                  <w:r>
                    <w:rPr>
                      <w:rFonts w:hint="eastAsia"/>
                      <w:color w:val="auto"/>
                      <w:szCs w:val="21"/>
                    </w:rPr>
                    <w:t>张庄镇</w:t>
                  </w:r>
                </w:p>
              </w:tc>
              <w:tc>
                <w:tcPr>
                  <w:tcW w:w="632" w:type="pct"/>
                  <w:shd w:val="clear" w:color="auto" w:fill="auto"/>
                  <w:vAlign w:val="center"/>
                </w:tcPr>
                <w:p w14:paraId="173822EE">
                  <w:pPr>
                    <w:adjustRightInd w:val="0"/>
                    <w:snapToGrid w:val="0"/>
                    <w:jc w:val="center"/>
                    <w:rPr>
                      <w:color w:val="auto"/>
                      <w:szCs w:val="21"/>
                    </w:rPr>
                  </w:pPr>
                  <w:r>
                    <w:rPr>
                      <w:rFonts w:hint="eastAsia"/>
                      <w:color w:val="auto"/>
                      <w:szCs w:val="21"/>
                    </w:rPr>
                    <w:t>居民</w:t>
                  </w:r>
                </w:p>
              </w:tc>
              <w:tc>
                <w:tcPr>
                  <w:tcW w:w="505" w:type="pct"/>
                  <w:shd w:val="clear" w:color="auto" w:fill="auto"/>
                  <w:vAlign w:val="center"/>
                </w:tcPr>
                <w:p w14:paraId="173822EF">
                  <w:pPr>
                    <w:adjustRightInd w:val="0"/>
                    <w:snapToGrid w:val="0"/>
                    <w:jc w:val="center"/>
                    <w:rPr>
                      <w:color w:val="auto"/>
                      <w:szCs w:val="21"/>
                    </w:rPr>
                  </w:pPr>
                  <w:r>
                    <w:rPr>
                      <w:rFonts w:hint="eastAsia"/>
                      <w:color w:val="auto"/>
                      <w:szCs w:val="21"/>
                    </w:rPr>
                    <w:t>E</w:t>
                  </w:r>
                </w:p>
              </w:tc>
              <w:tc>
                <w:tcPr>
                  <w:tcW w:w="551" w:type="pct"/>
                  <w:shd w:val="clear" w:color="auto" w:fill="auto"/>
                  <w:vAlign w:val="center"/>
                </w:tcPr>
                <w:p w14:paraId="173822F0">
                  <w:pPr>
                    <w:adjustRightInd w:val="0"/>
                    <w:snapToGrid w:val="0"/>
                    <w:jc w:val="center"/>
                    <w:rPr>
                      <w:color w:val="auto"/>
                      <w:szCs w:val="21"/>
                    </w:rPr>
                  </w:pPr>
                  <w:r>
                    <w:rPr>
                      <w:rFonts w:hint="eastAsia"/>
                      <w:color w:val="auto"/>
                      <w:szCs w:val="21"/>
                    </w:rPr>
                    <w:t>18</w:t>
                  </w:r>
                </w:p>
              </w:tc>
              <w:tc>
                <w:tcPr>
                  <w:tcW w:w="1177" w:type="pct"/>
                  <w:vMerge w:val="restart"/>
                  <w:shd w:val="clear" w:color="auto" w:fill="auto"/>
                  <w:vAlign w:val="center"/>
                </w:tcPr>
                <w:p w14:paraId="173822F1">
                  <w:pPr>
                    <w:adjustRightInd w:val="0"/>
                    <w:snapToGrid w:val="0"/>
                    <w:jc w:val="center"/>
                    <w:rPr>
                      <w:color w:val="auto"/>
                      <w:szCs w:val="21"/>
                    </w:rPr>
                  </w:pPr>
                  <w:r>
                    <w:rPr>
                      <w:color w:val="auto"/>
                      <w:szCs w:val="21"/>
                    </w:rPr>
                    <w:t>《环境空气质量标准》（GB3095-2012）及修改单二级标准</w:t>
                  </w:r>
                </w:p>
              </w:tc>
            </w:tr>
            <w:tr w14:paraId="173822FB">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15" w:type="dxa"/>
                  <w:left w:w="15" w:type="dxa"/>
                  <w:bottom w:w="15" w:type="dxa"/>
                  <w:right w:w="15" w:type="dxa"/>
                </w:tblCellMar>
              </w:tblPrEx>
              <w:trPr>
                <w:trHeight w:val="340" w:hRule="atLeast"/>
                <w:jc w:val="center"/>
              </w:trPr>
              <w:tc>
                <w:tcPr>
                  <w:tcW w:w="305" w:type="pct"/>
                  <w:vMerge w:val="continue"/>
                  <w:shd w:val="clear" w:color="auto" w:fill="auto"/>
                  <w:vAlign w:val="center"/>
                </w:tcPr>
                <w:p w14:paraId="173822F3">
                  <w:pPr>
                    <w:adjustRightInd w:val="0"/>
                    <w:snapToGrid w:val="0"/>
                    <w:jc w:val="center"/>
                    <w:rPr>
                      <w:color w:val="auto"/>
                      <w:szCs w:val="21"/>
                    </w:rPr>
                  </w:pPr>
                </w:p>
              </w:tc>
              <w:tc>
                <w:tcPr>
                  <w:tcW w:w="649" w:type="pct"/>
                  <w:shd w:val="clear" w:color="auto" w:fill="auto"/>
                  <w:vAlign w:val="center"/>
                </w:tcPr>
                <w:p w14:paraId="173822F4">
                  <w:pPr>
                    <w:adjustRightInd w:val="0"/>
                    <w:snapToGrid w:val="0"/>
                    <w:jc w:val="center"/>
                    <w:rPr>
                      <w:color w:val="auto"/>
                      <w:szCs w:val="21"/>
                    </w:rPr>
                  </w:pPr>
                  <w:r>
                    <w:rPr>
                      <w:rFonts w:hint="eastAsia"/>
                      <w:color w:val="auto"/>
                      <w:szCs w:val="21"/>
                    </w:rPr>
                    <w:t>118.928192</w:t>
                  </w:r>
                </w:p>
              </w:tc>
              <w:tc>
                <w:tcPr>
                  <w:tcW w:w="583" w:type="pct"/>
                  <w:shd w:val="clear" w:color="auto" w:fill="auto"/>
                  <w:vAlign w:val="center"/>
                </w:tcPr>
                <w:p w14:paraId="173822F5">
                  <w:pPr>
                    <w:adjustRightInd w:val="0"/>
                    <w:snapToGrid w:val="0"/>
                    <w:jc w:val="center"/>
                    <w:rPr>
                      <w:color w:val="auto"/>
                      <w:szCs w:val="21"/>
                    </w:rPr>
                  </w:pPr>
                  <w:r>
                    <w:rPr>
                      <w:rFonts w:hint="eastAsia"/>
                      <w:color w:val="auto"/>
                      <w:szCs w:val="21"/>
                    </w:rPr>
                    <w:t>33.532101</w:t>
                  </w:r>
                </w:p>
              </w:tc>
              <w:tc>
                <w:tcPr>
                  <w:tcW w:w="594" w:type="pct"/>
                  <w:shd w:val="clear" w:color="auto" w:fill="auto"/>
                  <w:vAlign w:val="center"/>
                </w:tcPr>
                <w:p w14:paraId="173822F6">
                  <w:pPr>
                    <w:adjustRightInd w:val="0"/>
                    <w:snapToGrid w:val="0"/>
                    <w:jc w:val="center"/>
                    <w:rPr>
                      <w:color w:val="auto"/>
                      <w:szCs w:val="21"/>
                    </w:rPr>
                  </w:pPr>
                  <w:r>
                    <w:rPr>
                      <w:rFonts w:hint="eastAsia"/>
                      <w:color w:val="auto"/>
                      <w:szCs w:val="21"/>
                    </w:rPr>
                    <w:t>南坝头</w:t>
                  </w:r>
                </w:p>
              </w:tc>
              <w:tc>
                <w:tcPr>
                  <w:tcW w:w="632" w:type="pct"/>
                  <w:shd w:val="clear" w:color="auto" w:fill="auto"/>
                  <w:vAlign w:val="center"/>
                </w:tcPr>
                <w:p w14:paraId="173822F7">
                  <w:pPr>
                    <w:adjustRightInd w:val="0"/>
                    <w:snapToGrid w:val="0"/>
                    <w:jc w:val="center"/>
                    <w:rPr>
                      <w:color w:val="auto"/>
                      <w:szCs w:val="21"/>
                    </w:rPr>
                  </w:pPr>
                  <w:r>
                    <w:rPr>
                      <w:rFonts w:hint="eastAsia"/>
                      <w:color w:val="auto"/>
                      <w:szCs w:val="21"/>
                    </w:rPr>
                    <w:t>居民</w:t>
                  </w:r>
                </w:p>
              </w:tc>
              <w:tc>
                <w:tcPr>
                  <w:tcW w:w="505" w:type="pct"/>
                  <w:shd w:val="clear" w:color="auto" w:fill="auto"/>
                  <w:vAlign w:val="center"/>
                </w:tcPr>
                <w:p w14:paraId="173822F8">
                  <w:pPr>
                    <w:adjustRightInd w:val="0"/>
                    <w:snapToGrid w:val="0"/>
                    <w:jc w:val="center"/>
                    <w:rPr>
                      <w:color w:val="auto"/>
                      <w:szCs w:val="21"/>
                    </w:rPr>
                  </w:pPr>
                  <w:r>
                    <w:rPr>
                      <w:rFonts w:hint="eastAsia"/>
                      <w:color w:val="auto"/>
                      <w:szCs w:val="21"/>
                    </w:rPr>
                    <w:t>SE</w:t>
                  </w:r>
                </w:p>
              </w:tc>
              <w:tc>
                <w:tcPr>
                  <w:tcW w:w="551" w:type="pct"/>
                  <w:shd w:val="clear" w:color="auto" w:fill="auto"/>
                  <w:vAlign w:val="center"/>
                </w:tcPr>
                <w:p w14:paraId="173822F9">
                  <w:pPr>
                    <w:adjustRightInd w:val="0"/>
                    <w:snapToGrid w:val="0"/>
                    <w:jc w:val="center"/>
                    <w:rPr>
                      <w:color w:val="auto"/>
                      <w:szCs w:val="21"/>
                    </w:rPr>
                  </w:pPr>
                  <w:r>
                    <w:rPr>
                      <w:rFonts w:hint="eastAsia"/>
                      <w:color w:val="auto"/>
                      <w:szCs w:val="21"/>
                    </w:rPr>
                    <w:t>102</w:t>
                  </w:r>
                </w:p>
              </w:tc>
              <w:tc>
                <w:tcPr>
                  <w:tcW w:w="1177" w:type="pct"/>
                  <w:vMerge w:val="continue"/>
                  <w:shd w:val="clear" w:color="auto" w:fill="auto"/>
                  <w:vAlign w:val="center"/>
                </w:tcPr>
                <w:p w14:paraId="173822FA">
                  <w:pPr>
                    <w:adjustRightInd w:val="0"/>
                    <w:snapToGrid w:val="0"/>
                    <w:jc w:val="center"/>
                    <w:rPr>
                      <w:color w:val="auto"/>
                      <w:szCs w:val="21"/>
                    </w:rPr>
                  </w:pPr>
                </w:p>
              </w:tc>
            </w:tr>
            <w:tr w14:paraId="17382304">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15" w:type="dxa"/>
                  <w:left w:w="15" w:type="dxa"/>
                  <w:bottom w:w="15" w:type="dxa"/>
                  <w:right w:w="15" w:type="dxa"/>
                </w:tblCellMar>
              </w:tblPrEx>
              <w:trPr>
                <w:trHeight w:val="340" w:hRule="atLeast"/>
                <w:jc w:val="center"/>
              </w:trPr>
              <w:tc>
                <w:tcPr>
                  <w:tcW w:w="305" w:type="pct"/>
                  <w:vMerge w:val="continue"/>
                  <w:shd w:val="clear" w:color="auto" w:fill="auto"/>
                  <w:vAlign w:val="center"/>
                </w:tcPr>
                <w:p w14:paraId="173822FC">
                  <w:pPr>
                    <w:adjustRightInd w:val="0"/>
                    <w:snapToGrid w:val="0"/>
                    <w:jc w:val="center"/>
                    <w:rPr>
                      <w:color w:val="auto"/>
                      <w:szCs w:val="21"/>
                    </w:rPr>
                  </w:pPr>
                </w:p>
              </w:tc>
              <w:tc>
                <w:tcPr>
                  <w:tcW w:w="649" w:type="pct"/>
                  <w:shd w:val="clear" w:color="auto" w:fill="auto"/>
                  <w:vAlign w:val="center"/>
                </w:tcPr>
                <w:p w14:paraId="173822FD">
                  <w:pPr>
                    <w:adjustRightInd w:val="0"/>
                    <w:snapToGrid w:val="0"/>
                    <w:jc w:val="center"/>
                    <w:rPr>
                      <w:color w:val="auto"/>
                      <w:szCs w:val="21"/>
                    </w:rPr>
                  </w:pPr>
                  <w:r>
                    <w:rPr>
                      <w:rFonts w:hint="eastAsia"/>
                      <w:color w:val="auto"/>
                      <w:szCs w:val="21"/>
                    </w:rPr>
                    <w:t>118.933669</w:t>
                  </w:r>
                </w:p>
              </w:tc>
              <w:tc>
                <w:tcPr>
                  <w:tcW w:w="583" w:type="pct"/>
                  <w:shd w:val="clear" w:color="auto" w:fill="auto"/>
                  <w:vAlign w:val="center"/>
                </w:tcPr>
                <w:p w14:paraId="173822FE">
                  <w:pPr>
                    <w:adjustRightInd w:val="0"/>
                    <w:snapToGrid w:val="0"/>
                    <w:jc w:val="center"/>
                    <w:rPr>
                      <w:color w:val="auto"/>
                      <w:szCs w:val="21"/>
                    </w:rPr>
                  </w:pPr>
                  <w:r>
                    <w:rPr>
                      <w:rFonts w:hint="eastAsia"/>
                      <w:color w:val="auto"/>
                      <w:szCs w:val="21"/>
                    </w:rPr>
                    <w:t>33.535361</w:t>
                  </w:r>
                </w:p>
              </w:tc>
              <w:tc>
                <w:tcPr>
                  <w:tcW w:w="594" w:type="pct"/>
                  <w:shd w:val="clear" w:color="auto" w:fill="auto"/>
                  <w:vAlign w:val="center"/>
                </w:tcPr>
                <w:p w14:paraId="173822FF">
                  <w:pPr>
                    <w:adjustRightInd w:val="0"/>
                    <w:snapToGrid w:val="0"/>
                    <w:jc w:val="center"/>
                    <w:rPr>
                      <w:color w:val="auto"/>
                      <w:szCs w:val="21"/>
                    </w:rPr>
                  </w:pPr>
                  <w:r>
                    <w:rPr>
                      <w:rFonts w:hint="eastAsia"/>
                      <w:color w:val="auto"/>
                      <w:szCs w:val="21"/>
                    </w:rPr>
                    <w:t>米市</w:t>
                  </w:r>
                </w:p>
              </w:tc>
              <w:tc>
                <w:tcPr>
                  <w:tcW w:w="632" w:type="pct"/>
                  <w:shd w:val="clear" w:color="auto" w:fill="auto"/>
                  <w:vAlign w:val="center"/>
                </w:tcPr>
                <w:p w14:paraId="17382300">
                  <w:pPr>
                    <w:adjustRightInd w:val="0"/>
                    <w:snapToGrid w:val="0"/>
                    <w:jc w:val="center"/>
                    <w:rPr>
                      <w:color w:val="auto"/>
                      <w:szCs w:val="21"/>
                    </w:rPr>
                  </w:pPr>
                  <w:r>
                    <w:rPr>
                      <w:rFonts w:hint="eastAsia"/>
                      <w:color w:val="auto"/>
                      <w:szCs w:val="21"/>
                    </w:rPr>
                    <w:t>居民</w:t>
                  </w:r>
                </w:p>
              </w:tc>
              <w:tc>
                <w:tcPr>
                  <w:tcW w:w="505" w:type="pct"/>
                  <w:shd w:val="clear" w:color="auto" w:fill="auto"/>
                  <w:vAlign w:val="center"/>
                </w:tcPr>
                <w:p w14:paraId="17382301">
                  <w:pPr>
                    <w:adjustRightInd w:val="0"/>
                    <w:snapToGrid w:val="0"/>
                    <w:jc w:val="center"/>
                    <w:rPr>
                      <w:color w:val="auto"/>
                      <w:szCs w:val="21"/>
                    </w:rPr>
                  </w:pPr>
                  <w:r>
                    <w:rPr>
                      <w:rFonts w:hint="eastAsia"/>
                      <w:color w:val="auto"/>
                      <w:szCs w:val="21"/>
                    </w:rPr>
                    <w:t>NE</w:t>
                  </w:r>
                </w:p>
              </w:tc>
              <w:tc>
                <w:tcPr>
                  <w:tcW w:w="551" w:type="pct"/>
                  <w:shd w:val="clear" w:color="auto" w:fill="auto"/>
                  <w:vAlign w:val="center"/>
                </w:tcPr>
                <w:p w14:paraId="17382302">
                  <w:pPr>
                    <w:adjustRightInd w:val="0"/>
                    <w:snapToGrid w:val="0"/>
                    <w:jc w:val="center"/>
                    <w:rPr>
                      <w:color w:val="auto"/>
                      <w:szCs w:val="21"/>
                    </w:rPr>
                  </w:pPr>
                  <w:r>
                    <w:rPr>
                      <w:rFonts w:hint="eastAsia"/>
                      <w:color w:val="auto"/>
                      <w:szCs w:val="21"/>
                    </w:rPr>
                    <w:t>482</w:t>
                  </w:r>
                </w:p>
              </w:tc>
              <w:tc>
                <w:tcPr>
                  <w:tcW w:w="1177" w:type="pct"/>
                  <w:vMerge w:val="continue"/>
                  <w:shd w:val="clear" w:color="auto" w:fill="auto"/>
                  <w:vAlign w:val="center"/>
                </w:tcPr>
                <w:p w14:paraId="17382303">
                  <w:pPr>
                    <w:adjustRightInd w:val="0"/>
                    <w:snapToGrid w:val="0"/>
                    <w:jc w:val="center"/>
                    <w:rPr>
                      <w:color w:val="auto"/>
                      <w:szCs w:val="21"/>
                    </w:rPr>
                  </w:pPr>
                </w:p>
              </w:tc>
            </w:tr>
            <w:tr w14:paraId="1738230D">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15" w:type="dxa"/>
                  <w:left w:w="15" w:type="dxa"/>
                  <w:bottom w:w="15" w:type="dxa"/>
                  <w:right w:w="15" w:type="dxa"/>
                </w:tblCellMar>
              </w:tblPrEx>
              <w:trPr>
                <w:trHeight w:val="340" w:hRule="atLeast"/>
                <w:jc w:val="center"/>
              </w:trPr>
              <w:tc>
                <w:tcPr>
                  <w:tcW w:w="305" w:type="pct"/>
                  <w:vMerge w:val="continue"/>
                  <w:shd w:val="clear" w:color="auto" w:fill="auto"/>
                  <w:vAlign w:val="center"/>
                </w:tcPr>
                <w:p w14:paraId="17382305">
                  <w:pPr>
                    <w:adjustRightInd w:val="0"/>
                    <w:snapToGrid w:val="0"/>
                    <w:jc w:val="center"/>
                    <w:rPr>
                      <w:color w:val="auto"/>
                      <w:szCs w:val="21"/>
                    </w:rPr>
                  </w:pPr>
                </w:p>
              </w:tc>
              <w:tc>
                <w:tcPr>
                  <w:tcW w:w="649" w:type="pct"/>
                  <w:shd w:val="clear" w:color="auto" w:fill="auto"/>
                  <w:vAlign w:val="center"/>
                </w:tcPr>
                <w:p w14:paraId="17382306">
                  <w:pPr>
                    <w:adjustRightInd w:val="0"/>
                    <w:snapToGrid w:val="0"/>
                    <w:jc w:val="center"/>
                    <w:rPr>
                      <w:color w:val="auto"/>
                      <w:szCs w:val="21"/>
                    </w:rPr>
                  </w:pPr>
                  <w:r>
                    <w:rPr>
                      <w:rFonts w:hint="eastAsia"/>
                      <w:color w:val="auto"/>
                      <w:szCs w:val="21"/>
                    </w:rPr>
                    <w:t>118.932237</w:t>
                  </w:r>
                </w:p>
              </w:tc>
              <w:tc>
                <w:tcPr>
                  <w:tcW w:w="583" w:type="pct"/>
                  <w:shd w:val="clear" w:color="auto" w:fill="auto"/>
                  <w:vAlign w:val="center"/>
                </w:tcPr>
                <w:p w14:paraId="17382307">
                  <w:pPr>
                    <w:adjustRightInd w:val="0"/>
                    <w:snapToGrid w:val="0"/>
                    <w:jc w:val="center"/>
                    <w:rPr>
                      <w:color w:val="auto"/>
                      <w:szCs w:val="21"/>
                    </w:rPr>
                  </w:pPr>
                  <w:r>
                    <w:rPr>
                      <w:rFonts w:hint="eastAsia"/>
                      <w:color w:val="auto"/>
                      <w:szCs w:val="21"/>
                    </w:rPr>
                    <w:t>33.536872</w:t>
                  </w:r>
                </w:p>
              </w:tc>
              <w:tc>
                <w:tcPr>
                  <w:tcW w:w="594" w:type="pct"/>
                  <w:shd w:val="clear" w:color="auto" w:fill="auto"/>
                  <w:vAlign w:val="center"/>
                </w:tcPr>
                <w:p w14:paraId="17382308">
                  <w:pPr>
                    <w:adjustRightInd w:val="0"/>
                    <w:snapToGrid w:val="0"/>
                    <w:jc w:val="center"/>
                    <w:rPr>
                      <w:color w:val="auto"/>
                      <w:szCs w:val="21"/>
                    </w:rPr>
                  </w:pPr>
                  <w:r>
                    <w:rPr>
                      <w:rFonts w:hint="eastAsia"/>
                      <w:color w:val="auto"/>
                      <w:szCs w:val="21"/>
                    </w:rPr>
                    <w:t>荷芳苑</w:t>
                  </w:r>
                </w:p>
              </w:tc>
              <w:tc>
                <w:tcPr>
                  <w:tcW w:w="632" w:type="pct"/>
                  <w:shd w:val="clear" w:color="auto" w:fill="auto"/>
                  <w:vAlign w:val="center"/>
                </w:tcPr>
                <w:p w14:paraId="17382309">
                  <w:pPr>
                    <w:adjustRightInd w:val="0"/>
                    <w:snapToGrid w:val="0"/>
                    <w:jc w:val="center"/>
                    <w:rPr>
                      <w:color w:val="auto"/>
                      <w:szCs w:val="21"/>
                    </w:rPr>
                  </w:pPr>
                  <w:r>
                    <w:rPr>
                      <w:rFonts w:hint="eastAsia"/>
                      <w:color w:val="auto"/>
                      <w:szCs w:val="21"/>
                    </w:rPr>
                    <w:t>居民</w:t>
                  </w:r>
                </w:p>
              </w:tc>
              <w:tc>
                <w:tcPr>
                  <w:tcW w:w="505" w:type="pct"/>
                  <w:shd w:val="clear" w:color="auto" w:fill="auto"/>
                  <w:vAlign w:val="center"/>
                </w:tcPr>
                <w:p w14:paraId="1738230A">
                  <w:pPr>
                    <w:adjustRightInd w:val="0"/>
                    <w:snapToGrid w:val="0"/>
                    <w:jc w:val="center"/>
                    <w:rPr>
                      <w:color w:val="auto"/>
                      <w:szCs w:val="21"/>
                    </w:rPr>
                  </w:pPr>
                  <w:r>
                    <w:rPr>
                      <w:rFonts w:hint="eastAsia"/>
                      <w:color w:val="auto"/>
                      <w:szCs w:val="21"/>
                    </w:rPr>
                    <w:t>NE</w:t>
                  </w:r>
                </w:p>
              </w:tc>
              <w:tc>
                <w:tcPr>
                  <w:tcW w:w="551" w:type="pct"/>
                  <w:shd w:val="clear" w:color="auto" w:fill="auto"/>
                  <w:vAlign w:val="center"/>
                </w:tcPr>
                <w:p w14:paraId="1738230B">
                  <w:pPr>
                    <w:adjustRightInd w:val="0"/>
                    <w:snapToGrid w:val="0"/>
                    <w:jc w:val="center"/>
                    <w:rPr>
                      <w:color w:val="auto"/>
                      <w:szCs w:val="21"/>
                    </w:rPr>
                  </w:pPr>
                  <w:r>
                    <w:rPr>
                      <w:rFonts w:hint="eastAsia"/>
                      <w:color w:val="auto"/>
                      <w:szCs w:val="21"/>
                    </w:rPr>
                    <w:t>472</w:t>
                  </w:r>
                </w:p>
              </w:tc>
              <w:tc>
                <w:tcPr>
                  <w:tcW w:w="1177" w:type="pct"/>
                  <w:vMerge w:val="continue"/>
                  <w:shd w:val="clear" w:color="auto" w:fill="auto"/>
                  <w:vAlign w:val="center"/>
                </w:tcPr>
                <w:p w14:paraId="1738230C">
                  <w:pPr>
                    <w:adjustRightInd w:val="0"/>
                    <w:snapToGrid w:val="0"/>
                    <w:jc w:val="center"/>
                    <w:rPr>
                      <w:color w:val="auto"/>
                      <w:szCs w:val="21"/>
                    </w:rPr>
                  </w:pPr>
                </w:p>
              </w:tc>
            </w:tr>
            <w:tr w14:paraId="17382316">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15" w:type="dxa"/>
                  <w:left w:w="15" w:type="dxa"/>
                  <w:bottom w:w="15" w:type="dxa"/>
                  <w:right w:w="15" w:type="dxa"/>
                </w:tblCellMar>
              </w:tblPrEx>
              <w:trPr>
                <w:trHeight w:val="340" w:hRule="atLeast"/>
                <w:jc w:val="center"/>
              </w:trPr>
              <w:tc>
                <w:tcPr>
                  <w:tcW w:w="305" w:type="pct"/>
                  <w:shd w:val="clear" w:color="auto" w:fill="auto"/>
                  <w:vAlign w:val="center"/>
                </w:tcPr>
                <w:p w14:paraId="1738230E">
                  <w:pPr>
                    <w:adjustRightInd w:val="0"/>
                    <w:snapToGrid w:val="0"/>
                    <w:jc w:val="center"/>
                    <w:rPr>
                      <w:color w:val="auto"/>
                      <w:szCs w:val="21"/>
                    </w:rPr>
                  </w:pPr>
                  <w:r>
                    <w:rPr>
                      <w:color w:val="auto"/>
                      <w:szCs w:val="21"/>
                    </w:rPr>
                    <w:t>声环境</w:t>
                  </w:r>
                </w:p>
              </w:tc>
              <w:tc>
                <w:tcPr>
                  <w:tcW w:w="649" w:type="pct"/>
                  <w:shd w:val="clear" w:color="auto" w:fill="auto"/>
                  <w:vAlign w:val="center"/>
                </w:tcPr>
                <w:p w14:paraId="1738230F">
                  <w:pPr>
                    <w:adjustRightInd w:val="0"/>
                    <w:snapToGrid w:val="0"/>
                    <w:jc w:val="center"/>
                    <w:rPr>
                      <w:color w:val="auto"/>
                      <w:szCs w:val="21"/>
                    </w:rPr>
                  </w:pPr>
                  <w:r>
                    <w:rPr>
                      <w:rFonts w:hint="eastAsia"/>
                      <w:color w:val="auto"/>
                      <w:szCs w:val="21"/>
                    </w:rPr>
                    <w:t>118.929043</w:t>
                  </w:r>
                </w:p>
              </w:tc>
              <w:tc>
                <w:tcPr>
                  <w:tcW w:w="583" w:type="pct"/>
                  <w:shd w:val="clear" w:color="auto" w:fill="auto"/>
                  <w:vAlign w:val="center"/>
                </w:tcPr>
                <w:p w14:paraId="17382310">
                  <w:pPr>
                    <w:adjustRightInd w:val="0"/>
                    <w:snapToGrid w:val="0"/>
                    <w:jc w:val="center"/>
                    <w:rPr>
                      <w:color w:val="auto"/>
                      <w:szCs w:val="21"/>
                    </w:rPr>
                  </w:pPr>
                  <w:r>
                    <w:rPr>
                      <w:rFonts w:hint="eastAsia"/>
                      <w:color w:val="auto"/>
                      <w:szCs w:val="21"/>
                    </w:rPr>
                    <w:t>33.533022</w:t>
                  </w:r>
                </w:p>
              </w:tc>
              <w:tc>
                <w:tcPr>
                  <w:tcW w:w="594" w:type="pct"/>
                  <w:shd w:val="clear" w:color="auto" w:fill="auto"/>
                  <w:vAlign w:val="center"/>
                </w:tcPr>
                <w:p w14:paraId="17382311">
                  <w:pPr>
                    <w:adjustRightInd w:val="0"/>
                    <w:snapToGrid w:val="0"/>
                    <w:jc w:val="center"/>
                    <w:rPr>
                      <w:color w:val="auto"/>
                      <w:szCs w:val="21"/>
                    </w:rPr>
                  </w:pPr>
                  <w:r>
                    <w:rPr>
                      <w:rFonts w:hint="eastAsia"/>
                      <w:color w:val="auto"/>
                      <w:szCs w:val="21"/>
                    </w:rPr>
                    <w:t>张庄镇</w:t>
                  </w:r>
                </w:p>
              </w:tc>
              <w:tc>
                <w:tcPr>
                  <w:tcW w:w="632" w:type="pct"/>
                  <w:shd w:val="clear" w:color="auto" w:fill="auto"/>
                  <w:vAlign w:val="center"/>
                </w:tcPr>
                <w:p w14:paraId="17382312">
                  <w:pPr>
                    <w:adjustRightInd w:val="0"/>
                    <w:snapToGrid w:val="0"/>
                    <w:jc w:val="center"/>
                    <w:rPr>
                      <w:color w:val="auto"/>
                      <w:szCs w:val="21"/>
                    </w:rPr>
                  </w:pPr>
                  <w:r>
                    <w:rPr>
                      <w:rFonts w:hint="eastAsia"/>
                      <w:color w:val="auto"/>
                      <w:szCs w:val="21"/>
                    </w:rPr>
                    <w:t>居民</w:t>
                  </w:r>
                </w:p>
              </w:tc>
              <w:tc>
                <w:tcPr>
                  <w:tcW w:w="505" w:type="pct"/>
                  <w:shd w:val="clear" w:color="auto" w:fill="auto"/>
                  <w:vAlign w:val="center"/>
                </w:tcPr>
                <w:p w14:paraId="17382313">
                  <w:pPr>
                    <w:adjustRightInd w:val="0"/>
                    <w:snapToGrid w:val="0"/>
                    <w:jc w:val="center"/>
                    <w:rPr>
                      <w:color w:val="auto"/>
                      <w:szCs w:val="21"/>
                    </w:rPr>
                  </w:pPr>
                  <w:r>
                    <w:rPr>
                      <w:rFonts w:hint="eastAsia"/>
                      <w:color w:val="auto"/>
                      <w:szCs w:val="21"/>
                    </w:rPr>
                    <w:t>E</w:t>
                  </w:r>
                </w:p>
              </w:tc>
              <w:tc>
                <w:tcPr>
                  <w:tcW w:w="551" w:type="pct"/>
                  <w:shd w:val="clear" w:color="auto" w:fill="auto"/>
                  <w:vAlign w:val="center"/>
                </w:tcPr>
                <w:p w14:paraId="17382314">
                  <w:pPr>
                    <w:adjustRightInd w:val="0"/>
                    <w:snapToGrid w:val="0"/>
                    <w:jc w:val="center"/>
                    <w:rPr>
                      <w:color w:val="auto"/>
                      <w:szCs w:val="21"/>
                    </w:rPr>
                  </w:pPr>
                  <w:r>
                    <w:rPr>
                      <w:rFonts w:hint="eastAsia"/>
                      <w:color w:val="auto"/>
                      <w:szCs w:val="21"/>
                    </w:rPr>
                    <w:t>18</w:t>
                  </w:r>
                </w:p>
              </w:tc>
              <w:tc>
                <w:tcPr>
                  <w:tcW w:w="1177" w:type="pct"/>
                  <w:shd w:val="clear" w:color="auto" w:fill="auto"/>
                  <w:vAlign w:val="center"/>
                </w:tcPr>
                <w:p w14:paraId="17382315">
                  <w:pPr>
                    <w:adjustRightInd w:val="0"/>
                    <w:snapToGrid w:val="0"/>
                    <w:jc w:val="center"/>
                    <w:rPr>
                      <w:color w:val="auto"/>
                      <w:szCs w:val="21"/>
                    </w:rPr>
                  </w:pPr>
                  <w:r>
                    <w:rPr>
                      <w:rFonts w:hint="eastAsia"/>
                      <w:color w:val="auto"/>
                      <w:szCs w:val="21"/>
                    </w:rPr>
                    <w:t>《声环境质量标准》（GB3096-2008）2类</w:t>
                  </w:r>
                </w:p>
              </w:tc>
            </w:tr>
            <w:tr w14:paraId="17382319">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15" w:type="dxa"/>
                  <w:left w:w="15" w:type="dxa"/>
                  <w:bottom w:w="15" w:type="dxa"/>
                  <w:right w:w="15" w:type="dxa"/>
                </w:tblCellMar>
              </w:tblPrEx>
              <w:trPr>
                <w:trHeight w:val="340" w:hRule="atLeast"/>
                <w:jc w:val="center"/>
              </w:trPr>
              <w:tc>
                <w:tcPr>
                  <w:tcW w:w="1538" w:type="pct"/>
                  <w:gridSpan w:val="3"/>
                  <w:shd w:val="clear" w:color="auto" w:fill="auto"/>
                  <w:vAlign w:val="center"/>
                </w:tcPr>
                <w:p w14:paraId="17382317">
                  <w:pPr>
                    <w:adjustRightInd w:val="0"/>
                    <w:snapToGrid w:val="0"/>
                    <w:jc w:val="center"/>
                    <w:rPr>
                      <w:color w:val="auto"/>
                      <w:szCs w:val="21"/>
                    </w:rPr>
                  </w:pPr>
                  <w:r>
                    <w:rPr>
                      <w:color w:val="auto"/>
                      <w:szCs w:val="21"/>
                    </w:rPr>
                    <w:t>地下水环境</w:t>
                  </w:r>
                </w:p>
              </w:tc>
              <w:tc>
                <w:tcPr>
                  <w:tcW w:w="3461" w:type="pct"/>
                  <w:gridSpan w:val="5"/>
                  <w:shd w:val="clear" w:color="auto" w:fill="auto"/>
                  <w:vAlign w:val="center"/>
                </w:tcPr>
                <w:p w14:paraId="17382318">
                  <w:pPr>
                    <w:adjustRightInd w:val="0"/>
                    <w:snapToGrid w:val="0"/>
                    <w:jc w:val="center"/>
                    <w:rPr>
                      <w:color w:val="auto"/>
                      <w:szCs w:val="21"/>
                    </w:rPr>
                  </w:pPr>
                  <w:r>
                    <w:rPr>
                      <w:rFonts w:hint="eastAsia"/>
                      <w:color w:val="auto"/>
                      <w:szCs w:val="21"/>
                    </w:rPr>
                    <w:t>厂界外500米范围内无地下水集中式饮用水水源和热水、矿泉水、温泉等特殊地下水资源</w:t>
                  </w:r>
                </w:p>
              </w:tc>
            </w:tr>
            <w:tr w14:paraId="1738231C">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15" w:type="dxa"/>
                  <w:left w:w="15" w:type="dxa"/>
                  <w:bottom w:w="15" w:type="dxa"/>
                  <w:right w:w="15" w:type="dxa"/>
                </w:tblCellMar>
              </w:tblPrEx>
              <w:trPr>
                <w:trHeight w:val="340" w:hRule="atLeast"/>
                <w:jc w:val="center"/>
              </w:trPr>
              <w:tc>
                <w:tcPr>
                  <w:tcW w:w="1538" w:type="pct"/>
                  <w:gridSpan w:val="3"/>
                  <w:shd w:val="clear" w:color="auto" w:fill="auto"/>
                  <w:vAlign w:val="center"/>
                </w:tcPr>
                <w:p w14:paraId="1738231A">
                  <w:pPr>
                    <w:adjustRightInd w:val="0"/>
                    <w:snapToGrid w:val="0"/>
                    <w:jc w:val="center"/>
                    <w:rPr>
                      <w:color w:val="auto"/>
                      <w:szCs w:val="21"/>
                    </w:rPr>
                  </w:pPr>
                  <w:r>
                    <w:rPr>
                      <w:color w:val="auto"/>
                      <w:szCs w:val="21"/>
                    </w:rPr>
                    <w:t>生态环境</w:t>
                  </w:r>
                </w:p>
              </w:tc>
              <w:tc>
                <w:tcPr>
                  <w:tcW w:w="3461" w:type="pct"/>
                  <w:gridSpan w:val="5"/>
                  <w:shd w:val="clear" w:color="auto" w:fill="auto"/>
                  <w:vAlign w:val="center"/>
                </w:tcPr>
                <w:p w14:paraId="1738231B">
                  <w:pPr>
                    <w:autoSpaceDE w:val="0"/>
                    <w:autoSpaceDN w:val="0"/>
                    <w:adjustRightInd w:val="0"/>
                    <w:jc w:val="center"/>
                    <w:rPr>
                      <w:color w:val="auto"/>
                      <w:szCs w:val="21"/>
                    </w:rPr>
                  </w:pPr>
                  <w:r>
                    <w:rPr>
                      <w:rFonts w:hint="eastAsia"/>
                      <w:color w:val="auto"/>
                      <w:szCs w:val="21"/>
                    </w:rPr>
                    <w:t>项目周边无生态环境保护目标</w:t>
                  </w:r>
                </w:p>
              </w:tc>
            </w:tr>
          </w:tbl>
          <w:p w14:paraId="1738231D">
            <w:pPr>
              <w:adjustRightInd w:val="0"/>
              <w:snapToGrid w:val="0"/>
              <w:rPr>
                <w:color w:val="auto"/>
                <w:kern w:val="0"/>
                <w:sz w:val="24"/>
              </w:rPr>
            </w:pPr>
          </w:p>
        </w:tc>
      </w:tr>
      <w:tr w14:paraId="173823B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6" w:type="dxa"/>
            <w:tcMar>
              <w:left w:w="28" w:type="dxa"/>
              <w:right w:w="28" w:type="dxa"/>
            </w:tcMar>
            <w:vAlign w:val="center"/>
          </w:tcPr>
          <w:p w14:paraId="1738231F">
            <w:pPr>
              <w:adjustRightInd w:val="0"/>
              <w:snapToGrid w:val="0"/>
              <w:jc w:val="center"/>
              <w:rPr>
                <w:color w:val="auto"/>
                <w:kern w:val="0"/>
                <w:sz w:val="24"/>
              </w:rPr>
            </w:pPr>
            <w:r>
              <w:rPr>
                <w:color w:val="auto"/>
                <w:kern w:val="0"/>
                <w:sz w:val="24"/>
              </w:rPr>
              <w:t>污染</w:t>
            </w:r>
          </w:p>
          <w:p w14:paraId="17382320">
            <w:pPr>
              <w:adjustRightInd w:val="0"/>
              <w:snapToGrid w:val="0"/>
              <w:jc w:val="center"/>
              <w:rPr>
                <w:color w:val="auto"/>
                <w:kern w:val="0"/>
                <w:sz w:val="24"/>
              </w:rPr>
            </w:pPr>
            <w:r>
              <w:rPr>
                <w:color w:val="auto"/>
                <w:kern w:val="0"/>
                <w:sz w:val="24"/>
              </w:rPr>
              <w:t>物排</w:t>
            </w:r>
          </w:p>
          <w:p w14:paraId="17382321">
            <w:pPr>
              <w:adjustRightInd w:val="0"/>
              <w:snapToGrid w:val="0"/>
              <w:jc w:val="center"/>
              <w:rPr>
                <w:color w:val="auto"/>
                <w:kern w:val="0"/>
                <w:sz w:val="24"/>
              </w:rPr>
            </w:pPr>
            <w:r>
              <w:rPr>
                <w:color w:val="auto"/>
                <w:kern w:val="0"/>
                <w:sz w:val="24"/>
              </w:rPr>
              <w:t>放控</w:t>
            </w:r>
          </w:p>
          <w:p w14:paraId="17382322">
            <w:pPr>
              <w:adjustRightInd w:val="0"/>
              <w:snapToGrid w:val="0"/>
              <w:jc w:val="center"/>
              <w:rPr>
                <w:color w:val="auto"/>
                <w:kern w:val="0"/>
                <w:sz w:val="24"/>
              </w:rPr>
            </w:pPr>
            <w:r>
              <w:rPr>
                <w:color w:val="auto"/>
                <w:kern w:val="0"/>
                <w:sz w:val="24"/>
              </w:rPr>
              <w:t>制标</w:t>
            </w:r>
          </w:p>
          <w:p w14:paraId="17382323">
            <w:pPr>
              <w:adjustRightInd w:val="0"/>
              <w:snapToGrid w:val="0"/>
              <w:jc w:val="center"/>
              <w:rPr>
                <w:color w:val="auto"/>
                <w:kern w:val="0"/>
                <w:sz w:val="24"/>
              </w:rPr>
            </w:pPr>
            <w:r>
              <w:rPr>
                <w:color w:val="auto"/>
                <w:kern w:val="0"/>
                <w:sz w:val="24"/>
              </w:rPr>
              <w:t>准</w:t>
            </w:r>
          </w:p>
        </w:tc>
        <w:tc>
          <w:tcPr>
            <w:tcW w:w="8408" w:type="dxa"/>
            <w:vAlign w:val="center"/>
          </w:tcPr>
          <w:p w14:paraId="17382324">
            <w:pPr>
              <w:adjustRightInd w:val="0"/>
              <w:snapToGrid w:val="0"/>
              <w:spacing w:line="360" w:lineRule="auto"/>
              <w:ind w:firstLine="482" w:firstLineChars="200"/>
              <w:rPr>
                <w:b/>
                <w:color w:val="auto"/>
                <w:sz w:val="24"/>
              </w:rPr>
            </w:pPr>
            <w:bookmarkStart w:id="5" w:name="_Ref185522486"/>
            <w:bookmarkStart w:id="6" w:name="_Ref185577499"/>
            <w:r>
              <w:rPr>
                <w:b/>
                <w:color w:val="auto"/>
                <w:sz w:val="24"/>
              </w:rPr>
              <w:t>1、大气污染排放标准</w:t>
            </w:r>
          </w:p>
          <w:p w14:paraId="17382325">
            <w:pPr>
              <w:pStyle w:val="81"/>
              <w:adjustRightInd w:val="0"/>
              <w:snapToGrid w:val="0"/>
              <w:spacing w:before="0" w:beforeAutospacing="0" w:after="0" w:afterAutospacing="0" w:line="360" w:lineRule="auto"/>
              <w:ind w:firstLine="480" w:firstLineChars="200"/>
              <w:jc w:val="both"/>
              <w:rPr>
                <w:rFonts w:ascii="Times New Roman" w:hAnsi="Times New Roman"/>
                <w:color w:val="auto"/>
                <w:lang w:val="en-US"/>
              </w:rPr>
            </w:pPr>
            <w:bookmarkStart w:id="7" w:name="_Hlk111150977"/>
            <w:r>
              <w:rPr>
                <w:rFonts w:ascii="Times New Roman" w:hAnsi="Times New Roman"/>
                <w:color w:val="auto"/>
                <w:lang w:val="en-US"/>
              </w:rPr>
              <w:t>本项目投料、搅拌、浸纱、注塑工序产生的有组织废气颗粒物、非甲烷总烃、苯乙烯执行《合成树脂工业污染物排放标准》（GB31572-2015）表5大气污染物特别排放限值</w:t>
            </w:r>
            <w:bookmarkStart w:id="8" w:name="_Hlk112103864"/>
            <w:r>
              <w:rPr>
                <w:rFonts w:ascii="Times New Roman" w:hAnsi="Times New Roman"/>
                <w:color w:val="auto"/>
                <w:lang w:val="en-US"/>
              </w:rPr>
              <w:t>；</w:t>
            </w:r>
            <w:r>
              <w:rPr>
                <w:rFonts w:hint="eastAsia" w:ascii="Times New Roman" w:hAnsi="Times New Roman"/>
                <w:color w:val="auto"/>
                <w:lang w:val="en-US"/>
              </w:rPr>
              <w:t>固化、喷塑、抛丸、抛光工序产生的有组织废气颗粒物、非甲烷总烃执行</w:t>
            </w:r>
            <w:r>
              <w:rPr>
                <w:rFonts w:ascii="Times New Roman" w:hAnsi="Times New Roman"/>
                <w:color w:val="auto"/>
                <w:lang w:val="en-US"/>
              </w:rPr>
              <w:t>江苏省地方标准《工业涂装工序大气污染物排放标准》（DB32/4439-2022）表 1 大气污染物排放限值</w:t>
            </w:r>
            <w:r>
              <w:rPr>
                <w:rFonts w:hint="eastAsia" w:ascii="Times New Roman" w:hAnsi="Times New Roman"/>
                <w:color w:val="auto"/>
                <w:lang w:val="en-US"/>
              </w:rPr>
              <w:t>。</w:t>
            </w:r>
          </w:p>
          <w:p w14:paraId="17382326">
            <w:pPr>
              <w:pStyle w:val="81"/>
              <w:adjustRightInd w:val="0"/>
              <w:snapToGrid w:val="0"/>
              <w:spacing w:before="0" w:beforeAutospacing="0" w:after="0" w:afterAutospacing="0" w:line="360" w:lineRule="auto"/>
              <w:ind w:firstLine="480" w:firstLineChars="200"/>
              <w:jc w:val="both"/>
              <w:rPr>
                <w:rFonts w:ascii="Times New Roman" w:hAnsi="Times New Roman"/>
                <w:color w:val="auto"/>
                <w:lang w:val="en-US"/>
              </w:rPr>
            </w:pPr>
            <w:r>
              <w:rPr>
                <w:rFonts w:ascii="Times New Roman" w:hAnsi="Times New Roman"/>
                <w:color w:val="auto"/>
                <w:lang w:val="en-US"/>
              </w:rPr>
              <w:t>厂界无组织颗粒物、非甲烷总烃执行《合成树脂工业污染物排放标准》（</w:t>
            </w:r>
            <w:r>
              <w:rPr>
                <w:rFonts w:hint="eastAsia" w:ascii="Times New Roman" w:hAnsi="Times New Roman"/>
                <w:color w:val="auto"/>
                <w:lang w:val="en-US"/>
              </w:rPr>
              <w:t>GB31572-2015）</w:t>
            </w:r>
            <w:r>
              <w:rPr>
                <w:rFonts w:ascii="Times New Roman" w:hAnsi="Times New Roman"/>
                <w:color w:val="auto"/>
                <w:lang w:val="en-US"/>
              </w:rPr>
              <w:t>表9</w:t>
            </w:r>
            <w:r>
              <w:rPr>
                <w:rFonts w:hint="eastAsia" w:ascii="Times New Roman" w:hAnsi="Times New Roman"/>
                <w:color w:val="auto"/>
                <w:lang w:val="en-US"/>
              </w:rPr>
              <w:t>企业边界大气污染物浓度</w:t>
            </w:r>
            <w:r>
              <w:rPr>
                <w:rFonts w:ascii="Times New Roman" w:hAnsi="Times New Roman"/>
                <w:color w:val="auto"/>
                <w:lang w:val="en-US"/>
              </w:rPr>
              <w:t>限值</w:t>
            </w:r>
            <w:r>
              <w:rPr>
                <w:rFonts w:hint="eastAsia" w:ascii="Times New Roman" w:hAnsi="Times New Roman"/>
                <w:color w:val="auto"/>
                <w:lang w:val="en-US"/>
              </w:rPr>
              <w:t>及</w:t>
            </w:r>
            <w:r>
              <w:rPr>
                <w:rFonts w:ascii="Times New Roman" w:hAnsi="Times New Roman"/>
                <w:color w:val="auto"/>
                <w:lang w:val="en-US"/>
              </w:rPr>
              <w:t>江苏省地方标准《大气污染物综合排放标准》（DB32/4041-2021）表 3 单位边界大气污染物排放监控浓度限值。苯乙烯执行《恶臭污染物排放标准》（GB14554-93）表1恶臭污染物厂界标准值中二级新改扩建标准</w:t>
            </w:r>
            <w:r>
              <w:rPr>
                <w:rFonts w:hint="eastAsia" w:ascii="Times New Roman" w:hAnsi="Times New Roman"/>
                <w:color w:val="auto"/>
                <w:lang w:val="en-US"/>
              </w:rPr>
              <w:t>。</w:t>
            </w:r>
          </w:p>
          <w:p w14:paraId="3A95A10F">
            <w:pPr>
              <w:pStyle w:val="81"/>
              <w:adjustRightInd w:val="0"/>
              <w:snapToGrid w:val="0"/>
              <w:spacing w:before="0" w:beforeAutospacing="0" w:after="0" w:afterAutospacing="0" w:line="360" w:lineRule="auto"/>
              <w:ind w:firstLine="480" w:firstLineChars="200"/>
              <w:jc w:val="both"/>
              <w:rPr>
                <w:rFonts w:ascii="Times New Roman" w:hAnsi="Times New Roman"/>
                <w:color w:val="auto"/>
                <w:lang w:val="en-US"/>
              </w:rPr>
            </w:pPr>
            <w:r>
              <w:rPr>
                <w:rFonts w:ascii="Times New Roman" w:hAnsi="Times New Roman"/>
                <w:color w:val="auto"/>
                <w:lang w:val="en-US"/>
              </w:rPr>
              <w:t>厂区内非甲烷总烃无组织排放执行江苏省地方标准《工业涂装工序大气污染物排放标准》（DB32/4439-2022）表3中相应标准</w:t>
            </w:r>
            <w:r>
              <w:rPr>
                <w:rFonts w:hint="eastAsia" w:ascii="Times New Roman" w:hAnsi="Times New Roman"/>
                <w:color w:val="auto"/>
                <w:lang w:val="en-US"/>
              </w:rPr>
              <w:t>及</w:t>
            </w:r>
            <w:r>
              <w:rPr>
                <w:rFonts w:ascii="Times New Roman" w:hAnsi="Times New Roman"/>
                <w:color w:val="auto"/>
                <w:lang w:val="en-US"/>
              </w:rPr>
              <w:t>江苏省地方标准</w:t>
            </w:r>
            <w:r>
              <w:rPr>
                <w:rFonts w:hint="eastAsia" w:ascii="Times New Roman" w:hAnsi="Times New Roman"/>
                <w:color w:val="auto"/>
                <w:lang w:val="en-US"/>
              </w:rPr>
              <w:t>《大气污染物综合排放标准》（DB32/4041-2021）</w:t>
            </w:r>
            <w:r>
              <w:rPr>
                <w:rFonts w:ascii="Times New Roman" w:hAnsi="Times New Roman"/>
                <w:color w:val="auto"/>
                <w:lang w:val="en-US"/>
              </w:rPr>
              <w:t>表</w:t>
            </w:r>
            <w:r>
              <w:rPr>
                <w:rFonts w:hint="eastAsia" w:ascii="Times New Roman" w:hAnsi="Times New Roman"/>
                <w:color w:val="auto"/>
                <w:lang w:val="en-US"/>
              </w:rPr>
              <w:t>2</w:t>
            </w:r>
            <w:r>
              <w:rPr>
                <w:rFonts w:ascii="Times New Roman" w:hAnsi="Times New Roman"/>
                <w:color w:val="auto"/>
                <w:lang w:val="en-US"/>
              </w:rPr>
              <w:t>中相应标准，</w:t>
            </w:r>
            <w:bookmarkEnd w:id="8"/>
            <w:r>
              <w:rPr>
                <w:rFonts w:ascii="Times New Roman" w:hAnsi="Times New Roman"/>
                <w:color w:val="auto"/>
                <w:lang w:val="en-US"/>
              </w:rPr>
              <w:t>具体标准值见表3-</w:t>
            </w:r>
            <w:r>
              <w:rPr>
                <w:rFonts w:hint="eastAsia" w:ascii="Times New Roman" w:hAnsi="Times New Roman"/>
                <w:color w:val="auto"/>
                <w:lang w:val="en-US"/>
              </w:rPr>
              <w:t>3</w:t>
            </w:r>
            <w:r>
              <w:rPr>
                <w:rFonts w:ascii="Times New Roman" w:hAnsi="Times New Roman"/>
                <w:color w:val="auto"/>
                <w:lang w:val="en-US"/>
              </w:rPr>
              <w:t>到3-</w:t>
            </w:r>
            <w:bookmarkEnd w:id="7"/>
            <w:r>
              <w:rPr>
                <w:rFonts w:hint="eastAsia" w:ascii="Times New Roman" w:hAnsi="Times New Roman"/>
                <w:color w:val="auto"/>
                <w:lang w:val="en-US"/>
              </w:rPr>
              <w:t>5</w:t>
            </w:r>
            <w:r>
              <w:rPr>
                <w:rFonts w:ascii="Times New Roman" w:hAnsi="Times New Roman"/>
                <w:color w:val="auto"/>
                <w:lang w:val="en-US"/>
              </w:rPr>
              <w:t>。</w:t>
            </w:r>
          </w:p>
          <w:p w14:paraId="17382327">
            <w:pPr>
              <w:widowControl/>
              <w:snapToGrid w:val="0"/>
              <w:jc w:val="center"/>
              <w:rPr>
                <w:rFonts w:hint="eastAsia" w:ascii="Times New Roman" w:hAnsi="Times New Roman" w:eastAsia="宋体" w:cs="Times New Roman"/>
                <w:b/>
                <w:color w:val="auto"/>
                <w:sz w:val="24"/>
              </w:rPr>
            </w:pPr>
            <w:r>
              <w:rPr>
                <w:rFonts w:hint="eastAsia" w:ascii="Times New Roman" w:hAnsi="Times New Roman" w:eastAsia="宋体" w:cs="Times New Roman"/>
                <w:b/>
                <w:color w:val="auto"/>
                <w:sz w:val="24"/>
              </w:rPr>
              <w:t>表3-3 有组织大气污染物排放标准</w:t>
            </w:r>
          </w:p>
          <w:tbl>
            <w:tblPr>
              <w:tblStyle w:val="88"/>
              <w:tblW w:w="8455"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7" w:type="dxa"/>
                <w:bottom w:w="0" w:type="dxa"/>
                <w:right w:w="17" w:type="dxa"/>
              </w:tblCellMar>
            </w:tblPr>
            <w:tblGrid>
              <w:gridCol w:w="1242"/>
              <w:gridCol w:w="1244"/>
              <w:gridCol w:w="1331"/>
              <w:gridCol w:w="1416"/>
              <w:gridCol w:w="867"/>
              <w:gridCol w:w="2355"/>
            </w:tblGrid>
            <w:tr w14:paraId="1738232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tblHeader/>
                <w:jc w:val="center"/>
              </w:trPr>
              <w:tc>
                <w:tcPr>
                  <w:tcW w:w="1242" w:type="dxa"/>
                  <w:vMerge w:val="restart"/>
                  <w:shd w:val="clear" w:color="auto" w:fill="auto"/>
                  <w:vAlign w:val="center"/>
                </w:tcPr>
                <w:p w14:paraId="17382329">
                  <w:pPr>
                    <w:adjustRightInd w:val="0"/>
                    <w:snapToGrid w:val="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工段</w:t>
                  </w:r>
                </w:p>
              </w:tc>
              <w:tc>
                <w:tcPr>
                  <w:tcW w:w="1244" w:type="dxa"/>
                  <w:vMerge w:val="restart"/>
                  <w:shd w:val="clear" w:color="auto" w:fill="auto"/>
                  <w:vAlign w:val="center"/>
                </w:tcPr>
                <w:p w14:paraId="1738232A">
                  <w:pPr>
                    <w:adjustRightInd w:val="0"/>
                    <w:snapToGrid w:val="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指标</w:t>
                  </w:r>
                </w:p>
              </w:tc>
              <w:tc>
                <w:tcPr>
                  <w:tcW w:w="1331" w:type="dxa"/>
                  <w:vMerge w:val="restart"/>
                  <w:shd w:val="clear" w:color="auto" w:fill="auto"/>
                  <w:vAlign w:val="center"/>
                </w:tcPr>
                <w:p w14:paraId="1738232B">
                  <w:pPr>
                    <w:adjustRightInd w:val="0"/>
                    <w:snapToGrid w:val="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最高允许排放浓度（mg/m</w:t>
                  </w:r>
                  <w:r>
                    <w:rPr>
                      <w:rFonts w:hint="default" w:ascii="Times New Roman" w:hAnsi="Times New Roman" w:eastAsia="宋体" w:cs="Times New Roman"/>
                      <w:b/>
                      <w:bCs/>
                      <w:color w:val="auto"/>
                      <w:sz w:val="21"/>
                      <w:szCs w:val="21"/>
                      <w:vertAlign w:val="superscript"/>
                    </w:rPr>
                    <w:t>3</w:t>
                  </w:r>
                  <w:r>
                    <w:rPr>
                      <w:rFonts w:hint="default" w:ascii="Times New Roman" w:hAnsi="Times New Roman" w:eastAsia="宋体" w:cs="Times New Roman"/>
                      <w:b/>
                      <w:bCs/>
                      <w:color w:val="auto"/>
                      <w:sz w:val="21"/>
                      <w:szCs w:val="21"/>
                    </w:rPr>
                    <w:t>）</w:t>
                  </w:r>
                </w:p>
              </w:tc>
              <w:tc>
                <w:tcPr>
                  <w:tcW w:w="1416" w:type="dxa"/>
                  <w:vMerge w:val="restart"/>
                  <w:shd w:val="clear" w:color="auto" w:fill="auto"/>
                  <w:vAlign w:val="center"/>
                </w:tcPr>
                <w:p w14:paraId="1738232C">
                  <w:pPr>
                    <w:adjustRightInd w:val="0"/>
                    <w:snapToGrid w:val="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最高允许排放速率（kg/h）</w:t>
                  </w:r>
                </w:p>
              </w:tc>
              <w:tc>
                <w:tcPr>
                  <w:tcW w:w="867" w:type="dxa"/>
                  <w:vMerge w:val="restart"/>
                  <w:shd w:val="clear" w:color="auto" w:fill="auto"/>
                  <w:vAlign w:val="center"/>
                </w:tcPr>
                <w:p w14:paraId="1738232D">
                  <w:pPr>
                    <w:adjustRightInd w:val="0"/>
                    <w:snapToGrid w:val="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排气筒高度（m）</w:t>
                  </w:r>
                </w:p>
              </w:tc>
              <w:tc>
                <w:tcPr>
                  <w:tcW w:w="2355" w:type="dxa"/>
                  <w:vMerge w:val="restart"/>
                  <w:shd w:val="clear" w:color="auto" w:fill="auto"/>
                  <w:vAlign w:val="center"/>
                </w:tcPr>
                <w:p w14:paraId="1738232E">
                  <w:pPr>
                    <w:adjustRightInd w:val="0"/>
                    <w:snapToGrid w:val="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标准来源</w:t>
                  </w:r>
                </w:p>
              </w:tc>
            </w:tr>
            <w:tr w14:paraId="1738233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tblHeader/>
                <w:jc w:val="center"/>
              </w:trPr>
              <w:tc>
                <w:tcPr>
                  <w:tcW w:w="1242" w:type="dxa"/>
                  <w:vMerge w:val="continue"/>
                  <w:shd w:val="clear" w:color="auto" w:fill="auto"/>
                  <w:vAlign w:val="center"/>
                </w:tcPr>
                <w:p w14:paraId="17382330">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1244" w:type="dxa"/>
                  <w:vMerge w:val="continue"/>
                  <w:shd w:val="clear" w:color="auto" w:fill="auto"/>
                  <w:vAlign w:val="center"/>
                </w:tcPr>
                <w:p w14:paraId="17382331">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1331" w:type="dxa"/>
                  <w:vMerge w:val="continue"/>
                  <w:shd w:val="clear" w:color="auto" w:fill="auto"/>
                  <w:vAlign w:val="center"/>
                </w:tcPr>
                <w:p w14:paraId="17382332">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1416" w:type="dxa"/>
                  <w:vMerge w:val="continue"/>
                  <w:shd w:val="clear" w:color="auto" w:fill="auto"/>
                  <w:vAlign w:val="center"/>
                </w:tcPr>
                <w:p w14:paraId="17382333">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867" w:type="dxa"/>
                  <w:vMerge w:val="continue"/>
                  <w:shd w:val="clear" w:color="auto" w:fill="auto"/>
                </w:tcPr>
                <w:p w14:paraId="17382334">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2355" w:type="dxa"/>
                  <w:vMerge w:val="continue"/>
                  <w:shd w:val="clear" w:color="auto" w:fill="auto"/>
                  <w:vAlign w:val="center"/>
                </w:tcPr>
                <w:p w14:paraId="17382335">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r>
            <w:tr w14:paraId="1738233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tblHeader/>
                <w:jc w:val="center"/>
              </w:trPr>
              <w:tc>
                <w:tcPr>
                  <w:tcW w:w="1242" w:type="dxa"/>
                  <w:vMerge w:val="restart"/>
                  <w:vAlign w:val="center"/>
                </w:tcPr>
                <w:p w14:paraId="17382337">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投料、搅拌、浸纱、注塑</w:t>
                  </w:r>
                </w:p>
              </w:tc>
              <w:tc>
                <w:tcPr>
                  <w:tcW w:w="1244" w:type="dxa"/>
                  <w:vAlign w:val="center"/>
                </w:tcPr>
                <w:p w14:paraId="17382338">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颗粒物</w:t>
                  </w:r>
                </w:p>
              </w:tc>
              <w:tc>
                <w:tcPr>
                  <w:tcW w:w="1331" w:type="dxa"/>
                  <w:vAlign w:val="center"/>
                </w:tcPr>
                <w:p w14:paraId="17382339">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20</w:t>
                  </w:r>
                </w:p>
              </w:tc>
              <w:tc>
                <w:tcPr>
                  <w:tcW w:w="1416" w:type="dxa"/>
                  <w:vAlign w:val="center"/>
                </w:tcPr>
                <w:p w14:paraId="1738233A">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867" w:type="dxa"/>
                  <w:vMerge w:val="restart"/>
                  <w:vAlign w:val="center"/>
                </w:tcPr>
                <w:p w14:paraId="1738233B">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15</w:t>
                  </w:r>
                </w:p>
              </w:tc>
              <w:tc>
                <w:tcPr>
                  <w:tcW w:w="2355" w:type="dxa"/>
                  <w:vMerge w:val="restart"/>
                  <w:vAlign w:val="center"/>
                </w:tcPr>
                <w:p w14:paraId="1738233C">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《合成树脂工业污染物排放标准》（GB31572-2015）表5</w:t>
                  </w:r>
                </w:p>
              </w:tc>
            </w:tr>
            <w:tr w14:paraId="1738234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tblHeader/>
                <w:jc w:val="center"/>
              </w:trPr>
              <w:tc>
                <w:tcPr>
                  <w:tcW w:w="1242" w:type="dxa"/>
                  <w:vMerge w:val="continue"/>
                  <w:vAlign w:val="center"/>
                </w:tcPr>
                <w:p w14:paraId="1738233E">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1244" w:type="dxa"/>
                  <w:vAlign w:val="center"/>
                </w:tcPr>
                <w:p w14:paraId="1738233F">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非甲烷总烃</w:t>
                  </w:r>
                </w:p>
              </w:tc>
              <w:tc>
                <w:tcPr>
                  <w:tcW w:w="1331" w:type="dxa"/>
                  <w:vAlign w:val="center"/>
                </w:tcPr>
                <w:p w14:paraId="17382340">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60</w:t>
                  </w:r>
                </w:p>
              </w:tc>
              <w:tc>
                <w:tcPr>
                  <w:tcW w:w="1416" w:type="dxa"/>
                  <w:vAlign w:val="center"/>
                </w:tcPr>
                <w:p w14:paraId="17382341">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867" w:type="dxa"/>
                  <w:vMerge w:val="continue"/>
                  <w:vAlign w:val="center"/>
                </w:tcPr>
                <w:p w14:paraId="17382342">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2355" w:type="dxa"/>
                  <w:vMerge w:val="continue"/>
                  <w:vAlign w:val="center"/>
                </w:tcPr>
                <w:p w14:paraId="17382343">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r>
            <w:tr w14:paraId="1738234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tblHeader/>
                <w:jc w:val="center"/>
              </w:trPr>
              <w:tc>
                <w:tcPr>
                  <w:tcW w:w="1242" w:type="dxa"/>
                  <w:vMerge w:val="continue"/>
                  <w:vAlign w:val="center"/>
                </w:tcPr>
                <w:p w14:paraId="17382345">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1244" w:type="dxa"/>
                  <w:vAlign w:val="center"/>
                </w:tcPr>
                <w:p w14:paraId="17382346">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苯乙烯</w:t>
                  </w:r>
                </w:p>
              </w:tc>
              <w:tc>
                <w:tcPr>
                  <w:tcW w:w="1331" w:type="dxa"/>
                  <w:vAlign w:val="center"/>
                </w:tcPr>
                <w:p w14:paraId="17382347">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20</w:t>
                  </w:r>
                </w:p>
              </w:tc>
              <w:tc>
                <w:tcPr>
                  <w:tcW w:w="1416" w:type="dxa"/>
                  <w:vAlign w:val="center"/>
                </w:tcPr>
                <w:p w14:paraId="17382348">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c>
                <w:tcPr>
                  <w:tcW w:w="867" w:type="dxa"/>
                  <w:vMerge w:val="continue"/>
                  <w:vAlign w:val="center"/>
                </w:tcPr>
                <w:p w14:paraId="17382349">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2355" w:type="dxa"/>
                  <w:vMerge w:val="continue"/>
                  <w:vAlign w:val="center"/>
                </w:tcPr>
                <w:p w14:paraId="1738234A">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r>
            <w:tr w14:paraId="1738235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tblHeader/>
                <w:jc w:val="center"/>
              </w:trPr>
              <w:tc>
                <w:tcPr>
                  <w:tcW w:w="1242" w:type="dxa"/>
                  <w:vMerge w:val="restart"/>
                  <w:vAlign w:val="center"/>
                </w:tcPr>
                <w:p w14:paraId="1738234C">
                  <w:pPr>
                    <w:pStyle w:val="146"/>
                    <w:tabs>
                      <w:tab w:val="left" w:pos="277"/>
                      <w:tab w:val="left" w:pos="600"/>
                      <w:tab w:val="left" w:pos="780"/>
                      <w:tab w:val="left" w:pos="2517"/>
                      <w:tab w:val="clear" w:pos="560"/>
                    </w:tabs>
                    <w:spacing w:line="240" w:lineRule="auto"/>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固化、喷塑、抛丸、抛光</w:t>
                  </w:r>
                </w:p>
              </w:tc>
              <w:tc>
                <w:tcPr>
                  <w:tcW w:w="1244" w:type="dxa"/>
                  <w:vAlign w:val="center"/>
                </w:tcPr>
                <w:p w14:paraId="1738234D">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颗粒物</w:t>
                  </w:r>
                </w:p>
              </w:tc>
              <w:tc>
                <w:tcPr>
                  <w:tcW w:w="1331" w:type="dxa"/>
                  <w:vAlign w:val="center"/>
                </w:tcPr>
                <w:p w14:paraId="1738234E">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w:t>
                  </w:r>
                </w:p>
              </w:tc>
              <w:tc>
                <w:tcPr>
                  <w:tcW w:w="1416" w:type="dxa"/>
                  <w:vAlign w:val="center"/>
                </w:tcPr>
                <w:p w14:paraId="1738234F">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0.4</w:t>
                  </w:r>
                </w:p>
              </w:tc>
              <w:tc>
                <w:tcPr>
                  <w:tcW w:w="867" w:type="dxa"/>
                  <w:vMerge w:val="continue"/>
                  <w:vAlign w:val="center"/>
                </w:tcPr>
                <w:p w14:paraId="17382350">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2355" w:type="dxa"/>
                  <w:vMerge w:val="restart"/>
                  <w:vAlign w:val="center"/>
                </w:tcPr>
                <w:p w14:paraId="17382351">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 xml:space="preserve">《工业涂装工序大气污染物排放标准》（DB32/4439-2022）表 1 </w:t>
                  </w:r>
                </w:p>
              </w:tc>
            </w:tr>
            <w:tr w14:paraId="1738235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tblHeader/>
                <w:jc w:val="center"/>
              </w:trPr>
              <w:tc>
                <w:tcPr>
                  <w:tcW w:w="1242" w:type="dxa"/>
                  <w:vMerge w:val="continue"/>
                  <w:vAlign w:val="center"/>
                </w:tcPr>
                <w:p w14:paraId="17382353">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1244" w:type="dxa"/>
                  <w:vAlign w:val="center"/>
                </w:tcPr>
                <w:p w14:paraId="17382354">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非甲烷总烃</w:t>
                  </w:r>
                </w:p>
              </w:tc>
              <w:tc>
                <w:tcPr>
                  <w:tcW w:w="1331" w:type="dxa"/>
                  <w:vAlign w:val="center"/>
                </w:tcPr>
                <w:p w14:paraId="17382355">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50</w:t>
                  </w:r>
                </w:p>
              </w:tc>
              <w:tc>
                <w:tcPr>
                  <w:tcW w:w="1416" w:type="dxa"/>
                  <w:vAlign w:val="center"/>
                </w:tcPr>
                <w:p w14:paraId="17382356">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2.0</w:t>
                  </w:r>
                </w:p>
              </w:tc>
              <w:tc>
                <w:tcPr>
                  <w:tcW w:w="867" w:type="dxa"/>
                  <w:vMerge w:val="continue"/>
                  <w:vAlign w:val="center"/>
                </w:tcPr>
                <w:p w14:paraId="17382357">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2355" w:type="dxa"/>
                  <w:vMerge w:val="continue"/>
                  <w:vAlign w:val="center"/>
                </w:tcPr>
                <w:p w14:paraId="17382358">
                  <w:pPr>
                    <w:pStyle w:val="146"/>
                    <w:tabs>
                      <w:tab w:val="left" w:pos="277"/>
                      <w:tab w:val="left" w:pos="600"/>
                      <w:tab w:val="left" w:pos="780"/>
                      <w:tab w:val="left" w:pos="2517"/>
                    </w:tabs>
                    <w:spacing w:line="240" w:lineRule="auto"/>
                    <w:rPr>
                      <w:rFonts w:hint="default" w:ascii="Times New Roman" w:hAnsi="Times New Roman" w:eastAsia="宋体" w:cs="Times New Roman"/>
                      <w:color w:val="auto"/>
                      <w:sz w:val="21"/>
                      <w:szCs w:val="21"/>
                    </w:rPr>
                  </w:pPr>
                </w:p>
              </w:tc>
            </w:tr>
          </w:tbl>
          <w:p w14:paraId="5FAC4885">
            <w:pPr>
              <w:widowControl/>
              <w:snapToGrid w:val="0"/>
              <w:jc w:val="center"/>
              <w:rPr>
                <w:rFonts w:hint="default" w:ascii="Times New Roman" w:hAnsi="Times New Roman" w:eastAsia="宋体" w:cs="Times New Roman"/>
                <w:b/>
                <w:color w:val="auto"/>
                <w:sz w:val="24"/>
              </w:rPr>
            </w:pPr>
          </w:p>
          <w:p w14:paraId="1D93E738">
            <w:pPr>
              <w:widowControl/>
              <w:snapToGrid w:val="0"/>
              <w:jc w:val="center"/>
              <w:rPr>
                <w:rFonts w:hint="default" w:ascii="Times New Roman" w:hAnsi="Times New Roman" w:eastAsia="宋体" w:cs="Times New Roman"/>
                <w:b/>
                <w:color w:val="auto"/>
                <w:sz w:val="24"/>
              </w:rPr>
            </w:pPr>
          </w:p>
          <w:p w14:paraId="154398D9">
            <w:pPr>
              <w:widowControl/>
              <w:snapToGrid w:val="0"/>
              <w:jc w:val="center"/>
              <w:rPr>
                <w:rFonts w:hint="eastAsia" w:ascii="Times New Roman" w:hAnsi="Times New Roman" w:eastAsia="宋体" w:cs="Times New Roman"/>
                <w:b/>
                <w:color w:val="auto"/>
                <w:sz w:val="24"/>
              </w:rPr>
            </w:pPr>
            <w:r>
              <w:rPr>
                <w:rFonts w:hint="default" w:ascii="Times New Roman" w:hAnsi="Times New Roman" w:eastAsia="宋体" w:cs="Times New Roman"/>
                <w:b/>
                <w:color w:val="auto"/>
                <w:sz w:val="24"/>
              </w:rPr>
              <w:t>表3-4厂界无组织大气污染物排放标准</w:t>
            </w:r>
          </w:p>
          <w:tbl>
            <w:tblPr>
              <w:tblStyle w:val="88"/>
              <w:tblW w:w="8437"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7" w:type="dxa"/>
                <w:bottom w:w="0" w:type="dxa"/>
                <w:right w:w="17" w:type="dxa"/>
              </w:tblCellMar>
            </w:tblPr>
            <w:tblGrid>
              <w:gridCol w:w="985"/>
              <w:gridCol w:w="1819"/>
              <w:gridCol w:w="1583"/>
              <w:gridCol w:w="1382"/>
              <w:gridCol w:w="2668"/>
            </w:tblGrid>
            <w:tr w14:paraId="1738236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tblHeader/>
                <w:jc w:val="center"/>
              </w:trPr>
              <w:tc>
                <w:tcPr>
                  <w:tcW w:w="985" w:type="dxa"/>
                  <w:shd w:val="clear" w:color="auto" w:fill="auto"/>
                  <w:vAlign w:val="center"/>
                </w:tcPr>
                <w:p w14:paraId="1738235B">
                  <w:pPr>
                    <w:adjustRightInd w:val="0"/>
                    <w:snapToGrid w:val="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序号</w:t>
                  </w:r>
                </w:p>
              </w:tc>
              <w:tc>
                <w:tcPr>
                  <w:tcW w:w="1819" w:type="dxa"/>
                  <w:shd w:val="clear" w:color="auto" w:fill="auto"/>
                  <w:vAlign w:val="center"/>
                </w:tcPr>
                <w:p w14:paraId="1738235C">
                  <w:pPr>
                    <w:adjustRightInd w:val="0"/>
                    <w:snapToGrid w:val="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污染物</w:t>
                  </w:r>
                </w:p>
              </w:tc>
              <w:tc>
                <w:tcPr>
                  <w:tcW w:w="1583" w:type="dxa"/>
                  <w:shd w:val="clear" w:color="auto" w:fill="auto"/>
                  <w:vAlign w:val="center"/>
                </w:tcPr>
                <w:p w14:paraId="1738235D">
                  <w:pPr>
                    <w:adjustRightInd w:val="0"/>
                    <w:snapToGrid w:val="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监控浓度限值（mg/m</w:t>
                  </w:r>
                  <w:r>
                    <w:rPr>
                      <w:rFonts w:hint="default" w:ascii="Times New Roman" w:hAnsi="Times New Roman" w:eastAsia="宋体" w:cs="Times New Roman"/>
                      <w:b/>
                      <w:bCs/>
                      <w:color w:val="auto"/>
                      <w:sz w:val="21"/>
                      <w:szCs w:val="21"/>
                      <w:vertAlign w:val="superscript"/>
                    </w:rPr>
                    <w:t>3</w:t>
                  </w:r>
                  <w:r>
                    <w:rPr>
                      <w:rFonts w:hint="default" w:ascii="Times New Roman" w:hAnsi="Times New Roman" w:eastAsia="宋体" w:cs="Times New Roman"/>
                      <w:b/>
                      <w:bCs/>
                      <w:color w:val="auto"/>
                      <w:sz w:val="21"/>
                      <w:szCs w:val="21"/>
                    </w:rPr>
                    <w:t>）</w:t>
                  </w:r>
                </w:p>
              </w:tc>
              <w:tc>
                <w:tcPr>
                  <w:tcW w:w="1382" w:type="dxa"/>
                  <w:shd w:val="clear" w:color="auto" w:fill="auto"/>
                  <w:vAlign w:val="center"/>
                </w:tcPr>
                <w:p w14:paraId="1738235E">
                  <w:pPr>
                    <w:adjustRightInd w:val="0"/>
                    <w:snapToGrid w:val="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监控位置</w:t>
                  </w:r>
                </w:p>
              </w:tc>
              <w:tc>
                <w:tcPr>
                  <w:tcW w:w="2668" w:type="dxa"/>
                  <w:shd w:val="clear" w:color="auto" w:fill="auto"/>
                  <w:vAlign w:val="center"/>
                </w:tcPr>
                <w:p w14:paraId="1738235F">
                  <w:pPr>
                    <w:adjustRightInd w:val="0"/>
                    <w:snapToGrid w:val="0"/>
                    <w:jc w:val="center"/>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标准来源</w:t>
                  </w:r>
                </w:p>
              </w:tc>
            </w:tr>
            <w:tr w14:paraId="1738236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tblHeader/>
                <w:jc w:val="center"/>
              </w:trPr>
              <w:tc>
                <w:tcPr>
                  <w:tcW w:w="985" w:type="dxa"/>
                  <w:vAlign w:val="center"/>
                </w:tcPr>
                <w:p w14:paraId="17382361">
                  <w:pPr>
                    <w:tabs>
                      <w:tab w:val="left" w:pos="277"/>
                      <w:tab w:val="left" w:pos="600"/>
                      <w:tab w:val="left" w:pos="780"/>
                      <w:tab w:val="left" w:pos="2517"/>
                    </w:tabs>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w:t>
                  </w:r>
                </w:p>
              </w:tc>
              <w:tc>
                <w:tcPr>
                  <w:tcW w:w="1819" w:type="dxa"/>
                  <w:vAlign w:val="center"/>
                </w:tcPr>
                <w:p w14:paraId="17382362">
                  <w:pPr>
                    <w:tabs>
                      <w:tab w:val="left" w:pos="277"/>
                      <w:tab w:val="left" w:pos="600"/>
                      <w:tab w:val="left" w:pos="780"/>
                      <w:tab w:val="left" w:pos="2517"/>
                    </w:tabs>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颗粒物</w:t>
                  </w:r>
                </w:p>
              </w:tc>
              <w:tc>
                <w:tcPr>
                  <w:tcW w:w="1583" w:type="dxa"/>
                  <w:vAlign w:val="center"/>
                </w:tcPr>
                <w:p w14:paraId="17382363">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0.5</w:t>
                  </w:r>
                </w:p>
              </w:tc>
              <w:tc>
                <w:tcPr>
                  <w:tcW w:w="1382" w:type="dxa"/>
                  <w:vMerge w:val="restart"/>
                  <w:vAlign w:val="center"/>
                </w:tcPr>
                <w:p w14:paraId="17382364">
                  <w:pPr>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边界外浓度最高点</w:t>
                  </w:r>
                </w:p>
              </w:tc>
              <w:tc>
                <w:tcPr>
                  <w:tcW w:w="2668" w:type="dxa"/>
                  <w:vMerge w:val="restart"/>
                  <w:vAlign w:val="center"/>
                </w:tcPr>
                <w:p w14:paraId="17382365">
                  <w:pPr>
                    <w:tabs>
                      <w:tab w:val="left" w:pos="277"/>
                      <w:tab w:val="left" w:pos="600"/>
                      <w:tab w:val="left" w:pos="780"/>
                      <w:tab w:val="left" w:pos="2517"/>
                    </w:tabs>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napToGrid w:val="0"/>
                      <w:color w:val="auto"/>
                      <w:kern w:val="0"/>
                      <w:sz w:val="21"/>
                      <w:szCs w:val="21"/>
                    </w:rPr>
                    <w:t>《合成树脂工业污染物排放标准》（GB31572-2015）表9、《大气污染物综合排放标准》（DB32/4041-2021）表3</w:t>
                  </w:r>
                </w:p>
              </w:tc>
            </w:tr>
            <w:tr w14:paraId="1738236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tblHeader/>
                <w:jc w:val="center"/>
              </w:trPr>
              <w:tc>
                <w:tcPr>
                  <w:tcW w:w="985" w:type="dxa"/>
                  <w:vAlign w:val="center"/>
                </w:tcPr>
                <w:p w14:paraId="17382367">
                  <w:pPr>
                    <w:tabs>
                      <w:tab w:val="left" w:pos="277"/>
                      <w:tab w:val="left" w:pos="600"/>
                      <w:tab w:val="left" w:pos="780"/>
                      <w:tab w:val="left" w:pos="2517"/>
                    </w:tabs>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w:t>
                  </w:r>
                </w:p>
              </w:tc>
              <w:tc>
                <w:tcPr>
                  <w:tcW w:w="1819" w:type="dxa"/>
                  <w:vAlign w:val="center"/>
                </w:tcPr>
                <w:p w14:paraId="17382368">
                  <w:pPr>
                    <w:tabs>
                      <w:tab w:val="left" w:pos="277"/>
                      <w:tab w:val="left" w:pos="600"/>
                      <w:tab w:val="left" w:pos="780"/>
                      <w:tab w:val="left" w:pos="2517"/>
                    </w:tabs>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非甲烷总烃</w:t>
                  </w:r>
                </w:p>
              </w:tc>
              <w:tc>
                <w:tcPr>
                  <w:tcW w:w="1583" w:type="dxa"/>
                  <w:vAlign w:val="center"/>
                </w:tcPr>
                <w:p w14:paraId="17382369">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4.0</w:t>
                  </w:r>
                </w:p>
              </w:tc>
              <w:tc>
                <w:tcPr>
                  <w:tcW w:w="1382" w:type="dxa"/>
                  <w:vMerge w:val="continue"/>
                  <w:vAlign w:val="center"/>
                </w:tcPr>
                <w:p w14:paraId="1738236A">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2668" w:type="dxa"/>
                  <w:vMerge w:val="continue"/>
                  <w:vAlign w:val="center"/>
                </w:tcPr>
                <w:p w14:paraId="1738236B">
                  <w:pPr>
                    <w:pStyle w:val="146"/>
                    <w:spacing w:line="240" w:lineRule="auto"/>
                    <w:rPr>
                      <w:rFonts w:hint="default" w:ascii="Times New Roman" w:hAnsi="Times New Roman" w:eastAsia="宋体" w:cs="Times New Roman"/>
                      <w:color w:val="auto"/>
                      <w:sz w:val="21"/>
                      <w:szCs w:val="21"/>
                    </w:rPr>
                  </w:pPr>
                </w:p>
              </w:tc>
            </w:tr>
            <w:tr w14:paraId="1738237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7" w:type="dxa"/>
                  <w:bottom w:w="0" w:type="dxa"/>
                  <w:right w:w="17" w:type="dxa"/>
                </w:tblCellMar>
              </w:tblPrEx>
              <w:trPr>
                <w:trHeight w:val="340" w:hRule="atLeast"/>
                <w:tblHeader/>
                <w:jc w:val="center"/>
              </w:trPr>
              <w:tc>
                <w:tcPr>
                  <w:tcW w:w="985" w:type="dxa"/>
                  <w:vAlign w:val="center"/>
                </w:tcPr>
                <w:p w14:paraId="1738236D">
                  <w:pPr>
                    <w:tabs>
                      <w:tab w:val="left" w:pos="277"/>
                      <w:tab w:val="left" w:pos="600"/>
                      <w:tab w:val="left" w:pos="780"/>
                      <w:tab w:val="left" w:pos="2517"/>
                    </w:tabs>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3</w:t>
                  </w:r>
                </w:p>
              </w:tc>
              <w:tc>
                <w:tcPr>
                  <w:tcW w:w="1819" w:type="dxa"/>
                  <w:vAlign w:val="center"/>
                </w:tcPr>
                <w:p w14:paraId="1738236E">
                  <w:pPr>
                    <w:tabs>
                      <w:tab w:val="left" w:pos="277"/>
                      <w:tab w:val="left" w:pos="600"/>
                      <w:tab w:val="left" w:pos="780"/>
                      <w:tab w:val="left" w:pos="2517"/>
                    </w:tabs>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苯乙烯</w:t>
                  </w:r>
                </w:p>
              </w:tc>
              <w:tc>
                <w:tcPr>
                  <w:tcW w:w="1583" w:type="dxa"/>
                  <w:vAlign w:val="center"/>
                </w:tcPr>
                <w:p w14:paraId="1738236F">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5.0</w:t>
                  </w:r>
                </w:p>
              </w:tc>
              <w:tc>
                <w:tcPr>
                  <w:tcW w:w="1382" w:type="dxa"/>
                  <w:vMerge w:val="continue"/>
                  <w:vAlign w:val="center"/>
                </w:tcPr>
                <w:p w14:paraId="17382370">
                  <w:pPr>
                    <w:pStyle w:val="146"/>
                    <w:tabs>
                      <w:tab w:val="left" w:pos="277"/>
                      <w:tab w:val="left" w:pos="600"/>
                      <w:tab w:val="left" w:pos="780"/>
                      <w:tab w:val="left" w:pos="2517"/>
                      <w:tab w:val="clear" w:pos="560"/>
                    </w:tabs>
                    <w:spacing w:line="240" w:lineRule="auto"/>
                    <w:rPr>
                      <w:rFonts w:hint="default" w:ascii="Times New Roman" w:hAnsi="Times New Roman" w:eastAsia="宋体" w:cs="Times New Roman"/>
                      <w:color w:val="auto"/>
                      <w:sz w:val="21"/>
                      <w:szCs w:val="21"/>
                    </w:rPr>
                  </w:pPr>
                </w:p>
              </w:tc>
              <w:tc>
                <w:tcPr>
                  <w:tcW w:w="2668" w:type="dxa"/>
                  <w:vAlign w:val="center"/>
                </w:tcPr>
                <w:p w14:paraId="17382371">
                  <w:pPr>
                    <w:pStyle w:val="146"/>
                    <w:spacing w:line="240" w:lineRule="auto"/>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《恶臭污染物排放标准》（GB14554-93）表1</w:t>
                  </w:r>
                </w:p>
              </w:tc>
            </w:tr>
          </w:tbl>
          <w:p w14:paraId="17382373">
            <w:pPr>
              <w:widowControl/>
              <w:snapToGrid w:val="0"/>
              <w:spacing w:before="120" w:beforeLines="50"/>
              <w:jc w:val="center"/>
              <w:rPr>
                <w:b/>
                <w:color w:val="auto"/>
                <w:sz w:val="24"/>
              </w:rPr>
            </w:pPr>
            <w:r>
              <w:rPr>
                <w:b/>
                <w:color w:val="auto"/>
                <w:sz w:val="24"/>
              </w:rPr>
              <w:t>表3-</w:t>
            </w:r>
            <w:r>
              <w:rPr>
                <w:rFonts w:hint="eastAsia"/>
                <w:b/>
                <w:color w:val="auto"/>
                <w:sz w:val="24"/>
              </w:rPr>
              <w:t>5</w:t>
            </w:r>
            <w:r>
              <w:rPr>
                <w:b/>
                <w:color w:val="auto"/>
                <w:sz w:val="24"/>
              </w:rPr>
              <w:t xml:space="preserve"> 厂区内VOCs无组织排放限值  单位：mg/m</w:t>
            </w:r>
            <w:r>
              <w:rPr>
                <w:b/>
                <w:color w:val="auto"/>
                <w:sz w:val="24"/>
                <w:vertAlign w:val="superscript"/>
              </w:rPr>
              <w:t>3</w:t>
            </w:r>
          </w:p>
          <w:tbl>
            <w:tblPr>
              <w:tblStyle w:val="88"/>
              <w:tblW w:w="8421"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57" w:type="dxa"/>
                <w:bottom w:w="0" w:type="dxa"/>
                <w:right w:w="57" w:type="dxa"/>
              </w:tblCellMar>
            </w:tblPr>
            <w:tblGrid>
              <w:gridCol w:w="865"/>
              <w:gridCol w:w="851"/>
              <w:gridCol w:w="2551"/>
              <w:gridCol w:w="1177"/>
              <w:gridCol w:w="2977"/>
            </w:tblGrid>
            <w:tr w14:paraId="173823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340" w:hRule="atLeast"/>
                <w:jc w:val="center"/>
              </w:trPr>
              <w:tc>
                <w:tcPr>
                  <w:tcW w:w="865" w:type="dxa"/>
                  <w:tcBorders>
                    <w:top w:val="single" w:color="auto" w:sz="12" w:space="0"/>
                    <w:left w:val="nil"/>
                    <w:bottom w:val="single" w:color="auto" w:sz="4" w:space="0"/>
                    <w:right w:val="single" w:color="auto" w:sz="4" w:space="0"/>
                  </w:tcBorders>
                  <w:vAlign w:val="center"/>
                </w:tcPr>
                <w:p w14:paraId="17382374">
                  <w:pPr>
                    <w:adjustRightInd w:val="0"/>
                    <w:snapToGrid w:val="0"/>
                    <w:jc w:val="center"/>
                    <w:rPr>
                      <w:b/>
                      <w:bCs/>
                      <w:color w:val="auto"/>
                      <w:szCs w:val="21"/>
                    </w:rPr>
                  </w:pPr>
                  <w:r>
                    <w:rPr>
                      <w:b/>
                      <w:bCs/>
                      <w:color w:val="auto"/>
                      <w:szCs w:val="21"/>
                    </w:rPr>
                    <w:t>污染物</w:t>
                  </w:r>
                </w:p>
                <w:p w14:paraId="17382375">
                  <w:pPr>
                    <w:adjustRightInd w:val="0"/>
                    <w:snapToGrid w:val="0"/>
                    <w:jc w:val="center"/>
                    <w:rPr>
                      <w:b/>
                      <w:bCs/>
                      <w:color w:val="auto"/>
                      <w:szCs w:val="21"/>
                    </w:rPr>
                  </w:pPr>
                  <w:r>
                    <w:rPr>
                      <w:b/>
                      <w:bCs/>
                      <w:color w:val="auto"/>
                      <w:szCs w:val="21"/>
                    </w:rPr>
                    <w:t>名称</w:t>
                  </w:r>
                </w:p>
              </w:tc>
              <w:tc>
                <w:tcPr>
                  <w:tcW w:w="851" w:type="dxa"/>
                  <w:tcBorders>
                    <w:top w:val="single" w:color="auto" w:sz="12" w:space="0"/>
                    <w:left w:val="single" w:color="auto" w:sz="4" w:space="0"/>
                    <w:bottom w:val="single" w:color="auto" w:sz="4" w:space="0"/>
                    <w:right w:val="single" w:color="auto" w:sz="4" w:space="0"/>
                  </w:tcBorders>
                  <w:vAlign w:val="center"/>
                </w:tcPr>
                <w:p w14:paraId="17382376">
                  <w:pPr>
                    <w:adjustRightInd w:val="0"/>
                    <w:snapToGrid w:val="0"/>
                    <w:jc w:val="center"/>
                    <w:rPr>
                      <w:b/>
                      <w:bCs/>
                      <w:color w:val="auto"/>
                      <w:szCs w:val="21"/>
                    </w:rPr>
                  </w:pPr>
                  <w:r>
                    <w:rPr>
                      <w:b/>
                      <w:bCs/>
                      <w:color w:val="auto"/>
                      <w:szCs w:val="21"/>
                    </w:rPr>
                    <w:t>特别排放限值</w:t>
                  </w:r>
                </w:p>
              </w:tc>
              <w:tc>
                <w:tcPr>
                  <w:tcW w:w="2551" w:type="dxa"/>
                  <w:tcBorders>
                    <w:top w:val="single" w:color="auto" w:sz="12" w:space="0"/>
                    <w:left w:val="single" w:color="auto" w:sz="4" w:space="0"/>
                    <w:bottom w:val="single" w:color="auto" w:sz="4" w:space="0"/>
                    <w:right w:val="single" w:color="auto" w:sz="4" w:space="0"/>
                  </w:tcBorders>
                  <w:vAlign w:val="center"/>
                </w:tcPr>
                <w:p w14:paraId="17382377">
                  <w:pPr>
                    <w:adjustRightInd w:val="0"/>
                    <w:snapToGrid w:val="0"/>
                    <w:jc w:val="center"/>
                    <w:rPr>
                      <w:b/>
                      <w:bCs/>
                      <w:color w:val="auto"/>
                      <w:szCs w:val="21"/>
                    </w:rPr>
                  </w:pPr>
                  <w:r>
                    <w:rPr>
                      <w:b/>
                      <w:bCs/>
                      <w:color w:val="auto"/>
                      <w:szCs w:val="21"/>
                    </w:rPr>
                    <w:t>限值意义</w:t>
                  </w:r>
                </w:p>
              </w:tc>
              <w:tc>
                <w:tcPr>
                  <w:tcW w:w="1177" w:type="dxa"/>
                  <w:tcBorders>
                    <w:top w:val="single" w:color="auto" w:sz="12" w:space="0"/>
                    <w:left w:val="single" w:color="auto" w:sz="4" w:space="0"/>
                    <w:bottom w:val="single" w:color="auto" w:sz="4" w:space="0"/>
                    <w:right w:val="single" w:color="auto" w:sz="4" w:space="0"/>
                  </w:tcBorders>
                  <w:vAlign w:val="center"/>
                </w:tcPr>
                <w:p w14:paraId="17382378">
                  <w:pPr>
                    <w:adjustRightInd w:val="0"/>
                    <w:snapToGrid w:val="0"/>
                    <w:jc w:val="center"/>
                    <w:rPr>
                      <w:b/>
                      <w:bCs/>
                      <w:color w:val="auto"/>
                      <w:szCs w:val="21"/>
                    </w:rPr>
                  </w:pPr>
                  <w:r>
                    <w:rPr>
                      <w:b/>
                      <w:bCs/>
                      <w:color w:val="auto"/>
                      <w:szCs w:val="21"/>
                    </w:rPr>
                    <w:t>无组织排放监控位置</w:t>
                  </w:r>
                </w:p>
              </w:tc>
              <w:tc>
                <w:tcPr>
                  <w:tcW w:w="2977" w:type="dxa"/>
                  <w:tcBorders>
                    <w:top w:val="single" w:color="auto" w:sz="12" w:space="0"/>
                    <w:left w:val="single" w:color="auto" w:sz="4" w:space="0"/>
                    <w:bottom w:val="single" w:color="auto" w:sz="4" w:space="0"/>
                    <w:right w:val="nil"/>
                  </w:tcBorders>
                  <w:vAlign w:val="center"/>
                </w:tcPr>
                <w:p w14:paraId="17382379">
                  <w:pPr>
                    <w:adjustRightInd w:val="0"/>
                    <w:snapToGrid w:val="0"/>
                    <w:jc w:val="center"/>
                    <w:rPr>
                      <w:b/>
                      <w:bCs/>
                      <w:color w:val="auto"/>
                      <w:szCs w:val="21"/>
                    </w:rPr>
                  </w:pPr>
                  <w:r>
                    <w:rPr>
                      <w:b/>
                      <w:bCs/>
                      <w:color w:val="auto"/>
                      <w:szCs w:val="21"/>
                    </w:rPr>
                    <w:t>标准来源</w:t>
                  </w:r>
                </w:p>
              </w:tc>
            </w:tr>
            <w:tr w14:paraId="1738238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340" w:hRule="atLeast"/>
                <w:jc w:val="center"/>
              </w:trPr>
              <w:tc>
                <w:tcPr>
                  <w:tcW w:w="865" w:type="dxa"/>
                  <w:vMerge w:val="restart"/>
                  <w:tcBorders>
                    <w:top w:val="single" w:color="auto" w:sz="4" w:space="0"/>
                    <w:left w:val="nil"/>
                    <w:bottom w:val="single" w:color="auto" w:sz="4" w:space="0"/>
                    <w:right w:val="single" w:color="auto" w:sz="4" w:space="0"/>
                  </w:tcBorders>
                  <w:vAlign w:val="center"/>
                </w:tcPr>
                <w:p w14:paraId="1738237B">
                  <w:pPr>
                    <w:tabs>
                      <w:tab w:val="left" w:pos="277"/>
                      <w:tab w:val="left" w:pos="600"/>
                      <w:tab w:val="left" w:pos="780"/>
                      <w:tab w:val="left" w:pos="2517"/>
                    </w:tabs>
                    <w:jc w:val="center"/>
                    <w:rPr>
                      <w:color w:val="auto"/>
                    </w:rPr>
                  </w:pPr>
                  <w:r>
                    <w:rPr>
                      <w:rFonts w:hint="eastAsia"/>
                      <w:color w:val="auto"/>
                    </w:rPr>
                    <w:t>非甲烷总烃</w:t>
                  </w:r>
                </w:p>
              </w:tc>
              <w:tc>
                <w:tcPr>
                  <w:tcW w:w="851" w:type="dxa"/>
                  <w:tcBorders>
                    <w:top w:val="single" w:color="auto" w:sz="4" w:space="0"/>
                    <w:left w:val="single" w:color="auto" w:sz="4" w:space="0"/>
                    <w:bottom w:val="single" w:color="auto" w:sz="4" w:space="0"/>
                    <w:right w:val="single" w:color="auto" w:sz="4" w:space="0"/>
                  </w:tcBorders>
                  <w:vAlign w:val="center"/>
                </w:tcPr>
                <w:p w14:paraId="1738237C">
                  <w:pPr>
                    <w:tabs>
                      <w:tab w:val="left" w:pos="277"/>
                      <w:tab w:val="left" w:pos="600"/>
                      <w:tab w:val="left" w:pos="780"/>
                      <w:tab w:val="left" w:pos="2517"/>
                    </w:tabs>
                    <w:jc w:val="center"/>
                    <w:rPr>
                      <w:color w:val="auto"/>
                    </w:rPr>
                  </w:pPr>
                  <w:r>
                    <w:rPr>
                      <w:rFonts w:hint="eastAsia"/>
                      <w:color w:val="auto"/>
                    </w:rPr>
                    <w:t>6</w:t>
                  </w:r>
                </w:p>
              </w:tc>
              <w:tc>
                <w:tcPr>
                  <w:tcW w:w="2551" w:type="dxa"/>
                  <w:tcBorders>
                    <w:top w:val="single" w:color="auto" w:sz="4" w:space="0"/>
                    <w:left w:val="single" w:color="auto" w:sz="4" w:space="0"/>
                    <w:bottom w:val="single" w:color="auto" w:sz="4" w:space="0"/>
                    <w:right w:val="single" w:color="auto" w:sz="4" w:space="0"/>
                  </w:tcBorders>
                  <w:vAlign w:val="center"/>
                </w:tcPr>
                <w:p w14:paraId="1738237D">
                  <w:pPr>
                    <w:tabs>
                      <w:tab w:val="left" w:pos="277"/>
                      <w:tab w:val="left" w:pos="600"/>
                      <w:tab w:val="left" w:pos="780"/>
                      <w:tab w:val="left" w:pos="2517"/>
                    </w:tabs>
                    <w:jc w:val="center"/>
                    <w:rPr>
                      <w:snapToGrid w:val="0"/>
                      <w:color w:val="auto"/>
                      <w:kern w:val="0"/>
                      <w:szCs w:val="21"/>
                    </w:rPr>
                  </w:pPr>
                  <w:r>
                    <w:rPr>
                      <w:rFonts w:hint="eastAsia"/>
                      <w:snapToGrid w:val="0"/>
                      <w:color w:val="auto"/>
                      <w:kern w:val="0"/>
                      <w:szCs w:val="21"/>
                    </w:rPr>
                    <w:t>监控点处1h平均浓度值</w:t>
                  </w:r>
                </w:p>
              </w:tc>
              <w:tc>
                <w:tcPr>
                  <w:tcW w:w="1177" w:type="dxa"/>
                  <w:vMerge w:val="restart"/>
                  <w:tcBorders>
                    <w:top w:val="single" w:color="auto" w:sz="4" w:space="0"/>
                    <w:left w:val="single" w:color="auto" w:sz="4" w:space="0"/>
                    <w:bottom w:val="single" w:color="auto" w:sz="4" w:space="0"/>
                    <w:right w:val="single" w:color="auto" w:sz="4" w:space="0"/>
                  </w:tcBorders>
                  <w:vAlign w:val="center"/>
                </w:tcPr>
                <w:p w14:paraId="1738237E">
                  <w:pPr>
                    <w:tabs>
                      <w:tab w:val="left" w:pos="277"/>
                      <w:tab w:val="left" w:pos="600"/>
                      <w:tab w:val="left" w:pos="780"/>
                      <w:tab w:val="left" w:pos="2517"/>
                    </w:tabs>
                    <w:jc w:val="center"/>
                    <w:rPr>
                      <w:snapToGrid w:val="0"/>
                      <w:color w:val="auto"/>
                      <w:kern w:val="0"/>
                      <w:szCs w:val="21"/>
                    </w:rPr>
                  </w:pPr>
                  <w:r>
                    <w:rPr>
                      <w:snapToGrid w:val="0"/>
                      <w:color w:val="auto"/>
                      <w:kern w:val="0"/>
                      <w:szCs w:val="21"/>
                    </w:rPr>
                    <w:t>在厂房外设置监控点</w:t>
                  </w:r>
                </w:p>
              </w:tc>
              <w:tc>
                <w:tcPr>
                  <w:tcW w:w="2977" w:type="dxa"/>
                  <w:vMerge w:val="restart"/>
                  <w:tcBorders>
                    <w:top w:val="single" w:color="auto" w:sz="4" w:space="0"/>
                    <w:left w:val="single" w:color="auto" w:sz="4" w:space="0"/>
                    <w:bottom w:val="single" w:color="auto" w:sz="4" w:space="0"/>
                    <w:right w:val="nil"/>
                  </w:tcBorders>
                  <w:vAlign w:val="center"/>
                </w:tcPr>
                <w:p w14:paraId="1738237F">
                  <w:pPr>
                    <w:tabs>
                      <w:tab w:val="left" w:pos="277"/>
                      <w:tab w:val="left" w:pos="600"/>
                      <w:tab w:val="left" w:pos="780"/>
                      <w:tab w:val="left" w:pos="2517"/>
                    </w:tabs>
                    <w:jc w:val="center"/>
                    <w:rPr>
                      <w:snapToGrid w:val="0"/>
                      <w:color w:val="auto"/>
                      <w:kern w:val="0"/>
                      <w:szCs w:val="21"/>
                    </w:rPr>
                  </w:pPr>
                  <w:r>
                    <w:rPr>
                      <w:rFonts w:hint="eastAsia"/>
                      <w:snapToGrid w:val="0"/>
                      <w:color w:val="auto"/>
                      <w:kern w:val="0"/>
                      <w:szCs w:val="21"/>
                    </w:rPr>
                    <w:t>江苏省《工业涂装工序大气污染物排放标准》（</w:t>
                  </w:r>
                  <w:r>
                    <w:rPr>
                      <w:snapToGrid w:val="0"/>
                      <w:color w:val="auto"/>
                      <w:kern w:val="0"/>
                      <w:szCs w:val="21"/>
                    </w:rPr>
                    <w:t>DB32/</w:t>
                  </w:r>
                  <w:r>
                    <w:rPr>
                      <w:rFonts w:hint="eastAsia"/>
                      <w:snapToGrid w:val="0"/>
                      <w:color w:val="auto"/>
                      <w:kern w:val="0"/>
                      <w:szCs w:val="21"/>
                    </w:rPr>
                    <w:t>4439-2022）表3、</w:t>
                  </w:r>
                  <w:r>
                    <w:rPr>
                      <w:snapToGrid w:val="0"/>
                      <w:color w:val="auto"/>
                      <w:kern w:val="0"/>
                      <w:szCs w:val="21"/>
                    </w:rPr>
                    <w:t>江苏省</w:t>
                  </w:r>
                  <w:r>
                    <w:rPr>
                      <w:rFonts w:hint="eastAsia"/>
                      <w:snapToGrid w:val="0"/>
                      <w:color w:val="auto"/>
                      <w:kern w:val="0"/>
                      <w:szCs w:val="21"/>
                    </w:rPr>
                    <w:t>《大气污染物综合排放标准》（DB32/4041-2021）</w:t>
                  </w:r>
                  <w:r>
                    <w:rPr>
                      <w:snapToGrid w:val="0"/>
                      <w:color w:val="auto"/>
                      <w:kern w:val="0"/>
                      <w:szCs w:val="21"/>
                    </w:rPr>
                    <w:t>表</w:t>
                  </w:r>
                  <w:r>
                    <w:rPr>
                      <w:rFonts w:hint="eastAsia"/>
                      <w:snapToGrid w:val="0"/>
                      <w:color w:val="auto"/>
                      <w:kern w:val="0"/>
                      <w:szCs w:val="21"/>
                    </w:rPr>
                    <w:t>2</w:t>
                  </w:r>
                </w:p>
              </w:tc>
            </w:tr>
            <w:tr w14:paraId="1738238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57" w:type="dxa"/>
                  <w:bottom w:w="0" w:type="dxa"/>
                  <w:right w:w="57" w:type="dxa"/>
                </w:tblCellMar>
              </w:tblPrEx>
              <w:trPr>
                <w:trHeight w:val="340" w:hRule="atLeast"/>
                <w:jc w:val="center"/>
              </w:trPr>
              <w:tc>
                <w:tcPr>
                  <w:tcW w:w="865" w:type="dxa"/>
                  <w:vMerge w:val="continue"/>
                  <w:tcBorders>
                    <w:top w:val="single" w:color="auto" w:sz="4" w:space="0"/>
                    <w:left w:val="nil"/>
                    <w:bottom w:val="single" w:color="auto" w:sz="12" w:space="0"/>
                    <w:right w:val="single" w:color="auto" w:sz="4" w:space="0"/>
                  </w:tcBorders>
                  <w:vAlign w:val="center"/>
                </w:tcPr>
                <w:p w14:paraId="17382381">
                  <w:pPr>
                    <w:tabs>
                      <w:tab w:val="left" w:pos="277"/>
                      <w:tab w:val="left" w:pos="600"/>
                      <w:tab w:val="left" w:pos="780"/>
                      <w:tab w:val="left" w:pos="2517"/>
                    </w:tabs>
                    <w:jc w:val="center"/>
                    <w:rPr>
                      <w:color w:val="auto"/>
                    </w:rPr>
                  </w:pPr>
                </w:p>
              </w:tc>
              <w:tc>
                <w:tcPr>
                  <w:tcW w:w="851" w:type="dxa"/>
                  <w:tcBorders>
                    <w:top w:val="single" w:color="auto" w:sz="4" w:space="0"/>
                    <w:left w:val="single" w:color="auto" w:sz="4" w:space="0"/>
                    <w:bottom w:val="single" w:color="auto" w:sz="12" w:space="0"/>
                    <w:right w:val="single" w:color="auto" w:sz="4" w:space="0"/>
                  </w:tcBorders>
                  <w:vAlign w:val="center"/>
                </w:tcPr>
                <w:p w14:paraId="17382382">
                  <w:pPr>
                    <w:tabs>
                      <w:tab w:val="left" w:pos="277"/>
                      <w:tab w:val="left" w:pos="600"/>
                      <w:tab w:val="left" w:pos="780"/>
                      <w:tab w:val="left" w:pos="2517"/>
                    </w:tabs>
                    <w:jc w:val="center"/>
                    <w:rPr>
                      <w:color w:val="auto"/>
                    </w:rPr>
                  </w:pPr>
                  <w:r>
                    <w:rPr>
                      <w:rFonts w:hint="eastAsia"/>
                      <w:color w:val="auto"/>
                    </w:rPr>
                    <w:t>20</w:t>
                  </w:r>
                </w:p>
              </w:tc>
              <w:tc>
                <w:tcPr>
                  <w:tcW w:w="2551" w:type="dxa"/>
                  <w:tcBorders>
                    <w:top w:val="single" w:color="auto" w:sz="4" w:space="0"/>
                    <w:left w:val="single" w:color="auto" w:sz="4" w:space="0"/>
                    <w:bottom w:val="single" w:color="auto" w:sz="12" w:space="0"/>
                    <w:right w:val="single" w:color="auto" w:sz="4" w:space="0"/>
                  </w:tcBorders>
                  <w:vAlign w:val="center"/>
                </w:tcPr>
                <w:p w14:paraId="17382383">
                  <w:pPr>
                    <w:tabs>
                      <w:tab w:val="left" w:pos="277"/>
                      <w:tab w:val="left" w:pos="600"/>
                      <w:tab w:val="left" w:pos="780"/>
                      <w:tab w:val="left" w:pos="2517"/>
                    </w:tabs>
                    <w:jc w:val="center"/>
                    <w:rPr>
                      <w:snapToGrid w:val="0"/>
                      <w:color w:val="auto"/>
                      <w:kern w:val="0"/>
                      <w:szCs w:val="21"/>
                    </w:rPr>
                  </w:pPr>
                  <w:r>
                    <w:rPr>
                      <w:rFonts w:hint="eastAsia"/>
                      <w:snapToGrid w:val="0"/>
                      <w:color w:val="auto"/>
                      <w:kern w:val="0"/>
                      <w:szCs w:val="21"/>
                    </w:rPr>
                    <w:t>监控点处任意一次浓度值</w:t>
                  </w:r>
                </w:p>
              </w:tc>
              <w:tc>
                <w:tcPr>
                  <w:tcW w:w="1177" w:type="dxa"/>
                  <w:vMerge w:val="continue"/>
                  <w:tcBorders>
                    <w:top w:val="single" w:color="auto" w:sz="4" w:space="0"/>
                    <w:left w:val="single" w:color="auto" w:sz="4" w:space="0"/>
                    <w:bottom w:val="single" w:color="auto" w:sz="12" w:space="0"/>
                    <w:right w:val="single" w:color="auto" w:sz="4" w:space="0"/>
                  </w:tcBorders>
                  <w:vAlign w:val="center"/>
                </w:tcPr>
                <w:p w14:paraId="17382384">
                  <w:pPr>
                    <w:tabs>
                      <w:tab w:val="left" w:pos="277"/>
                      <w:tab w:val="left" w:pos="600"/>
                      <w:tab w:val="left" w:pos="780"/>
                      <w:tab w:val="left" w:pos="2517"/>
                    </w:tabs>
                    <w:jc w:val="center"/>
                    <w:rPr>
                      <w:snapToGrid w:val="0"/>
                      <w:color w:val="auto"/>
                      <w:kern w:val="0"/>
                      <w:szCs w:val="21"/>
                    </w:rPr>
                  </w:pPr>
                </w:p>
              </w:tc>
              <w:tc>
                <w:tcPr>
                  <w:tcW w:w="2977" w:type="dxa"/>
                  <w:vMerge w:val="continue"/>
                  <w:tcBorders>
                    <w:top w:val="single" w:color="auto" w:sz="4" w:space="0"/>
                    <w:left w:val="single" w:color="auto" w:sz="4" w:space="0"/>
                    <w:bottom w:val="single" w:color="auto" w:sz="12" w:space="0"/>
                    <w:right w:val="nil"/>
                  </w:tcBorders>
                  <w:vAlign w:val="center"/>
                </w:tcPr>
                <w:p w14:paraId="17382385">
                  <w:pPr>
                    <w:tabs>
                      <w:tab w:val="left" w:pos="277"/>
                      <w:tab w:val="left" w:pos="600"/>
                      <w:tab w:val="left" w:pos="780"/>
                      <w:tab w:val="left" w:pos="2517"/>
                    </w:tabs>
                    <w:jc w:val="center"/>
                    <w:rPr>
                      <w:snapToGrid w:val="0"/>
                      <w:color w:val="auto"/>
                      <w:kern w:val="0"/>
                      <w:szCs w:val="21"/>
                    </w:rPr>
                  </w:pPr>
                </w:p>
              </w:tc>
            </w:tr>
            <w:bookmarkEnd w:id="5"/>
            <w:bookmarkEnd w:id="6"/>
          </w:tbl>
          <w:p w14:paraId="17382387">
            <w:pPr>
              <w:adjustRightInd w:val="0"/>
              <w:snapToGrid w:val="0"/>
              <w:spacing w:line="360" w:lineRule="auto"/>
              <w:ind w:firstLine="482" w:firstLineChars="200"/>
              <w:rPr>
                <w:b/>
                <w:color w:val="auto"/>
                <w:sz w:val="24"/>
              </w:rPr>
            </w:pPr>
            <w:r>
              <w:rPr>
                <w:b/>
                <w:color w:val="auto"/>
                <w:sz w:val="24"/>
              </w:rPr>
              <w:t>2、水污染排放标准</w:t>
            </w:r>
          </w:p>
          <w:p w14:paraId="17382388">
            <w:pPr>
              <w:pStyle w:val="81"/>
              <w:adjustRightInd w:val="0"/>
              <w:snapToGrid w:val="0"/>
              <w:spacing w:before="0" w:beforeAutospacing="0" w:after="0" w:afterAutospacing="0" w:line="360" w:lineRule="auto"/>
              <w:ind w:firstLine="480" w:firstLineChars="200"/>
              <w:jc w:val="both"/>
              <w:rPr>
                <w:rFonts w:ascii="Times New Roman" w:hAnsi="Times New Roman"/>
                <w:color w:val="auto"/>
                <w:lang w:val="en-US"/>
              </w:rPr>
            </w:pPr>
            <w:r>
              <w:rPr>
                <w:rFonts w:hint="eastAsia" w:ascii="Times New Roman" w:hAnsi="Times New Roman"/>
                <w:color w:val="auto"/>
                <w:lang w:val="en-US"/>
              </w:rPr>
              <w:t>本项目</w:t>
            </w:r>
            <w:r>
              <w:rPr>
                <w:rFonts w:hint="eastAsia" w:ascii="Times New Roman" w:hAnsi="Times New Roman"/>
                <w:color w:val="auto"/>
                <w:lang w:val="en-US" w:eastAsia="zh-CN"/>
              </w:rPr>
              <w:t>无</w:t>
            </w:r>
            <w:r>
              <w:rPr>
                <w:rFonts w:hint="eastAsia"/>
                <w:color w:val="auto"/>
                <w:sz w:val="24"/>
              </w:rPr>
              <w:t>生产废水</w:t>
            </w:r>
            <w:r>
              <w:rPr>
                <w:rFonts w:hint="eastAsia"/>
                <w:color w:val="auto"/>
                <w:sz w:val="24"/>
                <w:lang w:val="en-US" w:eastAsia="zh-CN"/>
              </w:rPr>
              <w:t>产生</w:t>
            </w:r>
            <w:r>
              <w:rPr>
                <w:rFonts w:hint="eastAsia"/>
                <w:color w:val="auto"/>
                <w:sz w:val="24"/>
                <w:lang w:eastAsia="zh-CN"/>
              </w:rPr>
              <w:t>，</w:t>
            </w:r>
            <w:r>
              <w:rPr>
                <w:rFonts w:hint="eastAsia" w:ascii="Times New Roman" w:hAnsi="Times New Roman"/>
                <w:color w:val="auto"/>
                <w:lang w:val="en-US"/>
              </w:rPr>
              <w:t>生活污水经化粪池预处理后用于</w:t>
            </w:r>
            <w:r>
              <w:rPr>
                <w:rFonts w:hint="eastAsia" w:ascii="Times New Roman" w:hAnsi="Times New Roman"/>
                <w:color w:val="auto"/>
                <w:lang w:val="en-US" w:eastAsia="zh-CN"/>
              </w:rPr>
              <w:t>农田灌溉</w:t>
            </w:r>
            <w:r>
              <w:rPr>
                <w:rFonts w:hint="eastAsia" w:ascii="Times New Roman" w:hAnsi="Times New Roman"/>
                <w:color w:val="auto"/>
                <w:lang w:val="en-US"/>
              </w:rPr>
              <w:t>。</w:t>
            </w:r>
          </w:p>
          <w:p w14:paraId="17382389">
            <w:pPr>
              <w:widowControl/>
              <w:snapToGrid w:val="0"/>
              <w:jc w:val="center"/>
              <w:rPr>
                <w:b/>
                <w:color w:val="auto"/>
                <w:sz w:val="24"/>
              </w:rPr>
            </w:pPr>
            <w:r>
              <w:rPr>
                <w:b/>
                <w:color w:val="auto"/>
                <w:sz w:val="24"/>
              </w:rPr>
              <w:t>表</w:t>
            </w:r>
            <w:r>
              <w:rPr>
                <w:rFonts w:hint="eastAsia"/>
                <w:b/>
                <w:color w:val="auto"/>
                <w:sz w:val="24"/>
              </w:rPr>
              <w:t>3-6</w:t>
            </w:r>
            <w:r>
              <w:rPr>
                <w:b/>
                <w:color w:val="auto"/>
                <w:sz w:val="24"/>
              </w:rPr>
              <w:t xml:space="preserve"> 农田灌溉水质标准</w:t>
            </w:r>
            <w:r>
              <w:rPr>
                <w:rFonts w:hint="eastAsia"/>
                <w:b/>
                <w:color w:val="auto"/>
                <w:sz w:val="24"/>
              </w:rPr>
              <w:t xml:space="preserve">    </w:t>
            </w:r>
            <w:r>
              <w:rPr>
                <w:b/>
                <w:color w:val="auto"/>
                <w:sz w:val="24"/>
              </w:rPr>
              <w:t>单位：mg/L，pH无量纲</w:t>
            </w:r>
          </w:p>
          <w:p w14:paraId="1738238A">
            <w:pPr>
              <w:spacing w:line="27" w:lineRule="exact"/>
              <w:rPr>
                <w:color w:val="auto"/>
              </w:rPr>
            </w:pPr>
          </w:p>
          <w:tbl>
            <w:tblPr>
              <w:tblStyle w:val="4055"/>
              <w:tblW w:w="4996" w:type="pct"/>
              <w:jc w:val="center"/>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Layout w:type="fixed"/>
              <w:tblCellMar>
                <w:top w:w="0" w:type="dxa"/>
                <w:left w:w="0" w:type="dxa"/>
                <w:bottom w:w="0" w:type="dxa"/>
                <w:right w:w="0" w:type="dxa"/>
              </w:tblCellMar>
            </w:tblPr>
            <w:tblGrid>
              <w:gridCol w:w="946"/>
              <w:gridCol w:w="929"/>
              <w:gridCol w:w="934"/>
              <w:gridCol w:w="930"/>
              <w:gridCol w:w="935"/>
              <w:gridCol w:w="930"/>
              <w:gridCol w:w="935"/>
              <w:gridCol w:w="742"/>
              <w:gridCol w:w="1129"/>
            </w:tblGrid>
            <w:tr w14:paraId="17382394">
              <w:tblPrEx>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CellMar>
                  <w:top w:w="0" w:type="dxa"/>
                  <w:left w:w="0" w:type="dxa"/>
                  <w:bottom w:w="0" w:type="dxa"/>
                  <w:right w:w="0" w:type="dxa"/>
                </w:tblCellMar>
              </w:tblPrEx>
              <w:trPr>
                <w:trHeight w:val="340" w:hRule="atLeast"/>
                <w:jc w:val="center"/>
              </w:trPr>
              <w:tc>
                <w:tcPr>
                  <w:tcW w:w="562" w:type="pct"/>
                  <w:vMerge w:val="restart"/>
                  <w:tcBorders>
                    <w:tl2br w:val="nil"/>
                    <w:tr2bl w:val="nil"/>
                  </w:tcBorders>
                  <w:vAlign w:val="center"/>
                </w:tcPr>
                <w:p w14:paraId="1738238B">
                  <w:pPr>
                    <w:tabs>
                      <w:tab w:val="left" w:pos="8358"/>
                    </w:tabs>
                    <w:jc w:val="center"/>
                    <w:rPr>
                      <w:b/>
                      <w:bCs/>
                      <w:color w:val="auto"/>
                      <w:szCs w:val="21"/>
                    </w:rPr>
                  </w:pPr>
                  <w:r>
                    <w:rPr>
                      <w:b/>
                      <w:bCs/>
                      <w:color w:val="auto"/>
                      <w:szCs w:val="21"/>
                    </w:rPr>
                    <w:t>项目</w:t>
                  </w:r>
                </w:p>
              </w:tc>
              <w:tc>
                <w:tcPr>
                  <w:tcW w:w="552" w:type="pct"/>
                  <w:tcBorders>
                    <w:tl2br w:val="nil"/>
                    <w:tr2bl w:val="nil"/>
                  </w:tcBorders>
                  <w:vAlign w:val="center"/>
                </w:tcPr>
                <w:p w14:paraId="1738238C">
                  <w:pPr>
                    <w:tabs>
                      <w:tab w:val="left" w:pos="8358"/>
                    </w:tabs>
                    <w:jc w:val="center"/>
                    <w:rPr>
                      <w:b/>
                      <w:bCs/>
                      <w:color w:val="auto"/>
                      <w:szCs w:val="21"/>
                    </w:rPr>
                  </w:pPr>
                  <w:r>
                    <w:rPr>
                      <w:b/>
                      <w:bCs/>
                      <w:color w:val="auto"/>
                      <w:szCs w:val="21"/>
                    </w:rPr>
                    <w:t>pH</w:t>
                  </w:r>
                </w:p>
              </w:tc>
              <w:tc>
                <w:tcPr>
                  <w:tcW w:w="555" w:type="pct"/>
                  <w:tcBorders>
                    <w:tl2br w:val="nil"/>
                    <w:tr2bl w:val="nil"/>
                  </w:tcBorders>
                  <w:vAlign w:val="center"/>
                </w:tcPr>
                <w:p w14:paraId="1738238D">
                  <w:pPr>
                    <w:tabs>
                      <w:tab w:val="left" w:pos="8358"/>
                    </w:tabs>
                    <w:jc w:val="center"/>
                    <w:rPr>
                      <w:b/>
                      <w:bCs/>
                      <w:color w:val="auto"/>
                      <w:szCs w:val="21"/>
                    </w:rPr>
                  </w:pPr>
                  <w:r>
                    <w:rPr>
                      <w:b/>
                      <w:bCs/>
                      <w:color w:val="auto"/>
                      <w:szCs w:val="21"/>
                    </w:rPr>
                    <w:t>COD</w:t>
                  </w:r>
                </w:p>
              </w:tc>
              <w:tc>
                <w:tcPr>
                  <w:tcW w:w="553" w:type="pct"/>
                  <w:tcBorders>
                    <w:tl2br w:val="nil"/>
                    <w:tr2bl w:val="nil"/>
                  </w:tcBorders>
                  <w:vAlign w:val="center"/>
                </w:tcPr>
                <w:p w14:paraId="1738238E">
                  <w:pPr>
                    <w:tabs>
                      <w:tab w:val="left" w:pos="8358"/>
                    </w:tabs>
                    <w:jc w:val="center"/>
                    <w:rPr>
                      <w:b/>
                      <w:bCs/>
                      <w:color w:val="auto"/>
                      <w:szCs w:val="21"/>
                    </w:rPr>
                  </w:pPr>
                  <w:r>
                    <w:rPr>
                      <w:b/>
                      <w:bCs/>
                      <w:color w:val="auto"/>
                      <w:szCs w:val="21"/>
                    </w:rPr>
                    <w:t>BOD</w:t>
                  </w:r>
                  <w:r>
                    <w:rPr>
                      <w:b/>
                      <w:bCs/>
                      <w:color w:val="auto"/>
                      <w:szCs w:val="21"/>
                      <w:vertAlign w:val="subscript"/>
                    </w:rPr>
                    <w:t>5</w:t>
                  </w:r>
                </w:p>
              </w:tc>
              <w:tc>
                <w:tcPr>
                  <w:tcW w:w="556" w:type="pct"/>
                  <w:tcBorders>
                    <w:tl2br w:val="nil"/>
                    <w:tr2bl w:val="nil"/>
                  </w:tcBorders>
                  <w:vAlign w:val="center"/>
                </w:tcPr>
                <w:p w14:paraId="1738238F">
                  <w:pPr>
                    <w:tabs>
                      <w:tab w:val="left" w:pos="8358"/>
                    </w:tabs>
                    <w:jc w:val="center"/>
                    <w:rPr>
                      <w:b/>
                      <w:bCs/>
                      <w:color w:val="auto"/>
                      <w:szCs w:val="21"/>
                    </w:rPr>
                  </w:pPr>
                  <w:r>
                    <w:rPr>
                      <w:b/>
                      <w:bCs/>
                      <w:color w:val="auto"/>
                      <w:szCs w:val="21"/>
                    </w:rPr>
                    <w:t>总砷</w:t>
                  </w:r>
                </w:p>
              </w:tc>
              <w:tc>
                <w:tcPr>
                  <w:tcW w:w="553" w:type="pct"/>
                  <w:tcBorders>
                    <w:tl2br w:val="nil"/>
                    <w:tr2bl w:val="nil"/>
                  </w:tcBorders>
                  <w:vAlign w:val="center"/>
                </w:tcPr>
                <w:p w14:paraId="17382390">
                  <w:pPr>
                    <w:tabs>
                      <w:tab w:val="left" w:pos="8358"/>
                    </w:tabs>
                    <w:jc w:val="center"/>
                    <w:rPr>
                      <w:b/>
                      <w:bCs/>
                      <w:color w:val="auto"/>
                      <w:szCs w:val="21"/>
                    </w:rPr>
                  </w:pPr>
                  <w:r>
                    <w:rPr>
                      <w:b/>
                      <w:bCs/>
                      <w:color w:val="auto"/>
                      <w:szCs w:val="21"/>
                    </w:rPr>
                    <w:t>氯化物</w:t>
                  </w:r>
                </w:p>
              </w:tc>
              <w:tc>
                <w:tcPr>
                  <w:tcW w:w="556" w:type="pct"/>
                  <w:tcBorders>
                    <w:tl2br w:val="nil"/>
                    <w:tr2bl w:val="nil"/>
                  </w:tcBorders>
                  <w:vAlign w:val="center"/>
                </w:tcPr>
                <w:p w14:paraId="17382391">
                  <w:pPr>
                    <w:tabs>
                      <w:tab w:val="left" w:pos="8358"/>
                    </w:tabs>
                    <w:jc w:val="center"/>
                    <w:rPr>
                      <w:b/>
                      <w:bCs/>
                      <w:color w:val="auto"/>
                      <w:szCs w:val="21"/>
                    </w:rPr>
                  </w:pPr>
                  <w:r>
                    <w:rPr>
                      <w:b/>
                      <w:bCs/>
                      <w:color w:val="auto"/>
                      <w:szCs w:val="21"/>
                    </w:rPr>
                    <w:t>SS</w:t>
                  </w:r>
                </w:p>
              </w:tc>
              <w:tc>
                <w:tcPr>
                  <w:tcW w:w="441" w:type="pct"/>
                  <w:tcBorders>
                    <w:tl2br w:val="nil"/>
                    <w:tr2bl w:val="nil"/>
                  </w:tcBorders>
                  <w:vAlign w:val="center"/>
                </w:tcPr>
                <w:p w14:paraId="17382392">
                  <w:pPr>
                    <w:tabs>
                      <w:tab w:val="left" w:pos="8358"/>
                    </w:tabs>
                    <w:jc w:val="center"/>
                    <w:rPr>
                      <w:b/>
                      <w:bCs/>
                      <w:color w:val="auto"/>
                      <w:szCs w:val="21"/>
                    </w:rPr>
                  </w:pPr>
                  <w:r>
                    <w:rPr>
                      <w:b/>
                      <w:bCs/>
                      <w:color w:val="auto"/>
                      <w:szCs w:val="21"/>
                    </w:rPr>
                    <w:t>硫化物</w:t>
                  </w:r>
                </w:p>
              </w:tc>
              <w:tc>
                <w:tcPr>
                  <w:tcW w:w="668" w:type="pct"/>
                  <w:tcBorders>
                    <w:tl2br w:val="nil"/>
                    <w:tr2bl w:val="nil"/>
                  </w:tcBorders>
                  <w:vAlign w:val="center"/>
                </w:tcPr>
                <w:p w14:paraId="17382393">
                  <w:pPr>
                    <w:tabs>
                      <w:tab w:val="left" w:pos="8358"/>
                    </w:tabs>
                    <w:jc w:val="center"/>
                    <w:rPr>
                      <w:b/>
                      <w:bCs/>
                      <w:color w:val="auto"/>
                      <w:szCs w:val="21"/>
                    </w:rPr>
                  </w:pPr>
                  <w:r>
                    <w:rPr>
                      <w:b/>
                      <w:bCs/>
                      <w:color w:val="auto"/>
                      <w:szCs w:val="21"/>
                    </w:rPr>
                    <w:t>粪大肠菌群</w:t>
                  </w:r>
                </w:p>
              </w:tc>
            </w:tr>
            <w:tr w14:paraId="1738239E">
              <w:tblPrEx>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CellMar>
                  <w:top w:w="0" w:type="dxa"/>
                  <w:left w:w="0" w:type="dxa"/>
                  <w:bottom w:w="0" w:type="dxa"/>
                  <w:right w:w="0" w:type="dxa"/>
                </w:tblCellMar>
              </w:tblPrEx>
              <w:trPr>
                <w:trHeight w:val="340" w:hRule="atLeast"/>
                <w:jc w:val="center"/>
              </w:trPr>
              <w:tc>
                <w:tcPr>
                  <w:tcW w:w="562" w:type="pct"/>
                  <w:vMerge w:val="continue"/>
                  <w:tcBorders>
                    <w:tl2br w:val="nil"/>
                    <w:tr2bl w:val="nil"/>
                  </w:tcBorders>
                  <w:vAlign w:val="center"/>
                </w:tcPr>
                <w:p w14:paraId="17382395">
                  <w:pPr>
                    <w:tabs>
                      <w:tab w:val="left" w:pos="8358"/>
                    </w:tabs>
                    <w:jc w:val="center"/>
                    <w:rPr>
                      <w:b/>
                      <w:bCs/>
                      <w:color w:val="auto"/>
                      <w:szCs w:val="21"/>
                    </w:rPr>
                  </w:pPr>
                </w:p>
              </w:tc>
              <w:tc>
                <w:tcPr>
                  <w:tcW w:w="552" w:type="pct"/>
                  <w:tcBorders>
                    <w:tl2br w:val="nil"/>
                    <w:tr2bl w:val="nil"/>
                  </w:tcBorders>
                  <w:vAlign w:val="center"/>
                </w:tcPr>
                <w:p w14:paraId="17382396">
                  <w:pPr>
                    <w:tabs>
                      <w:tab w:val="left" w:pos="8358"/>
                    </w:tabs>
                    <w:jc w:val="center"/>
                    <w:rPr>
                      <w:b/>
                      <w:bCs/>
                      <w:color w:val="auto"/>
                      <w:szCs w:val="21"/>
                    </w:rPr>
                  </w:pPr>
                  <w:r>
                    <w:rPr>
                      <w:b/>
                      <w:bCs/>
                      <w:color w:val="auto"/>
                      <w:szCs w:val="21"/>
                    </w:rPr>
                    <w:t>无量纲</w:t>
                  </w:r>
                </w:p>
              </w:tc>
              <w:tc>
                <w:tcPr>
                  <w:tcW w:w="555" w:type="pct"/>
                  <w:tcBorders>
                    <w:tl2br w:val="nil"/>
                    <w:tr2bl w:val="nil"/>
                  </w:tcBorders>
                  <w:vAlign w:val="center"/>
                </w:tcPr>
                <w:p w14:paraId="17382397">
                  <w:pPr>
                    <w:tabs>
                      <w:tab w:val="left" w:pos="8358"/>
                    </w:tabs>
                    <w:jc w:val="center"/>
                    <w:rPr>
                      <w:b/>
                      <w:bCs/>
                      <w:color w:val="auto"/>
                      <w:szCs w:val="21"/>
                    </w:rPr>
                  </w:pPr>
                  <w:r>
                    <w:rPr>
                      <w:b/>
                      <w:bCs/>
                      <w:color w:val="auto"/>
                      <w:szCs w:val="21"/>
                    </w:rPr>
                    <w:t>mg/L</w:t>
                  </w:r>
                </w:p>
              </w:tc>
              <w:tc>
                <w:tcPr>
                  <w:tcW w:w="553" w:type="pct"/>
                  <w:tcBorders>
                    <w:tl2br w:val="nil"/>
                    <w:tr2bl w:val="nil"/>
                  </w:tcBorders>
                  <w:vAlign w:val="center"/>
                </w:tcPr>
                <w:p w14:paraId="17382398">
                  <w:pPr>
                    <w:tabs>
                      <w:tab w:val="left" w:pos="8358"/>
                    </w:tabs>
                    <w:jc w:val="center"/>
                    <w:rPr>
                      <w:b/>
                      <w:bCs/>
                      <w:color w:val="auto"/>
                      <w:szCs w:val="21"/>
                    </w:rPr>
                  </w:pPr>
                  <w:r>
                    <w:rPr>
                      <w:b/>
                      <w:bCs/>
                      <w:color w:val="auto"/>
                      <w:szCs w:val="21"/>
                    </w:rPr>
                    <w:t>mg/L</w:t>
                  </w:r>
                </w:p>
              </w:tc>
              <w:tc>
                <w:tcPr>
                  <w:tcW w:w="556" w:type="pct"/>
                  <w:tcBorders>
                    <w:tl2br w:val="nil"/>
                    <w:tr2bl w:val="nil"/>
                  </w:tcBorders>
                  <w:vAlign w:val="center"/>
                </w:tcPr>
                <w:p w14:paraId="17382399">
                  <w:pPr>
                    <w:tabs>
                      <w:tab w:val="left" w:pos="8358"/>
                    </w:tabs>
                    <w:jc w:val="center"/>
                    <w:rPr>
                      <w:b/>
                      <w:bCs/>
                      <w:color w:val="auto"/>
                      <w:szCs w:val="21"/>
                    </w:rPr>
                  </w:pPr>
                  <w:r>
                    <w:rPr>
                      <w:b/>
                      <w:bCs/>
                      <w:color w:val="auto"/>
                      <w:szCs w:val="21"/>
                    </w:rPr>
                    <w:t>mg/L</w:t>
                  </w:r>
                </w:p>
              </w:tc>
              <w:tc>
                <w:tcPr>
                  <w:tcW w:w="553" w:type="pct"/>
                  <w:tcBorders>
                    <w:tl2br w:val="nil"/>
                    <w:tr2bl w:val="nil"/>
                  </w:tcBorders>
                  <w:vAlign w:val="center"/>
                </w:tcPr>
                <w:p w14:paraId="1738239A">
                  <w:pPr>
                    <w:tabs>
                      <w:tab w:val="left" w:pos="8358"/>
                    </w:tabs>
                    <w:jc w:val="center"/>
                    <w:rPr>
                      <w:b/>
                      <w:bCs/>
                      <w:color w:val="auto"/>
                      <w:szCs w:val="21"/>
                    </w:rPr>
                  </w:pPr>
                  <w:r>
                    <w:rPr>
                      <w:b/>
                      <w:bCs/>
                      <w:color w:val="auto"/>
                      <w:szCs w:val="21"/>
                    </w:rPr>
                    <w:t>mg/L</w:t>
                  </w:r>
                </w:p>
              </w:tc>
              <w:tc>
                <w:tcPr>
                  <w:tcW w:w="556" w:type="pct"/>
                  <w:tcBorders>
                    <w:tl2br w:val="nil"/>
                    <w:tr2bl w:val="nil"/>
                  </w:tcBorders>
                  <w:vAlign w:val="center"/>
                </w:tcPr>
                <w:p w14:paraId="1738239B">
                  <w:pPr>
                    <w:tabs>
                      <w:tab w:val="left" w:pos="8358"/>
                    </w:tabs>
                    <w:jc w:val="center"/>
                    <w:rPr>
                      <w:b/>
                      <w:bCs/>
                      <w:color w:val="auto"/>
                      <w:szCs w:val="21"/>
                    </w:rPr>
                  </w:pPr>
                  <w:r>
                    <w:rPr>
                      <w:b/>
                      <w:bCs/>
                      <w:color w:val="auto"/>
                      <w:szCs w:val="21"/>
                    </w:rPr>
                    <w:t>mg/L</w:t>
                  </w:r>
                </w:p>
              </w:tc>
              <w:tc>
                <w:tcPr>
                  <w:tcW w:w="441" w:type="pct"/>
                  <w:tcBorders>
                    <w:tl2br w:val="nil"/>
                    <w:tr2bl w:val="nil"/>
                  </w:tcBorders>
                  <w:vAlign w:val="center"/>
                </w:tcPr>
                <w:p w14:paraId="1738239C">
                  <w:pPr>
                    <w:tabs>
                      <w:tab w:val="left" w:pos="8358"/>
                    </w:tabs>
                    <w:jc w:val="center"/>
                    <w:rPr>
                      <w:b/>
                      <w:bCs/>
                      <w:color w:val="auto"/>
                      <w:szCs w:val="21"/>
                    </w:rPr>
                  </w:pPr>
                  <w:r>
                    <w:rPr>
                      <w:b/>
                      <w:bCs/>
                      <w:color w:val="auto"/>
                      <w:szCs w:val="21"/>
                    </w:rPr>
                    <w:t>mg/L</w:t>
                  </w:r>
                </w:p>
              </w:tc>
              <w:tc>
                <w:tcPr>
                  <w:tcW w:w="668" w:type="pct"/>
                  <w:tcBorders>
                    <w:tl2br w:val="nil"/>
                    <w:tr2bl w:val="nil"/>
                  </w:tcBorders>
                  <w:vAlign w:val="center"/>
                </w:tcPr>
                <w:p w14:paraId="1738239D">
                  <w:pPr>
                    <w:tabs>
                      <w:tab w:val="left" w:pos="8358"/>
                    </w:tabs>
                    <w:jc w:val="center"/>
                    <w:rPr>
                      <w:b/>
                      <w:bCs/>
                      <w:color w:val="auto"/>
                      <w:szCs w:val="21"/>
                    </w:rPr>
                  </w:pPr>
                  <w:r>
                    <w:rPr>
                      <w:b/>
                      <w:bCs/>
                      <w:color w:val="auto"/>
                      <w:szCs w:val="21"/>
                    </w:rPr>
                    <w:t>个/L</w:t>
                  </w:r>
                </w:p>
              </w:tc>
            </w:tr>
            <w:tr w14:paraId="173823A8">
              <w:tblPrEx>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CellMar>
                  <w:top w:w="0" w:type="dxa"/>
                  <w:left w:w="0" w:type="dxa"/>
                  <w:bottom w:w="0" w:type="dxa"/>
                  <w:right w:w="0" w:type="dxa"/>
                </w:tblCellMar>
              </w:tblPrEx>
              <w:trPr>
                <w:trHeight w:val="340" w:hRule="atLeast"/>
                <w:jc w:val="center"/>
              </w:trPr>
              <w:tc>
                <w:tcPr>
                  <w:tcW w:w="562" w:type="pct"/>
                  <w:tcBorders>
                    <w:tl2br w:val="nil"/>
                    <w:tr2bl w:val="nil"/>
                  </w:tcBorders>
                  <w:vAlign w:val="center"/>
                </w:tcPr>
                <w:p w14:paraId="1738239F">
                  <w:pPr>
                    <w:tabs>
                      <w:tab w:val="left" w:pos="8358"/>
                    </w:tabs>
                    <w:jc w:val="center"/>
                    <w:rPr>
                      <w:color w:val="auto"/>
                      <w:szCs w:val="21"/>
                    </w:rPr>
                  </w:pPr>
                  <w:r>
                    <w:rPr>
                      <w:rFonts w:hint="eastAsia"/>
                      <w:color w:val="auto"/>
                      <w:szCs w:val="21"/>
                    </w:rPr>
                    <w:t>旱</w:t>
                  </w:r>
                  <w:r>
                    <w:rPr>
                      <w:color w:val="auto"/>
                      <w:szCs w:val="21"/>
                    </w:rPr>
                    <w:t>作</w:t>
                  </w:r>
                </w:p>
              </w:tc>
              <w:tc>
                <w:tcPr>
                  <w:tcW w:w="552" w:type="pct"/>
                  <w:tcBorders>
                    <w:tl2br w:val="nil"/>
                    <w:tr2bl w:val="nil"/>
                  </w:tcBorders>
                  <w:vAlign w:val="center"/>
                </w:tcPr>
                <w:p w14:paraId="173823A0">
                  <w:pPr>
                    <w:tabs>
                      <w:tab w:val="left" w:pos="8358"/>
                    </w:tabs>
                    <w:jc w:val="center"/>
                    <w:rPr>
                      <w:color w:val="auto"/>
                      <w:szCs w:val="21"/>
                    </w:rPr>
                  </w:pPr>
                  <w:r>
                    <w:rPr>
                      <w:color w:val="auto"/>
                      <w:szCs w:val="21"/>
                    </w:rPr>
                    <w:t>5.5-8.5</w:t>
                  </w:r>
                </w:p>
              </w:tc>
              <w:tc>
                <w:tcPr>
                  <w:tcW w:w="555" w:type="pct"/>
                  <w:tcBorders>
                    <w:tl2br w:val="nil"/>
                    <w:tr2bl w:val="nil"/>
                  </w:tcBorders>
                  <w:vAlign w:val="center"/>
                </w:tcPr>
                <w:p w14:paraId="173823A1">
                  <w:pPr>
                    <w:tabs>
                      <w:tab w:val="left" w:pos="8358"/>
                    </w:tabs>
                    <w:jc w:val="center"/>
                    <w:rPr>
                      <w:color w:val="auto"/>
                      <w:szCs w:val="21"/>
                    </w:rPr>
                  </w:pPr>
                  <w:r>
                    <w:rPr>
                      <w:color w:val="auto"/>
                      <w:szCs w:val="21"/>
                    </w:rPr>
                    <w:t>200</w:t>
                  </w:r>
                </w:p>
              </w:tc>
              <w:tc>
                <w:tcPr>
                  <w:tcW w:w="553" w:type="pct"/>
                  <w:tcBorders>
                    <w:tl2br w:val="nil"/>
                    <w:tr2bl w:val="nil"/>
                  </w:tcBorders>
                  <w:vAlign w:val="center"/>
                </w:tcPr>
                <w:p w14:paraId="173823A2">
                  <w:pPr>
                    <w:tabs>
                      <w:tab w:val="left" w:pos="8358"/>
                    </w:tabs>
                    <w:jc w:val="center"/>
                    <w:rPr>
                      <w:color w:val="auto"/>
                      <w:szCs w:val="21"/>
                    </w:rPr>
                  </w:pPr>
                  <w:r>
                    <w:rPr>
                      <w:color w:val="auto"/>
                      <w:szCs w:val="21"/>
                    </w:rPr>
                    <w:t>100</w:t>
                  </w:r>
                </w:p>
              </w:tc>
              <w:tc>
                <w:tcPr>
                  <w:tcW w:w="556" w:type="pct"/>
                  <w:tcBorders>
                    <w:tl2br w:val="nil"/>
                    <w:tr2bl w:val="nil"/>
                  </w:tcBorders>
                  <w:vAlign w:val="center"/>
                </w:tcPr>
                <w:p w14:paraId="173823A3">
                  <w:pPr>
                    <w:tabs>
                      <w:tab w:val="left" w:pos="8358"/>
                    </w:tabs>
                    <w:jc w:val="center"/>
                    <w:rPr>
                      <w:color w:val="auto"/>
                      <w:szCs w:val="21"/>
                    </w:rPr>
                  </w:pPr>
                  <w:r>
                    <w:rPr>
                      <w:color w:val="auto"/>
                      <w:szCs w:val="21"/>
                    </w:rPr>
                    <w:t>0.1</w:t>
                  </w:r>
                </w:p>
              </w:tc>
              <w:tc>
                <w:tcPr>
                  <w:tcW w:w="553" w:type="pct"/>
                  <w:tcBorders>
                    <w:tl2br w:val="nil"/>
                    <w:tr2bl w:val="nil"/>
                  </w:tcBorders>
                  <w:vAlign w:val="center"/>
                </w:tcPr>
                <w:p w14:paraId="173823A4">
                  <w:pPr>
                    <w:tabs>
                      <w:tab w:val="left" w:pos="8358"/>
                    </w:tabs>
                    <w:jc w:val="center"/>
                    <w:rPr>
                      <w:color w:val="auto"/>
                      <w:szCs w:val="21"/>
                    </w:rPr>
                  </w:pPr>
                  <w:r>
                    <w:rPr>
                      <w:color w:val="auto"/>
                      <w:szCs w:val="21"/>
                    </w:rPr>
                    <w:t>350</w:t>
                  </w:r>
                </w:p>
              </w:tc>
              <w:tc>
                <w:tcPr>
                  <w:tcW w:w="556" w:type="pct"/>
                  <w:tcBorders>
                    <w:tl2br w:val="nil"/>
                    <w:tr2bl w:val="nil"/>
                  </w:tcBorders>
                  <w:vAlign w:val="center"/>
                </w:tcPr>
                <w:p w14:paraId="173823A5">
                  <w:pPr>
                    <w:tabs>
                      <w:tab w:val="left" w:pos="8358"/>
                    </w:tabs>
                    <w:jc w:val="center"/>
                    <w:rPr>
                      <w:color w:val="auto"/>
                      <w:szCs w:val="21"/>
                    </w:rPr>
                  </w:pPr>
                  <w:r>
                    <w:rPr>
                      <w:color w:val="auto"/>
                      <w:szCs w:val="21"/>
                    </w:rPr>
                    <w:t>100</w:t>
                  </w:r>
                </w:p>
              </w:tc>
              <w:tc>
                <w:tcPr>
                  <w:tcW w:w="441" w:type="pct"/>
                  <w:tcBorders>
                    <w:tl2br w:val="nil"/>
                    <w:tr2bl w:val="nil"/>
                  </w:tcBorders>
                  <w:vAlign w:val="center"/>
                </w:tcPr>
                <w:p w14:paraId="173823A6">
                  <w:pPr>
                    <w:tabs>
                      <w:tab w:val="left" w:pos="8358"/>
                    </w:tabs>
                    <w:jc w:val="center"/>
                    <w:rPr>
                      <w:color w:val="auto"/>
                      <w:szCs w:val="21"/>
                    </w:rPr>
                  </w:pPr>
                  <w:r>
                    <w:rPr>
                      <w:color w:val="auto"/>
                      <w:szCs w:val="21"/>
                    </w:rPr>
                    <w:t>1.0</w:t>
                  </w:r>
                </w:p>
              </w:tc>
              <w:tc>
                <w:tcPr>
                  <w:tcW w:w="668" w:type="pct"/>
                  <w:tcBorders>
                    <w:tl2br w:val="nil"/>
                    <w:tr2bl w:val="nil"/>
                  </w:tcBorders>
                  <w:vAlign w:val="center"/>
                </w:tcPr>
                <w:p w14:paraId="173823A7">
                  <w:pPr>
                    <w:tabs>
                      <w:tab w:val="left" w:pos="8358"/>
                    </w:tabs>
                    <w:jc w:val="center"/>
                    <w:rPr>
                      <w:color w:val="auto"/>
                      <w:szCs w:val="21"/>
                    </w:rPr>
                  </w:pPr>
                  <w:r>
                    <w:rPr>
                      <w:color w:val="auto"/>
                      <w:szCs w:val="21"/>
                    </w:rPr>
                    <w:t>40000</w:t>
                  </w:r>
                </w:p>
              </w:tc>
            </w:tr>
            <w:tr w14:paraId="173823AB">
              <w:tblPrEx>
                <w:tblBorders>
                  <w:top w:val="single" w:color="000000" w:sz="12" w:space="0"/>
                  <w:left w:val="none" w:color="auto" w:sz="0" w:space="0"/>
                  <w:bottom w:val="single" w:color="000000" w:sz="12" w:space="0"/>
                  <w:right w:val="none" w:color="auto" w:sz="0" w:space="0"/>
                  <w:insideH w:val="single" w:color="000000" w:sz="2" w:space="0"/>
                  <w:insideV w:val="single" w:color="000000" w:sz="4" w:space="0"/>
                </w:tblBorders>
                <w:tblCellMar>
                  <w:top w:w="0" w:type="dxa"/>
                  <w:left w:w="0" w:type="dxa"/>
                  <w:bottom w:w="0" w:type="dxa"/>
                  <w:right w:w="0" w:type="dxa"/>
                </w:tblCellMar>
              </w:tblPrEx>
              <w:trPr>
                <w:trHeight w:val="340" w:hRule="atLeast"/>
                <w:jc w:val="center"/>
              </w:trPr>
              <w:tc>
                <w:tcPr>
                  <w:tcW w:w="562" w:type="pct"/>
                  <w:tcBorders>
                    <w:tl2br w:val="nil"/>
                    <w:tr2bl w:val="nil"/>
                  </w:tcBorders>
                  <w:vAlign w:val="center"/>
                </w:tcPr>
                <w:p w14:paraId="173823A9">
                  <w:pPr>
                    <w:tabs>
                      <w:tab w:val="left" w:pos="8358"/>
                    </w:tabs>
                    <w:jc w:val="center"/>
                    <w:rPr>
                      <w:color w:val="auto"/>
                      <w:szCs w:val="21"/>
                    </w:rPr>
                  </w:pPr>
                  <w:r>
                    <w:rPr>
                      <w:color w:val="auto"/>
                      <w:szCs w:val="21"/>
                    </w:rPr>
                    <w:t>依据</w:t>
                  </w:r>
                </w:p>
              </w:tc>
              <w:tc>
                <w:tcPr>
                  <w:tcW w:w="4437" w:type="pct"/>
                  <w:gridSpan w:val="8"/>
                  <w:tcBorders>
                    <w:tl2br w:val="nil"/>
                    <w:tr2bl w:val="nil"/>
                  </w:tcBorders>
                  <w:vAlign w:val="center"/>
                </w:tcPr>
                <w:p w14:paraId="173823AA">
                  <w:pPr>
                    <w:tabs>
                      <w:tab w:val="left" w:pos="8358"/>
                    </w:tabs>
                    <w:jc w:val="center"/>
                    <w:rPr>
                      <w:color w:val="auto"/>
                      <w:szCs w:val="21"/>
                    </w:rPr>
                  </w:pPr>
                  <w:r>
                    <w:rPr>
                      <w:color w:val="auto"/>
                      <w:szCs w:val="21"/>
                    </w:rPr>
                    <w:t>废水排放执行《农田灌溉水质标准》(GB5084-2021) 中旱作标准</w:t>
                  </w:r>
                </w:p>
              </w:tc>
            </w:tr>
          </w:tbl>
          <w:p w14:paraId="173823AC">
            <w:pPr>
              <w:adjustRightInd w:val="0"/>
              <w:snapToGrid w:val="0"/>
              <w:spacing w:before="120" w:beforeLines="50" w:line="360" w:lineRule="auto"/>
              <w:ind w:firstLine="482" w:firstLineChars="200"/>
              <w:rPr>
                <w:b/>
                <w:color w:val="auto"/>
                <w:sz w:val="24"/>
              </w:rPr>
            </w:pPr>
            <w:r>
              <w:rPr>
                <w:b/>
                <w:color w:val="auto"/>
                <w:sz w:val="24"/>
              </w:rPr>
              <w:t>3</w:t>
            </w:r>
            <w:r>
              <w:rPr>
                <w:rFonts w:hint="eastAsia"/>
                <w:b/>
                <w:color w:val="auto"/>
                <w:sz w:val="24"/>
              </w:rPr>
              <w:t>、</w:t>
            </w:r>
            <w:r>
              <w:rPr>
                <w:b/>
                <w:color w:val="auto"/>
                <w:sz w:val="24"/>
              </w:rPr>
              <w:t>噪声排放标准</w:t>
            </w:r>
          </w:p>
          <w:p w14:paraId="173823AD">
            <w:pPr>
              <w:pStyle w:val="81"/>
              <w:adjustRightInd w:val="0"/>
              <w:snapToGrid w:val="0"/>
              <w:spacing w:before="0" w:beforeAutospacing="0" w:after="0" w:afterAutospacing="0" w:line="360" w:lineRule="auto"/>
              <w:ind w:firstLine="480" w:firstLineChars="200"/>
              <w:jc w:val="both"/>
              <w:rPr>
                <w:rFonts w:ascii="Times New Roman" w:hAnsi="Times New Roman"/>
                <w:color w:val="auto"/>
                <w:kern w:val="2"/>
                <w:szCs w:val="24"/>
                <w:lang w:val="en-US"/>
              </w:rPr>
            </w:pPr>
            <w:r>
              <w:rPr>
                <w:rFonts w:hint="eastAsia" w:ascii="Times New Roman" w:hAnsi="Times New Roman"/>
                <w:color w:val="auto"/>
                <w:kern w:val="2"/>
                <w:szCs w:val="24"/>
                <w:lang w:val="en-US"/>
              </w:rPr>
              <w:t>本项目营运期间厂界噪声</w:t>
            </w:r>
            <w:r>
              <w:rPr>
                <w:rFonts w:hint="eastAsia" w:ascii="Times New Roman" w:hAnsi="Times New Roman"/>
                <w:color w:val="auto"/>
                <w:kern w:val="2"/>
                <w:szCs w:val="24"/>
                <w:lang w:val="en-US" w:eastAsia="zh-CN"/>
              </w:rPr>
              <w:t>及周围声环境保护目标</w:t>
            </w:r>
            <w:r>
              <w:rPr>
                <w:rFonts w:hint="eastAsia" w:ascii="Times New Roman" w:hAnsi="Times New Roman"/>
                <w:color w:val="auto"/>
                <w:kern w:val="2"/>
                <w:szCs w:val="24"/>
                <w:lang w:val="en-US"/>
              </w:rPr>
              <w:t>执行《工业企业厂界环境噪声排放标准》（GB12348-2008）2类标准，具体见表3-7。</w:t>
            </w:r>
          </w:p>
          <w:p w14:paraId="173823AE">
            <w:pPr>
              <w:adjustRightInd w:val="0"/>
              <w:snapToGrid w:val="0"/>
              <w:jc w:val="center"/>
              <w:rPr>
                <w:b/>
                <w:color w:val="auto"/>
                <w:sz w:val="24"/>
              </w:rPr>
            </w:pPr>
            <w:r>
              <w:rPr>
                <w:rFonts w:hint="eastAsia"/>
                <w:b/>
                <w:color w:val="auto"/>
                <w:sz w:val="24"/>
              </w:rPr>
              <w:t>表3-7 工业企业厂界环境噪声排放标准   单位：dB(A)</w:t>
            </w:r>
          </w:p>
          <w:tbl>
            <w:tblPr>
              <w:tblStyle w:val="8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93"/>
              <w:gridCol w:w="2879"/>
              <w:gridCol w:w="3035"/>
            </w:tblGrid>
            <w:tr w14:paraId="173823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32" w:type="dxa"/>
                  <w:tcBorders>
                    <w:top w:val="single" w:color="auto" w:sz="12" w:space="0"/>
                    <w:left w:val="nil"/>
                  </w:tcBorders>
                  <w:vAlign w:val="center"/>
                </w:tcPr>
                <w:p w14:paraId="173823AF">
                  <w:pPr>
                    <w:adjustRightInd w:val="0"/>
                    <w:snapToGrid w:val="0"/>
                    <w:jc w:val="center"/>
                    <w:rPr>
                      <w:b/>
                      <w:color w:val="auto"/>
                      <w:szCs w:val="21"/>
                    </w:rPr>
                  </w:pPr>
                  <w:r>
                    <w:rPr>
                      <w:b/>
                      <w:color w:val="auto"/>
                      <w:szCs w:val="21"/>
                    </w:rPr>
                    <w:t>类别</w:t>
                  </w:r>
                </w:p>
              </w:tc>
              <w:tc>
                <w:tcPr>
                  <w:tcW w:w="2693" w:type="dxa"/>
                  <w:tcBorders>
                    <w:top w:val="single" w:color="auto" w:sz="12" w:space="0"/>
                    <w:right w:val="nil"/>
                  </w:tcBorders>
                  <w:vAlign w:val="center"/>
                </w:tcPr>
                <w:p w14:paraId="173823B0">
                  <w:pPr>
                    <w:adjustRightInd w:val="0"/>
                    <w:snapToGrid w:val="0"/>
                    <w:jc w:val="center"/>
                    <w:rPr>
                      <w:b/>
                      <w:color w:val="auto"/>
                      <w:szCs w:val="21"/>
                    </w:rPr>
                  </w:pPr>
                  <w:r>
                    <w:rPr>
                      <w:b/>
                      <w:color w:val="auto"/>
                      <w:szCs w:val="21"/>
                    </w:rPr>
                    <w:t>昼间</w:t>
                  </w:r>
                </w:p>
              </w:tc>
              <w:tc>
                <w:tcPr>
                  <w:tcW w:w="2840" w:type="dxa"/>
                  <w:tcBorders>
                    <w:top w:val="single" w:color="auto" w:sz="12" w:space="0"/>
                    <w:right w:val="nil"/>
                  </w:tcBorders>
                  <w:vAlign w:val="center"/>
                </w:tcPr>
                <w:p w14:paraId="173823B1">
                  <w:pPr>
                    <w:adjustRightInd w:val="0"/>
                    <w:snapToGrid w:val="0"/>
                    <w:jc w:val="center"/>
                    <w:rPr>
                      <w:b/>
                      <w:color w:val="auto"/>
                      <w:szCs w:val="21"/>
                    </w:rPr>
                  </w:pPr>
                  <w:r>
                    <w:rPr>
                      <w:b/>
                      <w:color w:val="auto"/>
                      <w:szCs w:val="21"/>
                    </w:rPr>
                    <w:t>夜间</w:t>
                  </w:r>
                </w:p>
              </w:tc>
            </w:tr>
            <w:tr w14:paraId="173823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32" w:type="dxa"/>
                  <w:tcBorders>
                    <w:left w:val="nil"/>
                  </w:tcBorders>
                  <w:vAlign w:val="center"/>
                </w:tcPr>
                <w:p w14:paraId="173823B3">
                  <w:pPr>
                    <w:adjustRightInd w:val="0"/>
                    <w:snapToGrid w:val="0"/>
                    <w:jc w:val="center"/>
                    <w:rPr>
                      <w:color w:val="auto"/>
                      <w:szCs w:val="21"/>
                    </w:rPr>
                  </w:pPr>
                  <w:r>
                    <w:rPr>
                      <w:rFonts w:hint="eastAsia"/>
                      <w:color w:val="auto"/>
                      <w:szCs w:val="21"/>
                    </w:rPr>
                    <w:t>2</w:t>
                  </w:r>
                  <w:r>
                    <w:rPr>
                      <w:color w:val="auto"/>
                      <w:szCs w:val="21"/>
                    </w:rPr>
                    <w:t>类</w:t>
                  </w:r>
                </w:p>
              </w:tc>
              <w:tc>
                <w:tcPr>
                  <w:tcW w:w="2693" w:type="dxa"/>
                  <w:vAlign w:val="center"/>
                </w:tcPr>
                <w:p w14:paraId="173823B4">
                  <w:pPr>
                    <w:adjustRightInd w:val="0"/>
                    <w:snapToGrid w:val="0"/>
                    <w:jc w:val="center"/>
                    <w:rPr>
                      <w:color w:val="auto"/>
                      <w:szCs w:val="21"/>
                    </w:rPr>
                  </w:pPr>
                  <w:r>
                    <w:rPr>
                      <w:rFonts w:hint="eastAsia"/>
                      <w:color w:val="auto"/>
                      <w:szCs w:val="21"/>
                    </w:rPr>
                    <w:t>60</w:t>
                  </w:r>
                </w:p>
              </w:tc>
              <w:tc>
                <w:tcPr>
                  <w:tcW w:w="2840" w:type="dxa"/>
                  <w:tcBorders>
                    <w:right w:val="nil"/>
                  </w:tcBorders>
                  <w:vAlign w:val="center"/>
                </w:tcPr>
                <w:p w14:paraId="173823B5">
                  <w:pPr>
                    <w:adjustRightInd w:val="0"/>
                    <w:snapToGrid w:val="0"/>
                    <w:jc w:val="center"/>
                    <w:rPr>
                      <w:color w:val="auto"/>
                      <w:szCs w:val="21"/>
                    </w:rPr>
                  </w:pPr>
                  <w:r>
                    <w:rPr>
                      <w:rFonts w:hint="eastAsia"/>
                      <w:color w:val="auto"/>
                      <w:szCs w:val="21"/>
                    </w:rPr>
                    <w:t>50</w:t>
                  </w:r>
                </w:p>
              </w:tc>
            </w:tr>
            <w:tr w14:paraId="173823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332" w:type="dxa"/>
                  <w:tcBorders>
                    <w:left w:val="nil"/>
                    <w:bottom w:val="single" w:color="auto" w:sz="12" w:space="0"/>
                  </w:tcBorders>
                  <w:vAlign w:val="center"/>
                </w:tcPr>
                <w:p w14:paraId="173823B7">
                  <w:pPr>
                    <w:adjustRightInd w:val="0"/>
                    <w:snapToGrid w:val="0"/>
                    <w:jc w:val="center"/>
                    <w:rPr>
                      <w:color w:val="auto"/>
                      <w:szCs w:val="21"/>
                    </w:rPr>
                  </w:pPr>
                  <w:r>
                    <w:rPr>
                      <w:color w:val="auto"/>
                      <w:szCs w:val="21"/>
                    </w:rPr>
                    <w:t>标准来源</w:t>
                  </w:r>
                </w:p>
              </w:tc>
              <w:tc>
                <w:tcPr>
                  <w:tcW w:w="5533" w:type="dxa"/>
                  <w:gridSpan w:val="2"/>
                  <w:tcBorders>
                    <w:bottom w:val="single" w:color="auto" w:sz="12" w:space="0"/>
                    <w:right w:val="nil"/>
                  </w:tcBorders>
                  <w:vAlign w:val="center"/>
                </w:tcPr>
                <w:p w14:paraId="173823B8">
                  <w:pPr>
                    <w:adjustRightInd w:val="0"/>
                    <w:snapToGrid w:val="0"/>
                    <w:jc w:val="center"/>
                    <w:rPr>
                      <w:color w:val="auto"/>
                      <w:szCs w:val="21"/>
                    </w:rPr>
                  </w:pPr>
                  <w:r>
                    <w:rPr>
                      <w:color w:val="auto"/>
                      <w:szCs w:val="21"/>
                    </w:rPr>
                    <w:t>《工业企业厂界环境噪声排放标准》（GB12348-2008）</w:t>
                  </w:r>
                </w:p>
              </w:tc>
            </w:tr>
          </w:tbl>
          <w:p w14:paraId="173823BA">
            <w:pPr>
              <w:pStyle w:val="81"/>
              <w:adjustRightInd w:val="0"/>
              <w:snapToGrid w:val="0"/>
              <w:spacing w:before="120" w:beforeLines="50" w:beforeAutospacing="0" w:after="0" w:afterAutospacing="0" w:line="360" w:lineRule="auto"/>
              <w:ind w:firstLine="482" w:firstLineChars="200"/>
              <w:jc w:val="both"/>
              <w:rPr>
                <w:rFonts w:ascii="Times New Roman" w:hAnsi="Times New Roman"/>
                <w:b/>
                <w:color w:val="auto"/>
                <w:kern w:val="2"/>
                <w:szCs w:val="24"/>
                <w:lang w:val="en-US"/>
              </w:rPr>
            </w:pPr>
            <w:r>
              <w:rPr>
                <w:rFonts w:ascii="Times New Roman" w:hAnsi="Times New Roman"/>
                <w:b/>
                <w:color w:val="auto"/>
                <w:kern w:val="2"/>
                <w:szCs w:val="24"/>
                <w:lang w:val="en-US"/>
              </w:rPr>
              <w:t>4</w:t>
            </w:r>
            <w:r>
              <w:rPr>
                <w:rFonts w:hint="eastAsia" w:ascii="Times New Roman" w:hAnsi="Times New Roman"/>
                <w:b/>
                <w:color w:val="auto"/>
                <w:kern w:val="2"/>
                <w:szCs w:val="24"/>
                <w:lang w:val="en-US"/>
              </w:rPr>
              <w:t>、</w:t>
            </w:r>
            <w:r>
              <w:rPr>
                <w:rFonts w:ascii="Times New Roman" w:hAnsi="Times New Roman"/>
                <w:b/>
                <w:color w:val="auto"/>
                <w:kern w:val="2"/>
                <w:szCs w:val="24"/>
                <w:lang w:val="en-US"/>
              </w:rPr>
              <w:t>固废</w:t>
            </w:r>
          </w:p>
          <w:p w14:paraId="56814C83">
            <w:pPr>
              <w:adjustRightInd w:val="0"/>
              <w:snapToGrid w:val="0"/>
              <w:spacing w:line="360" w:lineRule="auto"/>
              <w:ind w:firstLine="480" w:firstLineChars="200"/>
              <w:rPr>
                <w:color w:val="auto"/>
                <w:sz w:val="24"/>
                <w:lang w:val="zh-CN"/>
              </w:rPr>
            </w:pPr>
            <w:r>
              <w:rPr>
                <w:rFonts w:hint="eastAsia"/>
                <w:color w:val="auto"/>
                <w:sz w:val="24"/>
              </w:rPr>
              <w:t>本项目</w:t>
            </w:r>
            <w:r>
              <w:rPr>
                <w:color w:val="auto"/>
                <w:sz w:val="24"/>
                <w:lang w:val="zh-CN"/>
              </w:rPr>
              <w:t>生活垃圾的储存与处置参照执行《城市生活垃圾管理办法（2015年修正）》（住房和城乡建设部令第24号）。一般工业固废执行《一般工业固体废物贮存和填埋污染控制标准》（GB18599-2020）、《固体废物鉴别标准通则》（GB34330-2017）中相关规定；危险废物执行《危险废物贮存污染控制标准》（GB18597-2023）、《危险废物鉴别标准通则》（GB 5085.7-2019）、《危险废物鉴别技术规范》（HJ/T298-2019）、《危险废物收集贮存运输技术规范》（HJ2025-2012）、</w:t>
            </w:r>
            <w:r>
              <w:rPr>
                <w:rFonts w:hint="eastAsia"/>
                <w:color w:val="auto"/>
                <w:sz w:val="24"/>
                <w:lang w:val="zh-CN"/>
              </w:rPr>
              <w:t>《</w:t>
            </w:r>
            <w:r>
              <w:rPr>
                <w:rFonts w:hint="eastAsia"/>
                <w:color w:val="auto"/>
                <w:sz w:val="24"/>
              </w:rPr>
              <w:t>省生态环境厅关于做好&lt;危险废物贮存污染控制标准&gt;等标准规范实施后危险废物环境管理衔接工作的通知》（苏环办</w:t>
            </w:r>
            <w:r>
              <w:rPr>
                <w:color w:val="auto"/>
                <w:sz w:val="24"/>
                <w:lang w:val="zh-CN"/>
              </w:rPr>
              <w:t>[20</w:t>
            </w:r>
            <w:r>
              <w:rPr>
                <w:rFonts w:hint="eastAsia"/>
                <w:color w:val="auto"/>
                <w:sz w:val="24"/>
              </w:rPr>
              <w:t>23</w:t>
            </w:r>
            <w:r>
              <w:rPr>
                <w:color w:val="auto"/>
                <w:sz w:val="24"/>
                <w:lang w:val="zh-CN"/>
              </w:rPr>
              <w:t>]</w:t>
            </w:r>
            <w:r>
              <w:rPr>
                <w:rFonts w:hint="eastAsia"/>
                <w:color w:val="auto"/>
                <w:sz w:val="24"/>
              </w:rPr>
              <w:t>154号）、《江苏省固体废物全过程环境监管工作意见》（苏环办</w:t>
            </w:r>
            <w:r>
              <w:rPr>
                <w:color w:val="auto"/>
                <w:sz w:val="24"/>
                <w:lang w:val="zh-CN"/>
              </w:rPr>
              <w:t>[20</w:t>
            </w:r>
            <w:r>
              <w:rPr>
                <w:rFonts w:hint="eastAsia"/>
                <w:color w:val="auto"/>
                <w:sz w:val="24"/>
              </w:rPr>
              <w:t>24</w:t>
            </w:r>
            <w:r>
              <w:rPr>
                <w:color w:val="auto"/>
                <w:sz w:val="24"/>
                <w:lang w:val="zh-CN"/>
              </w:rPr>
              <w:t>]</w:t>
            </w:r>
            <w:r>
              <w:rPr>
                <w:rFonts w:hint="eastAsia"/>
                <w:color w:val="auto"/>
                <w:sz w:val="24"/>
              </w:rPr>
              <w:t>16</w:t>
            </w:r>
            <w:r>
              <w:rPr>
                <w:color w:val="auto"/>
                <w:sz w:val="24"/>
                <w:lang w:val="zh-CN"/>
              </w:rPr>
              <w:t>号</w:t>
            </w:r>
            <w:r>
              <w:rPr>
                <w:rFonts w:hint="eastAsia"/>
                <w:color w:val="auto"/>
                <w:sz w:val="24"/>
              </w:rPr>
              <w:t>）中相关规定</w:t>
            </w:r>
            <w:r>
              <w:rPr>
                <w:color w:val="auto"/>
                <w:sz w:val="24"/>
                <w:lang w:val="zh-CN"/>
              </w:rPr>
              <w:t>；固废贮存场所标志执行《环境保护图形标志固体废物贮存（处置）场》（GB15562.2-1995）及修改单，《危险废物识别标志设置技术规范》(HJ1276-2022)及《江苏省危险废物集中收集体系建设工作方案（试行）》（苏环办[2021]290号）相关规定。</w:t>
            </w:r>
          </w:p>
        </w:tc>
      </w:tr>
      <w:tr w14:paraId="173824B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16" w:type="dxa"/>
            <w:vAlign w:val="center"/>
          </w:tcPr>
          <w:p w14:paraId="173823BD">
            <w:pPr>
              <w:adjustRightInd w:val="0"/>
              <w:snapToGrid w:val="0"/>
              <w:jc w:val="center"/>
              <w:rPr>
                <w:color w:val="auto"/>
                <w:kern w:val="0"/>
                <w:sz w:val="24"/>
              </w:rPr>
            </w:pPr>
            <w:r>
              <w:rPr>
                <w:color w:val="auto"/>
                <w:kern w:val="0"/>
                <w:sz w:val="24"/>
              </w:rPr>
              <w:t>总量</w:t>
            </w:r>
          </w:p>
          <w:p w14:paraId="173823BE">
            <w:pPr>
              <w:adjustRightInd w:val="0"/>
              <w:snapToGrid w:val="0"/>
              <w:jc w:val="center"/>
              <w:rPr>
                <w:color w:val="auto"/>
                <w:kern w:val="0"/>
                <w:sz w:val="24"/>
              </w:rPr>
            </w:pPr>
            <w:r>
              <w:rPr>
                <w:color w:val="auto"/>
                <w:kern w:val="0"/>
                <w:sz w:val="24"/>
              </w:rPr>
              <w:t>控制</w:t>
            </w:r>
          </w:p>
          <w:p w14:paraId="173823BF">
            <w:pPr>
              <w:adjustRightInd w:val="0"/>
              <w:snapToGrid w:val="0"/>
              <w:jc w:val="center"/>
              <w:rPr>
                <w:color w:val="auto"/>
                <w:kern w:val="0"/>
                <w:sz w:val="24"/>
              </w:rPr>
            </w:pPr>
            <w:r>
              <w:rPr>
                <w:color w:val="auto"/>
                <w:kern w:val="0"/>
                <w:sz w:val="24"/>
              </w:rPr>
              <w:t>指标</w:t>
            </w:r>
          </w:p>
        </w:tc>
        <w:tc>
          <w:tcPr>
            <w:tcW w:w="8408" w:type="dxa"/>
            <w:vAlign w:val="center"/>
          </w:tcPr>
          <w:p w14:paraId="173823C0">
            <w:pPr>
              <w:adjustRightInd w:val="0"/>
              <w:snapToGrid w:val="0"/>
              <w:jc w:val="center"/>
              <w:rPr>
                <w:rFonts w:hint="eastAsia" w:ascii="Times New Roman" w:hAnsi="Times New Roman" w:eastAsia="宋体" w:cs="Times New Roman"/>
                <w:b/>
                <w:color w:val="auto"/>
                <w:sz w:val="24"/>
                <w:highlight w:val="none"/>
              </w:rPr>
            </w:pPr>
            <w:r>
              <w:rPr>
                <w:rFonts w:hint="eastAsia" w:ascii="Times New Roman" w:hAnsi="Times New Roman" w:eastAsia="宋体" w:cs="Times New Roman"/>
                <w:b/>
                <w:color w:val="auto"/>
                <w:sz w:val="24"/>
                <w:highlight w:val="none"/>
              </w:rPr>
              <w:t>表3-8 建设项目污染物排放情况一览表  单位：t/a</w:t>
            </w:r>
          </w:p>
          <w:tbl>
            <w:tblPr>
              <w:tblStyle w:val="88"/>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677"/>
              <w:gridCol w:w="902"/>
              <w:gridCol w:w="1295"/>
              <w:gridCol w:w="1308"/>
              <w:gridCol w:w="1349"/>
              <w:gridCol w:w="1485"/>
              <w:gridCol w:w="1401"/>
            </w:tblGrid>
            <w:tr w14:paraId="173823C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shd w:val="clear" w:color="auto" w:fill="auto"/>
                  <w:vAlign w:val="center"/>
                </w:tcPr>
                <w:p w14:paraId="173823C1">
                  <w:pPr>
                    <w:pStyle w:val="144"/>
                    <w:adjustRightInd w:val="0"/>
                    <w:snapToGrid w:val="0"/>
                    <w:jc w:val="center"/>
                    <w:rPr>
                      <w:rFonts w:ascii="Times New Roman" w:hAnsi="Times New Roman" w:cs="Times New Roman"/>
                      <w:b/>
                      <w:color w:val="auto"/>
                      <w:sz w:val="21"/>
                      <w:szCs w:val="21"/>
                    </w:rPr>
                  </w:pPr>
                  <w:r>
                    <w:rPr>
                      <w:rFonts w:ascii="Times New Roman" w:hAnsi="Times New Roman" w:cs="Times New Roman"/>
                      <w:b/>
                      <w:color w:val="auto"/>
                      <w:sz w:val="21"/>
                      <w:szCs w:val="21"/>
                    </w:rPr>
                    <w:t>种类</w:t>
                  </w:r>
                </w:p>
              </w:tc>
              <w:tc>
                <w:tcPr>
                  <w:tcW w:w="2197" w:type="dxa"/>
                  <w:gridSpan w:val="2"/>
                  <w:shd w:val="clear" w:color="auto" w:fill="auto"/>
                  <w:vAlign w:val="center"/>
                </w:tcPr>
                <w:p w14:paraId="173823C2">
                  <w:pPr>
                    <w:pStyle w:val="144"/>
                    <w:adjustRightInd w:val="0"/>
                    <w:snapToGrid w:val="0"/>
                    <w:jc w:val="center"/>
                    <w:rPr>
                      <w:rFonts w:ascii="Times New Roman" w:hAnsi="Times New Roman" w:cs="Times New Roman"/>
                      <w:b/>
                      <w:color w:val="auto"/>
                      <w:sz w:val="21"/>
                      <w:szCs w:val="21"/>
                    </w:rPr>
                  </w:pPr>
                  <w:r>
                    <w:rPr>
                      <w:rFonts w:ascii="Times New Roman" w:hAnsi="Times New Roman" w:cs="Times New Roman"/>
                      <w:b/>
                      <w:color w:val="auto"/>
                      <w:sz w:val="21"/>
                      <w:szCs w:val="21"/>
                    </w:rPr>
                    <w:t>污染物名称</w:t>
                  </w:r>
                </w:p>
              </w:tc>
              <w:tc>
                <w:tcPr>
                  <w:tcW w:w="1308" w:type="dxa"/>
                  <w:shd w:val="clear" w:color="auto" w:fill="auto"/>
                  <w:vAlign w:val="center"/>
                </w:tcPr>
                <w:p w14:paraId="173823C3">
                  <w:pPr>
                    <w:pStyle w:val="144"/>
                    <w:adjustRightInd w:val="0"/>
                    <w:snapToGrid w:val="0"/>
                    <w:jc w:val="center"/>
                    <w:rPr>
                      <w:rFonts w:ascii="Times New Roman" w:hAnsi="Times New Roman" w:cs="Times New Roman"/>
                      <w:b/>
                      <w:color w:val="auto"/>
                      <w:sz w:val="21"/>
                      <w:szCs w:val="21"/>
                    </w:rPr>
                  </w:pPr>
                  <w:r>
                    <w:rPr>
                      <w:rFonts w:ascii="Times New Roman" w:hAnsi="Times New Roman" w:cs="Times New Roman"/>
                      <w:b/>
                      <w:color w:val="auto"/>
                      <w:sz w:val="21"/>
                      <w:szCs w:val="21"/>
                    </w:rPr>
                    <w:t>项目产生量</w:t>
                  </w:r>
                </w:p>
              </w:tc>
              <w:tc>
                <w:tcPr>
                  <w:tcW w:w="1349" w:type="dxa"/>
                  <w:shd w:val="clear" w:color="auto" w:fill="auto"/>
                  <w:vAlign w:val="center"/>
                </w:tcPr>
                <w:p w14:paraId="173823C4">
                  <w:pPr>
                    <w:pStyle w:val="144"/>
                    <w:adjustRightInd w:val="0"/>
                    <w:snapToGrid w:val="0"/>
                    <w:jc w:val="center"/>
                    <w:rPr>
                      <w:rFonts w:ascii="Times New Roman" w:hAnsi="Times New Roman" w:cs="Times New Roman"/>
                      <w:b/>
                      <w:color w:val="auto"/>
                      <w:sz w:val="21"/>
                      <w:szCs w:val="21"/>
                    </w:rPr>
                  </w:pPr>
                  <w:r>
                    <w:rPr>
                      <w:rFonts w:ascii="Times New Roman" w:hAnsi="Times New Roman" w:cs="Times New Roman"/>
                      <w:b/>
                      <w:color w:val="auto"/>
                      <w:sz w:val="21"/>
                      <w:szCs w:val="21"/>
                    </w:rPr>
                    <w:t>项目削减量</w:t>
                  </w:r>
                </w:p>
              </w:tc>
              <w:tc>
                <w:tcPr>
                  <w:tcW w:w="1485" w:type="dxa"/>
                  <w:shd w:val="clear" w:color="auto" w:fill="auto"/>
                  <w:vAlign w:val="center"/>
                </w:tcPr>
                <w:p w14:paraId="173823C5">
                  <w:pPr>
                    <w:pStyle w:val="144"/>
                    <w:adjustRightInd w:val="0"/>
                    <w:snapToGrid w:val="0"/>
                    <w:jc w:val="center"/>
                    <w:rPr>
                      <w:rFonts w:ascii="Times New Roman" w:hAnsi="Times New Roman" w:cs="Times New Roman"/>
                      <w:b/>
                      <w:color w:val="auto"/>
                      <w:sz w:val="21"/>
                      <w:szCs w:val="21"/>
                    </w:rPr>
                  </w:pPr>
                  <w:r>
                    <w:rPr>
                      <w:rFonts w:ascii="Times New Roman" w:hAnsi="Times New Roman" w:cs="Times New Roman"/>
                      <w:b/>
                      <w:color w:val="auto"/>
                      <w:sz w:val="21"/>
                      <w:szCs w:val="21"/>
                    </w:rPr>
                    <w:t>项目接管量</w:t>
                  </w:r>
                </w:p>
              </w:tc>
              <w:tc>
                <w:tcPr>
                  <w:tcW w:w="1401" w:type="dxa"/>
                  <w:shd w:val="clear" w:color="auto" w:fill="auto"/>
                  <w:vAlign w:val="center"/>
                </w:tcPr>
                <w:p w14:paraId="173823C6">
                  <w:pPr>
                    <w:pStyle w:val="144"/>
                    <w:adjustRightInd w:val="0"/>
                    <w:snapToGrid w:val="0"/>
                    <w:jc w:val="center"/>
                    <w:rPr>
                      <w:rFonts w:ascii="Times New Roman" w:hAnsi="Times New Roman" w:cs="Times New Roman"/>
                      <w:b/>
                      <w:color w:val="auto"/>
                      <w:sz w:val="21"/>
                      <w:szCs w:val="21"/>
                    </w:rPr>
                  </w:pPr>
                  <w:r>
                    <w:rPr>
                      <w:rFonts w:ascii="Times New Roman" w:hAnsi="Times New Roman" w:cs="Times New Roman"/>
                      <w:b/>
                      <w:color w:val="auto"/>
                      <w:sz w:val="21"/>
                      <w:szCs w:val="21"/>
                    </w:rPr>
                    <w:t>环境排放量</w:t>
                  </w:r>
                </w:p>
              </w:tc>
            </w:tr>
            <w:tr w14:paraId="173823C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restart"/>
                  <w:shd w:val="clear" w:color="auto" w:fill="auto"/>
                  <w:vAlign w:val="center"/>
                </w:tcPr>
                <w:p w14:paraId="173823C8">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废气</w:t>
                  </w:r>
                </w:p>
              </w:tc>
              <w:tc>
                <w:tcPr>
                  <w:tcW w:w="902" w:type="dxa"/>
                  <w:vMerge w:val="restart"/>
                  <w:shd w:val="clear" w:color="auto" w:fill="auto"/>
                  <w:vAlign w:val="center"/>
                </w:tcPr>
                <w:p w14:paraId="173823C9">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有组织</w:t>
                  </w:r>
                </w:p>
              </w:tc>
              <w:tc>
                <w:tcPr>
                  <w:tcW w:w="1295" w:type="dxa"/>
                  <w:shd w:val="clear" w:color="auto" w:fill="auto"/>
                  <w:vAlign w:val="center"/>
                </w:tcPr>
                <w:p w14:paraId="173823CA">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颗粒物</w:t>
                  </w:r>
                </w:p>
              </w:tc>
              <w:tc>
                <w:tcPr>
                  <w:tcW w:w="1308" w:type="dxa"/>
                  <w:shd w:val="clear" w:color="auto" w:fill="auto"/>
                  <w:vAlign w:val="center"/>
                </w:tcPr>
                <w:p w14:paraId="173823CB">
                  <w:pPr>
                    <w:widowControl/>
                    <w:jc w:val="center"/>
                    <w:textAlignment w:val="center"/>
                    <w:rPr>
                      <w:bCs/>
                      <w:color w:val="auto"/>
                      <w:kern w:val="0"/>
                      <w:szCs w:val="21"/>
                    </w:rPr>
                  </w:pPr>
                  <w:r>
                    <w:rPr>
                      <w:rFonts w:hint="eastAsia"/>
                      <w:bCs/>
                      <w:color w:val="auto"/>
                      <w:kern w:val="0"/>
                      <w:szCs w:val="21"/>
                    </w:rPr>
                    <w:t>3.3117</w:t>
                  </w:r>
                </w:p>
              </w:tc>
              <w:tc>
                <w:tcPr>
                  <w:tcW w:w="1349" w:type="dxa"/>
                  <w:shd w:val="clear" w:color="auto" w:fill="auto"/>
                  <w:vAlign w:val="center"/>
                </w:tcPr>
                <w:p w14:paraId="173823CC">
                  <w:pPr>
                    <w:widowControl/>
                    <w:jc w:val="center"/>
                    <w:textAlignment w:val="center"/>
                    <w:rPr>
                      <w:bCs/>
                      <w:color w:val="auto"/>
                      <w:kern w:val="0"/>
                      <w:szCs w:val="21"/>
                    </w:rPr>
                  </w:pPr>
                  <w:r>
                    <w:rPr>
                      <w:color w:val="auto"/>
                      <w:kern w:val="0"/>
                      <w:szCs w:val="21"/>
                      <w:lang w:bidi="ar"/>
                    </w:rPr>
                    <w:t>3.1822</w:t>
                  </w:r>
                </w:p>
              </w:tc>
              <w:tc>
                <w:tcPr>
                  <w:tcW w:w="1485" w:type="dxa"/>
                  <w:shd w:val="clear" w:color="auto" w:fill="auto"/>
                  <w:vAlign w:val="center"/>
                </w:tcPr>
                <w:p w14:paraId="173823CD">
                  <w:pPr>
                    <w:adjustRightInd w:val="0"/>
                    <w:snapToGrid w:val="0"/>
                    <w:jc w:val="center"/>
                    <w:rPr>
                      <w:bCs/>
                      <w:color w:val="auto"/>
                      <w:kern w:val="0"/>
                      <w:szCs w:val="21"/>
                    </w:rPr>
                  </w:pPr>
                  <w:r>
                    <w:rPr>
                      <w:rFonts w:hint="eastAsia"/>
                      <w:bCs/>
                      <w:color w:val="auto"/>
                      <w:kern w:val="0"/>
                      <w:szCs w:val="21"/>
                    </w:rPr>
                    <w:t>/</w:t>
                  </w:r>
                </w:p>
              </w:tc>
              <w:tc>
                <w:tcPr>
                  <w:tcW w:w="1401" w:type="dxa"/>
                  <w:shd w:val="clear" w:color="auto" w:fill="auto"/>
                  <w:vAlign w:val="center"/>
                </w:tcPr>
                <w:p w14:paraId="173823CE">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0.1295</w:t>
                  </w:r>
                </w:p>
              </w:tc>
            </w:tr>
            <w:tr w14:paraId="173823D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3D0">
                  <w:pPr>
                    <w:pStyle w:val="144"/>
                    <w:adjustRightInd w:val="0"/>
                    <w:snapToGrid w:val="0"/>
                    <w:jc w:val="center"/>
                    <w:rPr>
                      <w:rFonts w:ascii="Times New Roman" w:hAnsi="Times New Roman" w:cs="Times New Roman"/>
                      <w:bCs/>
                      <w:color w:val="auto"/>
                      <w:sz w:val="21"/>
                      <w:szCs w:val="21"/>
                    </w:rPr>
                  </w:pPr>
                </w:p>
              </w:tc>
              <w:tc>
                <w:tcPr>
                  <w:tcW w:w="902" w:type="dxa"/>
                  <w:vMerge w:val="continue"/>
                  <w:shd w:val="clear" w:color="auto" w:fill="auto"/>
                  <w:vAlign w:val="center"/>
                </w:tcPr>
                <w:p w14:paraId="173823D1">
                  <w:pPr>
                    <w:pStyle w:val="144"/>
                    <w:adjustRightInd w:val="0"/>
                    <w:snapToGrid w:val="0"/>
                    <w:jc w:val="center"/>
                    <w:rPr>
                      <w:rFonts w:ascii="Times New Roman" w:hAnsi="Times New Roman" w:cs="Times New Roman"/>
                      <w:bCs/>
                      <w:color w:val="auto"/>
                      <w:sz w:val="21"/>
                      <w:szCs w:val="21"/>
                    </w:rPr>
                  </w:pPr>
                </w:p>
              </w:tc>
              <w:tc>
                <w:tcPr>
                  <w:tcW w:w="1295" w:type="dxa"/>
                  <w:shd w:val="clear" w:color="auto" w:fill="auto"/>
                  <w:vAlign w:val="center"/>
                </w:tcPr>
                <w:p w14:paraId="173823D2">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非甲烷总烃</w:t>
                  </w:r>
                </w:p>
              </w:tc>
              <w:tc>
                <w:tcPr>
                  <w:tcW w:w="1308" w:type="dxa"/>
                  <w:shd w:val="clear" w:color="auto" w:fill="auto"/>
                  <w:vAlign w:val="center"/>
                </w:tcPr>
                <w:p w14:paraId="173823D3">
                  <w:pPr>
                    <w:pStyle w:val="144"/>
                    <w:adjustRightInd w:val="0"/>
                    <w:snapToGrid w:val="0"/>
                    <w:jc w:val="center"/>
                    <w:rPr>
                      <w:rFonts w:hint="default" w:ascii="Times New Roman" w:hAnsi="Times New Roman" w:eastAsia="宋体" w:cs="Times New Roman"/>
                      <w:bCs/>
                      <w:color w:val="auto"/>
                      <w:sz w:val="21"/>
                      <w:szCs w:val="21"/>
                      <w:lang w:val="en-US" w:eastAsia="zh-CN"/>
                    </w:rPr>
                  </w:pPr>
                  <w:r>
                    <w:rPr>
                      <w:rFonts w:hint="eastAsia" w:ascii="Times New Roman" w:hAnsi="Times New Roman" w:cs="Times New Roman"/>
                      <w:bCs/>
                      <w:color w:val="auto"/>
                      <w:sz w:val="21"/>
                      <w:szCs w:val="21"/>
                      <w:lang w:val="en-US" w:eastAsia="zh-CN"/>
                    </w:rPr>
                    <w:t>0.1833</w:t>
                  </w:r>
                </w:p>
              </w:tc>
              <w:tc>
                <w:tcPr>
                  <w:tcW w:w="1349" w:type="dxa"/>
                  <w:shd w:val="clear" w:color="auto" w:fill="auto"/>
                  <w:vAlign w:val="center"/>
                </w:tcPr>
                <w:p w14:paraId="173823D4">
                  <w:pPr>
                    <w:widowControl/>
                    <w:jc w:val="center"/>
                    <w:textAlignment w:val="center"/>
                    <w:rPr>
                      <w:rFonts w:hint="default" w:eastAsia="宋体"/>
                      <w:bCs/>
                      <w:color w:val="auto"/>
                      <w:kern w:val="0"/>
                      <w:szCs w:val="21"/>
                      <w:lang w:val="en-US" w:eastAsia="zh-CN"/>
                    </w:rPr>
                  </w:pPr>
                  <w:r>
                    <w:rPr>
                      <w:rFonts w:hint="eastAsia"/>
                      <w:bCs/>
                      <w:color w:val="auto"/>
                      <w:kern w:val="0"/>
                      <w:szCs w:val="21"/>
                      <w:lang w:val="en-US" w:eastAsia="zh-CN"/>
                    </w:rPr>
                    <w:t>0.165</w:t>
                  </w:r>
                </w:p>
              </w:tc>
              <w:tc>
                <w:tcPr>
                  <w:tcW w:w="1485" w:type="dxa"/>
                  <w:shd w:val="clear" w:color="auto" w:fill="auto"/>
                  <w:vAlign w:val="center"/>
                </w:tcPr>
                <w:p w14:paraId="173823D5">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w:t>
                  </w:r>
                </w:p>
              </w:tc>
              <w:tc>
                <w:tcPr>
                  <w:tcW w:w="1401" w:type="dxa"/>
                  <w:shd w:val="clear" w:color="auto" w:fill="auto"/>
                  <w:vAlign w:val="center"/>
                </w:tcPr>
                <w:p w14:paraId="173823D6">
                  <w:pPr>
                    <w:pStyle w:val="144"/>
                    <w:adjustRightInd w:val="0"/>
                    <w:snapToGrid w:val="0"/>
                    <w:jc w:val="center"/>
                    <w:rPr>
                      <w:rFonts w:hint="default" w:ascii="Times New Roman" w:hAnsi="Times New Roman" w:eastAsia="宋体" w:cs="Times New Roman"/>
                      <w:bCs/>
                      <w:color w:val="auto"/>
                      <w:sz w:val="21"/>
                      <w:szCs w:val="21"/>
                      <w:lang w:val="en-US" w:eastAsia="zh-CN"/>
                    </w:rPr>
                  </w:pPr>
                  <w:r>
                    <w:rPr>
                      <w:rFonts w:hint="eastAsia" w:ascii="Times New Roman" w:hAnsi="Times New Roman" w:cs="Times New Roman"/>
                      <w:bCs/>
                      <w:color w:val="auto"/>
                      <w:sz w:val="21"/>
                      <w:szCs w:val="21"/>
                      <w:lang w:val="en-US" w:eastAsia="zh-CN"/>
                    </w:rPr>
                    <w:t>0.0183</w:t>
                  </w:r>
                </w:p>
              </w:tc>
            </w:tr>
            <w:tr w14:paraId="173823D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3D8">
                  <w:pPr>
                    <w:pStyle w:val="144"/>
                    <w:adjustRightInd w:val="0"/>
                    <w:snapToGrid w:val="0"/>
                    <w:jc w:val="center"/>
                    <w:rPr>
                      <w:rFonts w:ascii="Times New Roman" w:hAnsi="Times New Roman" w:cs="Times New Roman"/>
                      <w:bCs/>
                      <w:color w:val="auto"/>
                      <w:sz w:val="21"/>
                      <w:szCs w:val="21"/>
                    </w:rPr>
                  </w:pPr>
                </w:p>
              </w:tc>
              <w:tc>
                <w:tcPr>
                  <w:tcW w:w="902" w:type="dxa"/>
                  <w:vMerge w:val="restart"/>
                  <w:shd w:val="clear" w:color="auto" w:fill="auto"/>
                  <w:vAlign w:val="center"/>
                </w:tcPr>
                <w:p w14:paraId="173823D9">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无组织</w:t>
                  </w:r>
                </w:p>
              </w:tc>
              <w:tc>
                <w:tcPr>
                  <w:tcW w:w="1295" w:type="dxa"/>
                  <w:shd w:val="clear" w:color="auto" w:fill="auto"/>
                  <w:vAlign w:val="center"/>
                </w:tcPr>
                <w:p w14:paraId="173823DA">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颗粒物</w:t>
                  </w:r>
                </w:p>
              </w:tc>
              <w:tc>
                <w:tcPr>
                  <w:tcW w:w="1308" w:type="dxa"/>
                  <w:shd w:val="clear" w:color="auto" w:fill="auto"/>
                  <w:vAlign w:val="center"/>
                </w:tcPr>
                <w:p w14:paraId="173823DB">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0.2319</w:t>
                  </w:r>
                </w:p>
              </w:tc>
              <w:tc>
                <w:tcPr>
                  <w:tcW w:w="1349" w:type="dxa"/>
                  <w:shd w:val="clear" w:color="auto" w:fill="auto"/>
                  <w:vAlign w:val="center"/>
                </w:tcPr>
                <w:p w14:paraId="173823DC">
                  <w:pPr>
                    <w:widowControl/>
                    <w:jc w:val="center"/>
                    <w:textAlignment w:val="center"/>
                    <w:rPr>
                      <w:bCs/>
                      <w:color w:val="auto"/>
                      <w:kern w:val="0"/>
                      <w:szCs w:val="21"/>
                    </w:rPr>
                  </w:pPr>
                  <w:r>
                    <w:rPr>
                      <w:color w:val="auto"/>
                      <w:kern w:val="0"/>
                      <w:szCs w:val="21"/>
                      <w:lang w:bidi="ar"/>
                    </w:rPr>
                    <w:t>0.0607</w:t>
                  </w:r>
                </w:p>
              </w:tc>
              <w:tc>
                <w:tcPr>
                  <w:tcW w:w="1485" w:type="dxa"/>
                  <w:shd w:val="clear" w:color="auto" w:fill="auto"/>
                  <w:vAlign w:val="center"/>
                </w:tcPr>
                <w:p w14:paraId="173823DD">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w:t>
                  </w:r>
                </w:p>
              </w:tc>
              <w:tc>
                <w:tcPr>
                  <w:tcW w:w="1401" w:type="dxa"/>
                  <w:shd w:val="clear" w:color="auto" w:fill="auto"/>
                  <w:vAlign w:val="center"/>
                </w:tcPr>
                <w:p w14:paraId="173823DE">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0.1712</w:t>
                  </w:r>
                </w:p>
              </w:tc>
            </w:tr>
            <w:tr w14:paraId="173823E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3E0">
                  <w:pPr>
                    <w:pStyle w:val="144"/>
                    <w:adjustRightInd w:val="0"/>
                    <w:snapToGrid w:val="0"/>
                    <w:jc w:val="center"/>
                    <w:rPr>
                      <w:rFonts w:ascii="Times New Roman" w:hAnsi="Times New Roman" w:cs="Times New Roman"/>
                      <w:bCs/>
                      <w:color w:val="auto"/>
                      <w:sz w:val="21"/>
                      <w:szCs w:val="21"/>
                    </w:rPr>
                  </w:pPr>
                </w:p>
              </w:tc>
              <w:tc>
                <w:tcPr>
                  <w:tcW w:w="902" w:type="dxa"/>
                  <w:vMerge w:val="continue"/>
                  <w:shd w:val="clear" w:color="auto" w:fill="auto"/>
                  <w:vAlign w:val="center"/>
                </w:tcPr>
                <w:p w14:paraId="173823E1">
                  <w:pPr>
                    <w:pStyle w:val="144"/>
                    <w:adjustRightInd w:val="0"/>
                    <w:snapToGrid w:val="0"/>
                    <w:jc w:val="center"/>
                    <w:rPr>
                      <w:rFonts w:ascii="Times New Roman" w:hAnsi="Times New Roman" w:cs="Times New Roman"/>
                      <w:bCs/>
                      <w:color w:val="auto"/>
                      <w:sz w:val="21"/>
                      <w:szCs w:val="21"/>
                    </w:rPr>
                  </w:pPr>
                </w:p>
              </w:tc>
              <w:tc>
                <w:tcPr>
                  <w:tcW w:w="1295" w:type="dxa"/>
                  <w:shd w:val="clear" w:color="auto" w:fill="auto"/>
                  <w:vAlign w:val="center"/>
                </w:tcPr>
                <w:p w14:paraId="173823E2">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非甲烷总烃</w:t>
                  </w:r>
                </w:p>
              </w:tc>
              <w:tc>
                <w:tcPr>
                  <w:tcW w:w="1308" w:type="dxa"/>
                  <w:shd w:val="clear" w:color="auto" w:fill="auto"/>
                  <w:vAlign w:val="center"/>
                </w:tcPr>
                <w:p w14:paraId="173823E3">
                  <w:pPr>
                    <w:pStyle w:val="144"/>
                    <w:adjustRightInd w:val="0"/>
                    <w:snapToGrid w:val="0"/>
                    <w:jc w:val="center"/>
                    <w:rPr>
                      <w:rFonts w:hint="default" w:ascii="Times New Roman" w:hAnsi="Times New Roman" w:eastAsia="宋体" w:cs="Times New Roman"/>
                      <w:bCs/>
                      <w:color w:val="auto"/>
                      <w:sz w:val="21"/>
                      <w:szCs w:val="21"/>
                      <w:lang w:val="en-US" w:eastAsia="zh-CN"/>
                    </w:rPr>
                  </w:pPr>
                  <w:r>
                    <w:rPr>
                      <w:rFonts w:hint="eastAsia" w:ascii="Times New Roman" w:hAnsi="Times New Roman" w:cs="Times New Roman"/>
                      <w:bCs/>
                      <w:color w:val="auto"/>
                      <w:sz w:val="21"/>
                      <w:szCs w:val="21"/>
                      <w:lang w:val="en-US" w:eastAsia="zh-CN"/>
                    </w:rPr>
                    <w:t>0.0096</w:t>
                  </w:r>
                </w:p>
              </w:tc>
              <w:tc>
                <w:tcPr>
                  <w:tcW w:w="1349" w:type="dxa"/>
                  <w:shd w:val="clear" w:color="auto" w:fill="auto"/>
                  <w:vAlign w:val="center"/>
                </w:tcPr>
                <w:p w14:paraId="173823E4">
                  <w:pPr>
                    <w:widowControl/>
                    <w:jc w:val="center"/>
                    <w:textAlignment w:val="center"/>
                    <w:rPr>
                      <w:bCs/>
                      <w:color w:val="auto"/>
                      <w:kern w:val="0"/>
                      <w:szCs w:val="21"/>
                    </w:rPr>
                  </w:pPr>
                  <w:r>
                    <w:rPr>
                      <w:color w:val="auto"/>
                      <w:kern w:val="0"/>
                      <w:szCs w:val="21"/>
                      <w:lang w:bidi="ar"/>
                    </w:rPr>
                    <w:t>0</w:t>
                  </w:r>
                </w:p>
              </w:tc>
              <w:tc>
                <w:tcPr>
                  <w:tcW w:w="1485" w:type="dxa"/>
                  <w:shd w:val="clear" w:color="auto" w:fill="auto"/>
                  <w:vAlign w:val="center"/>
                </w:tcPr>
                <w:p w14:paraId="173823E5">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w:t>
                  </w:r>
                </w:p>
              </w:tc>
              <w:tc>
                <w:tcPr>
                  <w:tcW w:w="1401" w:type="dxa"/>
                  <w:shd w:val="clear" w:color="auto" w:fill="auto"/>
                  <w:vAlign w:val="center"/>
                </w:tcPr>
                <w:p w14:paraId="173823E6">
                  <w:pPr>
                    <w:pStyle w:val="144"/>
                    <w:adjustRightInd w:val="0"/>
                    <w:snapToGrid w:val="0"/>
                    <w:jc w:val="center"/>
                    <w:rPr>
                      <w:rFonts w:hint="default" w:ascii="Times New Roman" w:hAnsi="Times New Roman" w:eastAsia="宋体" w:cs="Times New Roman"/>
                      <w:bCs/>
                      <w:color w:val="auto"/>
                      <w:sz w:val="21"/>
                      <w:szCs w:val="21"/>
                      <w:lang w:val="en-US" w:eastAsia="zh-CN"/>
                    </w:rPr>
                  </w:pPr>
                  <w:r>
                    <w:rPr>
                      <w:rFonts w:hint="eastAsia" w:ascii="Times New Roman" w:hAnsi="Times New Roman" w:cs="Times New Roman"/>
                      <w:bCs/>
                      <w:color w:val="auto"/>
                      <w:sz w:val="21"/>
                      <w:szCs w:val="21"/>
                      <w:lang w:val="en-US" w:eastAsia="zh-CN"/>
                    </w:rPr>
                    <w:t>0.0096</w:t>
                  </w:r>
                </w:p>
              </w:tc>
            </w:tr>
            <w:tr w14:paraId="173823F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restart"/>
                  <w:shd w:val="clear" w:color="auto" w:fill="auto"/>
                  <w:vAlign w:val="center"/>
                </w:tcPr>
                <w:p w14:paraId="173823E8">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废水</w:t>
                  </w:r>
                </w:p>
              </w:tc>
              <w:tc>
                <w:tcPr>
                  <w:tcW w:w="902" w:type="dxa"/>
                  <w:vMerge w:val="restart"/>
                  <w:shd w:val="clear" w:color="auto" w:fill="auto"/>
                  <w:vAlign w:val="center"/>
                </w:tcPr>
                <w:p w14:paraId="173823E9">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生活</w:t>
                  </w:r>
                </w:p>
                <w:p w14:paraId="173823EA">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污水</w:t>
                  </w:r>
                </w:p>
              </w:tc>
              <w:tc>
                <w:tcPr>
                  <w:tcW w:w="1295" w:type="dxa"/>
                  <w:shd w:val="clear" w:color="auto" w:fill="auto"/>
                  <w:vAlign w:val="center"/>
                </w:tcPr>
                <w:p w14:paraId="173823EB">
                  <w:pPr>
                    <w:jc w:val="center"/>
                    <w:rPr>
                      <w:bCs/>
                      <w:color w:val="auto"/>
                      <w:szCs w:val="21"/>
                    </w:rPr>
                  </w:pPr>
                  <w:r>
                    <w:rPr>
                      <w:bCs/>
                      <w:color w:val="auto"/>
                      <w:szCs w:val="21"/>
                    </w:rPr>
                    <w:t>水量 (m</w:t>
                  </w:r>
                  <w:r>
                    <w:rPr>
                      <w:bCs/>
                      <w:color w:val="auto"/>
                      <w:szCs w:val="21"/>
                      <w:vertAlign w:val="superscript"/>
                    </w:rPr>
                    <w:t>3</w:t>
                  </w:r>
                  <w:r>
                    <w:rPr>
                      <w:bCs/>
                      <w:color w:val="auto"/>
                      <w:szCs w:val="21"/>
                    </w:rPr>
                    <w:t>/a)</w:t>
                  </w:r>
                </w:p>
              </w:tc>
              <w:tc>
                <w:tcPr>
                  <w:tcW w:w="1308" w:type="dxa"/>
                  <w:shd w:val="clear" w:color="auto" w:fill="auto"/>
                  <w:vAlign w:val="center"/>
                </w:tcPr>
                <w:p w14:paraId="173823EC">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144</w:t>
                  </w:r>
                </w:p>
              </w:tc>
              <w:tc>
                <w:tcPr>
                  <w:tcW w:w="1349" w:type="dxa"/>
                  <w:shd w:val="clear" w:color="auto" w:fill="auto"/>
                  <w:vAlign w:val="center"/>
                </w:tcPr>
                <w:p w14:paraId="173823ED">
                  <w:pPr>
                    <w:widowControl/>
                    <w:jc w:val="center"/>
                    <w:rPr>
                      <w:bCs/>
                      <w:color w:val="auto"/>
                      <w:kern w:val="0"/>
                      <w:szCs w:val="21"/>
                    </w:rPr>
                  </w:pPr>
                  <w:r>
                    <w:rPr>
                      <w:rFonts w:hint="eastAsia"/>
                      <w:bCs/>
                      <w:color w:val="auto"/>
                      <w:kern w:val="0"/>
                      <w:szCs w:val="21"/>
                    </w:rPr>
                    <w:t>144</w:t>
                  </w:r>
                </w:p>
              </w:tc>
              <w:tc>
                <w:tcPr>
                  <w:tcW w:w="1485" w:type="dxa"/>
                  <w:shd w:val="clear" w:color="auto" w:fill="auto"/>
                  <w:vAlign w:val="center"/>
                </w:tcPr>
                <w:p w14:paraId="173823EE">
                  <w:pPr>
                    <w:widowControl/>
                    <w:jc w:val="center"/>
                    <w:rPr>
                      <w:bCs/>
                      <w:color w:val="auto"/>
                      <w:kern w:val="0"/>
                      <w:szCs w:val="21"/>
                    </w:rPr>
                  </w:pPr>
                  <w:r>
                    <w:rPr>
                      <w:rFonts w:hint="eastAsia"/>
                      <w:bCs/>
                      <w:color w:val="auto"/>
                      <w:kern w:val="0"/>
                      <w:szCs w:val="21"/>
                    </w:rPr>
                    <w:t>0</w:t>
                  </w:r>
                </w:p>
              </w:tc>
              <w:tc>
                <w:tcPr>
                  <w:tcW w:w="1401" w:type="dxa"/>
                  <w:shd w:val="clear" w:color="auto" w:fill="auto"/>
                  <w:vAlign w:val="center"/>
                </w:tcPr>
                <w:p w14:paraId="173823EF">
                  <w:pPr>
                    <w:widowControl/>
                    <w:jc w:val="center"/>
                    <w:rPr>
                      <w:bCs/>
                      <w:color w:val="auto"/>
                      <w:kern w:val="0"/>
                      <w:szCs w:val="21"/>
                    </w:rPr>
                  </w:pPr>
                  <w:r>
                    <w:rPr>
                      <w:rFonts w:hint="eastAsia"/>
                      <w:bCs/>
                      <w:color w:val="auto"/>
                      <w:kern w:val="0"/>
                      <w:szCs w:val="21"/>
                    </w:rPr>
                    <w:t>0</w:t>
                  </w:r>
                </w:p>
              </w:tc>
            </w:tr>
            <w:tr w14:paraId="173823F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3F1">
                  <w:pPr>
                    <w:pStyle w:val="144"/>
                    <w:adjustRightInd w:val="0"/>
                    <w:snapToGrid w:val="0"/>
                    <w:jc w:val="center"/>
                    <w:rPr>
                      <w:rFonts w:ascii="Times New Roman" w:hAnsi="Times New Roman" w:cs="Times New Roman"/>
                      <w:bCs/>
                      <w:color w:val="auto"/>
                      <w:sz w:val="21"/>
                      <w:szCs w:val="21"/>
                    </w:rPr>
                  </w:pPr>
                </w:p>
              </w:tc>
              <w:tc>
                <w:tcPr>
                  <w:tcW w:w="902" w:type="dxa"/>
                  <w:vMerge w:val="continue"/>
                  <w:shd w:val="clear" w:color="auto" w:fill="auto"/>
                  <w:vAlign w:val="center"/>
                </w:tcPr>
                <w:p w14:paraId="173823F2">
                  <w:pPr>
                    <w:pStyle w:val="144"/>
                    <w:adjustRightInd w:val="0"/>
                    <w:snapToGrid w:val="0"/>
                    <w:jc w:val="center"/>
                    <w:rPr>
                      <w:rFonts w:ascii="Times New Roman" w:hAnsi="Times New Roman" w:cs="Times New Roman"/>
                      <w:bCs/>
                      <w:color w:val="auto"/>
                      <w:sz w:val="21"/>
                      <w:szCs w:val="21"/>
                    </w:rPr>
                  </w:pPr>
                </w:p>
              </w:tc>
              <w:tc>
                <w:tcPr>
                  <w:tcW w:w="1295" w:type="dxa"/>
                  <w:shd w:val="clear" w:color="auto" w:fill="auto"/>
                  <w:vAlign w:val="center"/>
                </w:tcPr>
                <w:p w14:paraId="173823F3">
                  <w:pPr>
                    <w:widowControl/>
                    <w:jc w:val="center"/>
                    <w:textAlignment w:val="center"/>
                    <w:rPr>
                      <w:color w:val="auto"/>
                      <w:szCs w:val="21"/>
                    </w:rPr>
                  </w:pPr>
                  <w:r>
                    <w:rPr>
                      <w:color w:val="auto"/>
                      <w:kern w:val="0"/>
                      <w:szCs w:val="21"/>
                      <w:lang w:bidi="ar"/>
                    </w:rPr>
                    <w:t>COD</w:t>
                  </w:r>
                </w:p>
              </w:tc>
              <w:tc>
                <w:tcPr>
                  <w:tcW w:w="1308" w:type="dxa"/>
                  <w:shd w:val="clear" w:color="auto" w:fill="auto"/>
                  <w:vAlign w:val="center"/>
                </w:tcPr>
                <w:p w14:paraId="173823F4">
                  <w:pPr>
                    <w:widowControl/>
                    <w:jc w:val="center"/>
                    <w:rPr>
                      <w:bCs/>
                      <w:color w:val="auto"/>
                      <w:kern w:val="0"/>
                      <w:szCs w:val="21"/>
                    </w:rPr>
                  </w:pPr>
                  <w:r>
                    <w:rPr>
                      <w:rFonts w:hint="eastAsia"/>
                      <w:bCs/>
                      <w:color w:val="auto"/>
                      <w:kern w:val="0"/>
                      <w:szCs w:val="21"/>
                    </w:rPr>
                    <w:t>0.0279</w:t>
                  </w:r>
                </w:p>
              </w:tc>
              <w:tc>
                <w:tcPr>
                  <w:tcW w:w="1349" w:type="dxa"/>
                  <w:shd w:val="clear" w:color="auto" w:fill="auto"/>
                  <w:vAlign w:val="center"/>
                </w:tcPr>
                <w:p w14:paraId="173823F5">
                  <w:pPr>
                    <w:widowControl/>
                    <w:jc w:val="center"/>
                    <w:rPr>
                      <w:bCs/>
                      <w:color w:val="auto"/>
                      <w:kern w:val="0"/>
                      <w:szCs w:val="21"/>
                    </w:rPr>
                  </w:pPr>
                  <w:r>
                    <w:rPr>
                      <w:rFonts w:hint="eastAsia"/>
                      <w:bCs/>
                      <w:color w:val="auto"/>
                      <w:kern w:val="0"/>
                      <w:szCs w:val="21"/>
                    </w:rPr>
                    <w:t>0.0279</w:t>
                  </w:r>
                </w:p>
              </w:tc>
              <w:tc>
                <w:tcPr>
                  <w:tcW w:w="1485" w:type="dxa"/>
                  <w:shd w:val="clear" w:color="auto" w:fill="auto"/>
                  <w:vAlign w:val="center"/>
                </w:tcPr>
                <w:p w14:paraId="173823F6">
                  <w:pPr>
                    <w:widowControl/>
                    <w:jc w:val="center"/>
                    <w:rPr>
                      <w:bCs/>
                      <w:color w:val="auto"/>
                      <w:kern w:val="0"/>
                      <w:szCs w:val="21"/>
                    </w:rPr>
                  </w:pPr>
                  <w:r>
                    <w:rPr>
                      <w:rFonts w:hint="eastAsia"/>
                      <w:bCs/>
                      <w:color w:val="auto"/>
                      <w:kern w:val="0"/>
                      <w:szCs w:val="21"/>
                    </w:rPr>
                    <w:t>0</w:t>
                  </w:r>
                </w:p>
              </w:tc>
              <w:tc>
                <w:tcPr>
                  <w:tcW w:w="1401" w:type="dxa"/>
                  <w:shd w:val="clear" w:color="auto" w:fill="auto"/>
                  <w:vAlign w:val="center"/>
                </w:tcPr>
                <w:p w14:paraId="173823F7">
                  <w:pPr>
                    <w:widowControl/>
                    <w:jc w:val="center"/>
                    <w:textAlignment w:val="center"/>
                    <w:rPr>
                      <w:bCs/>
                      <w:color w:val="auto"/>
                      <w:kern w:val="0"/>
                      <w:szCs w:val="21"/>
                    </w:rPr>
                  </w:pPr>
                  <w:r>
                    <w:rPr>
                      <w:rFonts w:hint="eastAsia"/>
                      <w:bCs/>
                      <w:color w:val="auto"/>
                      <w:kern w:val="0"/>
                      <w:szCs w:val="21"/>
                    </w:rPr>
                    <w:t>0</w:t>
                  </w:r>
                </w:p>
              </w:tc>
            </w:tr>
            <w:tr w14:paraId="1738240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3F9">
                  <w:pPr>
                    <w:pStyle w:val="144"/>
                    <w:adjustRightInd w:val="0"/>
                    <w:snapToGrid w:val="0"/>
                    <w:jc w:val="center"/>
                    <w:rPr>
                      <w:rFonts w:ascii="Times New Roman" w:hAnsi="Times New Roman" w:cs="Times New Roman"/>
                      <w:bCs/>
                      <w:color w:val="auto"/>
                      <w:sz w:val="21"/>
                      <w:szCs w:val="21"/>
                    </w:rPr>
                  </w:pPr>
                </w:p>
              </w:tc>
              <w:tc>
                <w:tcPr>
                  <w:tcW w:w="902" w:type="dxa"/>
                  <w:vMerge w:val="continue"/>
                  <w:shd w:val="clear" w:color="auto" w:fill="auto"/>
                  <w:vAlign w:val="center"/>
                </w:tcPr>
                <w:p w14:paraId="173823FA">
                  <w:pPr>
                    <w:pStyle w:val="144"/>
                    <w:adjustRightInd w:val="0"/>
                    <w:snapToGrid w:val="0"/>
                    <w:jc w:val="center"/>
                    <w:rPr>
                      <w:rFonts w:ascii="Times New Roman" w:hAnsi="Times New Roman" w:cs="Times New Roman"/>
                      <w:bCs/>
                      <w:color w:val="auto"/>
                      <w:sz w:val="21"/>
                      <w:szCs w:val="21"/>
                    </w:rPr>
                  </w:pPr>
                </w:p>
              </w:tc>
              <w:tc>
                <w:tcPr>
                  <w:tcW w:w="1295" w:type="dxa"/>
                  <w:shd w:val="clear" w:color="auto" w:fill="auto"/>
                  <w:vAlign w:val="center"/>
                </w:tcPr>
                <w:p w14:paraId="173823FB">
                  <w:pPr>
                    <w:widowControl/>
                    <w:jc w:val="center"/>
                    <w:textAlignment w:val="center"/>
                    <w:rPr>
                      <w:color w:val="auto"/>
                      <w:szCs w:val="21"/>
                    </w:rPr>
                  </w:pPr>
                  <w:r>
                    <w:rPr>
                      <w:color w:val="auto"/>
                      <w:kern w:val="0"/>
                      <w:szCs w:val="21"/>
                      <w:lang w:bidi="ar"/>
                    </w:rPr>
                    <w:t>SS</w:t>
                  </w:r>
                </w:p>
              </w:tc>
              <w:tc>
                <w:tcPr>
                  <w:tcW w:w="1308" w:type="dxa"/>
                  <w:shd w:val="clear" w:color="auto" w:fill="auto"/>
                  <w:vAlign w:val="center"/>
                </w:tcPr>
                <w:p w14:paraId="173823FC">
                  <w:pPr>
                    <w:widowControl/>
                    <w:jc w:val="center"/>
                    <w:rPr>
                      <w:bCs/>
                      <w:color w:val="auto"/>
                      <w:kern w:val="0"/>
                      <w:szCs w:val="21"/>
                    </w:rPr>
                  </w:pPr>
                  <w:r>
                    <w:rPr>
                      <w:rFonts w:hint="eastAsia"/>
                      <w:bCs/>
                      <w:color w:val="auto"/>
                      <w:kern w:val="0"/>
                      <w:szCs w:val="21"/>
                    </w:rPr>
                    <w:t>0.0143</w:t>
                  </w:r>
                </w:p>
              </w:tc>
              <w:tc>
                <w:tcPr>
                  <w:tcW w:w="1349" w:type="dxa"/>
                  <w:shd w:val="clear" w:color="auto" w:fill="auto"/>
                  <w:vAlign w:val="center"/>
                </w:tcPr>
                <w:p w14:paraId="173823FD">
                  <w:pPr>
                    <w:widowControl/>
                    <w:jc w:val="center"/>
                    <w:rPr>
                      <w:bCs/>
                      <w:color w:val="auto"/>
                      <w:kern w:val="0"/>
                      <w:szCs w:val="21"/>
                    </w:rPr>
                  </w:pPr>
                  <w:r>
                    <w:rPr>
                      <w:rFonts w:hint="eastAsia"/>
                      <w:bCs/>
                      <w:color w:val="auto"/>
                      <w:kern w:val="0"/>
                      <w:szCs w:val="21"/>
                    </w:rPr>
                    <w:t>0.0143</w:t>
                  </w:r>
                </w:p>
              </w:tc>
              <w:tc>
                <w:tcPr>
                  <w:tcW w:w="1485" w:type="dxa"/>
                  <w:shd w:val="clear" w:color="auto" w:fill="auto"/>
                  <w:vAlign w:val="center"/>
                </w:tcPr>
                <w:p w14:paraId="173823FE">
                  <w:pPr>
                    <w:widowControl/>
                    <w:jc w:val="center"/>
                    <w:rPr>
                      <w:bCs/>
                      <w:color w:val="auto"/>
                      <w:kern w:val="0"/>
                      <w:szCs w:val="21"/>
                    </w:rPr>
                  </w:pPr>
                  <w:r>
                    <w:rPr>
                      <w:rFonts w:hint="eastAsia"/>
                      <w:bCs/>
                      <w:color w:val="auto"/>
                      <w:kern w:val="0"/>
                      <w:szCs w:val="21"/>
                    </w:rPr>
                    <w:t>0</w:t>
                  </w:r>
                </w:p>
              </w:tc>
              <w:tc>
                <w:tcPr>
                  <w:tcW w:w="1401" w:type="dxa"/>
                  <w:shd w:val="clear" w:color="auto" w:fill="auto"/>
                  <w:vAlign w:val="center"/>
                </w:tcPr>
                <w:p w14:paraId="173823FF">
                  <w:pPr>
                    <w:widowControl/>
                    <w:jc w:val="center"/>
                    <w:textAlignment w:val="center"/>
                    <w:rPr>
                      <w:bCs/>
                      <w:color w:val="auto"/>
                      <w:kern w:val="0"/>
                      <w:szCs w:val="21"/>
                    </w:rPr>
                  </w:pPr>
                  <w:r>
                    <w:rPr>
                      <w:rFonts w:hint="eastAsia"/>
                      <w:bCs/>
                      <w:color w:val="auto"/>
                      <w:kern w:val="0"/>
                      <w:szCs w:val="21"/>
                    </w:rPr>
                    <w:t>0</w:t>
                  </w:r>
                </w:p>
              </w:tc>
            </w:tr>
            <w:tr w14:paraId="1738240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01">
                  <w:pPr>
                    <w:pStyle w:val="144"/>
                    <w:adjustRightInd w:val="0"/>
                    <w:snapToGrid w:val="0"/>
                    <w:jc w:val="center"/>
                    <w:rPr>
                      <w:rFonts w:ascii="Times New Roman" w:hAnsi="Times New Roman" w:cs="Times New Roman"/>
                      <w:bCs/>
                      <w:color w:val="auto"/>
                      <w:sz w:val="21"/>
                      <w:szCs w:val="21"/>
                    </w:rPr>
                  </w:pPr>
                </w:p>
              </w:tc>
              <w:tc>
                <w:tcPr>
                  <w:tcW w:w="902" w:type="dxa"/>
                  <w:vMerge w:val="continue"/>
                  <w:shd w:val="clear" w:color="auto" w:fill="auto"/>
                  <w:vAlign w:val="center"/>
                </w:tcPr>
                <w:p w14:paraId="17382402">
                  <w:pPr>
                    <w:pStyle w:val="144"/>
                    <w:adjustRightInd w:val="0"/>
                    <w:snapToGrid w:val="0"/>
                    <w:jc w:val="center"/>
                    <w:rPr>
                      <w:rFonts w:ascii="Times New Roman" w:hAnsi="Times New Roman" w:cs="Times New Roman"/>
                      <w:bCs/>
                      <w:color w:val="auto"/>
                      <w:sz w:val="21"/>
                      <w:szCs w:val="21"/>
                    </w:rPr>
                  </w:pPr>
                </w:p>
              </w:tc>
              <w:tc>
                <w:tcPr>
                  <w:tcW w:w="1295" w:type="dxa"/>
                  <w:shd w:val="clear" w:color="auto" w:fill="auto"/>
                  <w:vAlign w:val="center"/>
                </w:tcPr>
                <w:p w14:paraId="17382403">
                  <w:pPr>
                    <w:widowControl/>
                    <w:jc w:val="center"/>
                    <w:textAlignment w:val="center"/>
                    <w:rPr>
                      <w:color w:val="auto"/>
                      <w:kern w:val="0"/>
                      <w:szCs w:val="21"/>
                      <w:lang w:bidi="ar"/>
                    </w:rPr>
                  </w:pPr>
                  <w:r>
                    <w:rPr>
                      <w:color w:val="auto"/>
                      <w:kern w:val="0"/>
                      <w:szCs w:val="21"/>
                      <w:lang w:bidi="ar"/>
                    </w:rPr>
                    <w:t>NH</w:t>
                  </w:r>
                  <w:r>
                    <w:rPr>
                      <w:color w:val="auto"/>
                      <w:kern w:val="0"/>
                      <w:szCs w:val="21"/>
                      <w:vertAlign w:val="subscript"/>
                      <w:lang w:bidi="ar"/>
                    </w:rPr>
                    <w:t>3</w:t>
                  </w:r>
                  <w:r>
                    <w:rPr>
                      <w:color w:val="auto"/>
                      <w:kern w:val="0"/>
                      <w:szCs w:val="21"/>
                      <w:lang w:bidi="ar"/>
                    </w:rPr>
                    <w:t>-N</w:t>
                  </w:r>
                </w:p>
              </w:tc>
              <w:tc>
                <w:tcPr>
                  <w:tcW w:w="1308" w:type="dxa"/>
                  <w:shd w:val="clear" w:color="auto" w:fill="auto"/>
                  <w:vAlign w:val="center"/>
                </w:tcPr>
                <w:p w14:paraId="17382404">
                  <w:pPr>
                    <w:widowControl/>
                    <w:jc w:val="center"/>
                    <w:rPr>
                      <w:bCs/>
                      <w:color w:val="auto"/>
                      <w:kern w:val="0"/>
                      <w:szCs w:val="21"/>
                    </w:rPr>
                  </w:pPr>
                  <w:r>
                    <w:rPr>
                      <w:rFonts w:hint="eastAsia"/>
                      <w:bCs/>
                      <w:color w:val="auto"/>
                      <w:kern w:val="0"/>
                      <w:szCs w:val="21"/>
                    </w:rPr>
                    <w:t>0.0038</w:t>
                  </w:r>
                </w:p>
              </w:tc>
              <w:tc>
                <w:tcPr>
                  <w:tcW w:w="1349" w:type="dxa"/>
                  <w:shd w:val="clear" w:color="auto" w:fill="auto"/>
                  <w:vAlign w:val="center"/>
                </w:tcPr>
                <w:p w14:paraId="17382405">
                  <w:pPr>
                    <w:widowControl/>
                    <w:jc w:val="center"/>
                    <w:rPr>
                      <w:bCs/>
                      <w:color w:val="auto"/>
                      <w:kern w:val="0"/>
                      <w:szCs w:val="21"/>
                    </w:rPr>
                  </w:pPr>
                  <w:r>
                    <w:rPr>
                      <w:rFonts w:hint="eastAsia"/>
                      <w:bCs/>
                      <w:color w:val="auto"/>
                      <w:kern w:val="0"/>
                      <w:szCs w:val="21"/>
                    </w:rPr>
                    <w:t>0.0038</w:t>
                  </w:r>
                </w:p>
              </w:tc>
              <w:tc>
                <w:tcPr>
                  <w:tcW w:w="1485" w:type="dxa"/>
                  <w:shd w:val="clear" w:color="auto" w:fill="auto"/>
                  <w:vAlign w:val="center"/>
                </w:tcPr>
                <w:p w14:paraId="17382406">
                  <w:pPr>
                    <w:widowControl/>
                    <w:jc w:val="center"/>
                    <w:rPr>
                      <w:bCs/>
                      <w:color w:val="auto"/>
                      <w:kern w:val="0"/>
                      <w:szCs w:val="21"/>
                    </w:rPr>
                  </w:pPr>
                  <w:r>
                    <w:rPr>
                      <w:rFonts w:hint="eastAsia"/>
                      <w:bCs/>
                      <w:color w:val="auto"/>
                      <w:kern w:val="0"/>
                      <w:szCs w:val="21"/>
                    </w:rPr>
                    <w:t>0</w:t>
                  </w:r>
                </w:p>
              </w:tc>
              <w:tc>
                <w:tcPr>
                  <w:tcW w:w="1401" w:type="dxa"/>
                  <w:shd w:val="clear" w:color="auto" w:fill="auto"/>
                  <w:vAlign w:val="center"/>
                </w:tcPr>
                <w:p w14:paraId="17382407">
                  <w:pPr>
                    <w:widowControl/>
                    <w:jc w:val="center"/>
                    <w:textAlignment w:val="center"/>
                    <w:rPr>
                      <w:bCs/>
                      <w:color w:val="auto"/>
                      <w:kern w:val="0"/>
                      <w:szCs w:val="21"/>
                    </w:rPr>
                  </w:pPr>
                  <w:r>
                    <w:rPr>
                      <w:rFonts w:hint="eastAsia"/>
                      <w:bCs/>
                      <w:color w:val="auto"/>
                      <w:kern w:val="0"/>
                      <w:szCs w:val="21"/>
                    </w:rPr>
                    <w:t>0</w:t>
                  </w:r>
                </w:p>
              </w:tc>
            </w:tr>
            <w:tr w14:paraId="1738241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09">
                  <w:pPr>
                    <w:pStyle w:val="144"/>
                    <w:adjustRightInd w:val="0"/>
                    <w:snapToGrid w:val="0"/>
                    <w:jc w:val="center"/>
                    <w:rPr>
                      <w:rFonts w:ascii="Times New Roman" w:hAnsi="Times New Roman" w:cs="Times New Roman"/>
                      <w:bCs/>
                      <w:color w:val="auto"/>
                      <w:sz w:val="21"/>
                      <w:szCs w:val="21"/>
                    </w:rPr>
                  </w:pPr>
                </w:p>
              </w:tc>
              <w:tc>
                <w:tcPr>
                  <w:tcW w:w="902" w:type="dxa"/>
                  <w:vMerge w:val="continue"/>
                  <w:shd w:val="clear" w:color="auto" w:fill="auto"/>
                  <w:vAlign w:val="center"/>
                </w:tcPr>
                <w:p w14:paraId="1738240A">
                  <w:pPr>
                    <w:pStyle w:val="144"/>
                    <w:adjustRightInd w:val="0"/>
                    <w:snapToGrid w:val="0"/>
                    <w:jc w:val="center"/>
                    <w:rPr>
                      <w:rFonts w:ascii="Times New Roman" w:hAnsi="Times New Roman" w:cs="Times New Roman"/>
                      <w:bCs/>
                      <w:color w:val="auto"/>
                      <w:sz w:val="21"/>
                      <w:szCs w:val="21"/>
                    </w:rPr>
                  </w:pPr>
                </w:p>
              </w:tc>
              <w:tc>
                <w:tcPr>
                  <w:tcW w:w="1295" w:type="dxa"/>
                  <w:shd w:val="clear" w:color="auto" w:fill="auto"/>
                  <w:vAlign w:val="center"/>
                </w:tcPr>
                <w:p w14:paraId="1738240B">
                  <w:pPr>
                    <w:widowControl/>
                    <w:jc w:val="center"/>
                    <w:textAlignment w:val="center"/>
                    <w:rPr>
                      <w:color w:val="auto"/>
                      <w:kern w:val="0"/>
                      <w:szCs w:val="21"/>
                      <w:lang w:bidi="ar"/>
                    </w:rPr>
                  </w:pPr>
                  <w:r>
                    <w:rPr>
                      <w:rFonts w:hint="eastAsia"/>
                      <w:color w:val="auto"/>
                      <w:kern w:val="0"/>
                      <w:szCs w:val="21"/>
                      <w:lang w:bidi="ar"/>
                    </w:rPr>
                    <w:t>总氮</w:t>
                  </w:r>
                </w:p>
              </w:tc>
              <w:tc>
                <w:tcPr>
                  <w:tcW w:w="1308" w:type="dxa"/>
                  <w:shd w:val="clear" w:color="auto" w:fill="auto"/>
                  <w:vAlign w:val="center"/>
                </w:tcPr>
                <w:p w14:paraId="1738240C">
                  <w:pPr>
                    <w:widowControl/>
                    <w:jc w:val="center"/>
                    <w:rPr>
                      <w:bCs/>
                      <w:color w:val="auto"/>
                      <w:kern w:val="0"/>
                      <w:szCs w:val="21"/>
                    </w:rPr>
                  </w:pPr>
                  <w:r>
                    <w:rPr>
                      <w:rFonts w:hint="eastAsia"/>
                      <w:bCs/>
                      <w:color w:val="auto"/>
                      <w:kern w:val="0"/>
                      <w:szCs w:val="21"/>
                    </w:rPr>
                    <w:t>0.0054</w:t>
                  </w:r>
                </w:p>
              </w:tc>
              <w:tc>
                <w:tcPr>
                  <w:tcW w:w="1349" w:type="dxa"/>
                  <w:shd w:val="clear" w:color="auto" w:fill="auto"/>
                  <w:vAlign w:val="center"/>
                </w:tcPr>
                <w:p w14:paraId="1738240D">
                  <w:pPr>
                    <w:widowControl/>
                    <w:jc w:val="center"/>
                    <w:rPr>
                      <w:bCs/>
                      <w:color w:val="auto"/>
                      <w:kern w:val="0"/>
                      <w:szCs w:val="21"/>
                    </w:rPr>
                  </w:pPr>
                  <w:r>
                    <w:rPr>
                      <w:rFonts w:hint="eastAsia"/>
                      <w:bCs/>
                      <w:color w:val="auto"/>
                      <w:kern w:val="0"/>
                      <w:szCs w:val="21"/>
                    </w:rPr>
                    <w:t>0.0054</w:t>
                  </w:r>
                </w:p>
              </w:tc>
              <w:tc>
                <w:tcPr>
                  <w:tcW w:w="1485" w:type="dxa"/>
                  <w:shd w:val="clear" w:color="auto" w:fill="auto"/>
                  <w:vAlign w:val="center"/>
                </w:tcPr>
                <w:p w14:paraId="1738240E">
                  <w:pPr>
                    <w:widowControl/>
                    <w:jc w:val="center"/>
                    <w:rPr>
                      <w:bCs/>
                      <w:color w:val="auto"/>
                      <w:kern w:val="0"/>
                      <w:szCs w:val="21"/>
                    </w:rPr>
                  </w:pPr>
                  <w:r>
                    <w:rPr>
                      <w:rFonts w:hint="eastAsia"/>
                      <w:bCs/>
                      <w:color w:val="auto"/>
                      <w:kern w:val="0"/>
                      <w:szCs w:val="21"/>
                    </w:rPr>
                    <w:t>0</w:t>
                  </w:r>
                </w:p>
              </w:tc>
              <w:tc>
                <w:tcPr>
                  <w:tcW w:w="1401" w:type="dxa"/>
                  <w:shd w:val="clear" w:color="auto" w:fill="auto"/>
                  <w:vAlign w:val="center"/>
                </w:tcPr>
                <w:p w14:paraId="1738240F">
                  <w:pPr>
                    <w:widowControl/>
                    <w:jc w:val="center"/>
                    <w:textAlignment w:val="center"/>
                    <w:rPr>
                      <w:bCs/>
                      <w:color w:val="auto"/>
                      <w:kern w:val="0"/>
                      <w:szCs w:val="21"/>
                    </w:rPr>
                  </w:pPr>
                  <w:r>
                    <w:rPr>
                      <w:rFonts w:hint="eastAsia"/>
                      <w:bCs/>
                      <w:color w:val="auto"/>
                      <w:kern w:val="0"/>
                      <w:szCs w:val="21"/>
                    </w:rPr>
                    <w:t>0</w:t>
                  </w:r>
                </w:p>
              </w:tc>
            </w:tr>
            <w:tr w14:paraId="1738241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11">
                  <w:pPr>
                    <w:pStyle w:val="144"/>
                    <w:adjustRightInd w:val="0"/>
                    <w:snapToGrid w:val="0"/>
                    <w:jc w:val="center"/>
                    <w:rPr>
                      <w:rFonts w:ascii="Times New Roman" w:hAnsi="Times New Roman" w:cs="Times New Roman"/>
                      <w:bCs/>
                      <w:color w:val="auto"/>
                      <w:sz w:val="21"/>
                      <w:szCs w:val="21"/>
                    </w:rPr>
                  </w:pPr>
                </w:p>
              </w:tc>
              <w:tc>
                <w:tcPr>
                  <w:tcW w:w="902" w:type="dxa"/>
                  <w:vMerge w:val="continue"/>
                  <w:shd w:val="clear" w:color="auto" w:fill="auto"/>
                  <w:vAlign w:val="center"/>
                </w:tcPr>
                <w:p w14:paraId="17382412">
                  <w:pPr>
                    <w:pStyle w:val="144"/>
                    <w:adjustRightInd w:val="0"/>
                    <w:snapToGrid w:val="0"/>
                    <w:jc w:val="center"/>
                    <w:rPr>
                      <w:rFonts w:ascii="Times New Roman" w:hAnsi="Times New Roman" w:cs="Times New Roman"/>
                      <w:bCs/>
                      <w:color w:val="auto"/>
                      <w:sz w:val="21"/>
                      <w:szCs w:val="21"/>
                    </w:rPr>
                  </w:pPr>
                </w:p>
              </w:tc>
              <w:tc>
                <w:tcPr>
                  <w:tcW w:w="1295" w:type="dxa"/>
                  <w:shd w:val="clear" w:color="auto" w:fill="auto"/>
                  <w:vAlign w:val="center"/>
                </w:tcPr>
                <w:p w14:paraId="17382413">
                  <w:pPr>
                    <w:widowControl/>
                    <w:jc w:val="center"/>
                    <w:textAlignment w:val="center"/>
                    <w:rPr>
                      <w:color w:val="auto"/>
                      <w:kern w:val="0"/>
                      <w:szCs w:val="21"/>
                      <w:lang w:bidi="ar"/>
                    </w:rPr>
                  </w:pPr>
                  <w:r>
                    <w:rPr>
                      <w:rFonts w:hint="eastAsia"/>
                      <w:color w:val="auto"/>
                      <w:kern w:val="0"/>
                      <w:szCs w:val="21"/>
                      <w:lang w:bidi="ar"/>
                    </w:rPr>
                    <w:t>总磷</w:t>
                  </w:r>
                </w:p>
              </w:tc>
              <w:tc>
                <w:tcPr>
                  <w:tcW w:w="1308" w:type="dxa"/>
                  <w:shd w:val="clear" w:color="auto" w:fill="auto"/>
                  <w:vAlign w:val="center"/>
                </w:tcPr>
                <w:p w14:paraId="17382414">
                  <w:pPr>
                    <w:widowControl/>
                    <w:jc w:val="center"/>
                    <w:rPr>
                      <w:bCs/>
                      <w:color w:val="auto"/>
                      <w:kern w:val="0"/>
                      <w:szCs w:val="21"/>
                    </w:rPr>
                  </w:pPr>
                  <w:r>
                    <w:rPr>
                      <w:rFonts w:hint="eastAsia"/>
                      <w:bCs/>
                      <w:color w:val="auto"/>
                      <w:kern w:val="0"/>
                      <w:szCs w:val="21"/>
                    </w:rPr>
                    <w:t>0.0005</w:t>
                  </w:r>
                </w:p>
              </w:tc>
              <w:tc>
                <w:tcPr>
                  <w:tcW w:w="1349" w:type="dxa"/>
                  <w:shd w:val="clear" w:color="auto" w:fill="auto"/>
                  <w:vAlign w:val="center"/>
                </w:tcPr>
                <w:p w14:paraId="17382415">
                  <w:pPr>
                    <w:widowControl/>
                    <w:jc w:val="center"/>
                    <w:rPr>
                      <w:bCs/>
                      <w:color w:val="auto"/>
                      <w:kern w:val="0"/>
                      <w:szCs w:val="21"/>
                    </w:rPr>
                  </w:pPr>
                  <w:r>
                    <w:rPr>
                      <w:rFonts w:hint="eastAsia"/>
                      <w:bCs/>
                      <w:color w:val="auto"/>
                      <w:kern w:val="0"/>
                      <w:szCs w:val="21"/>
                    </w:rPr>
                    <w:t>0.0005</w:t>
                  </w:r>
                </w:p>
              </w:tc>
              <w:tc>
                <w:tcPr>
                  <w:tcW w:w="1485" w:type="dxa"/>
                  <w:shd w:val="clear" w:color="auto" w:fill="auto"/>
                  <w:vAlign w:val="center"/>
                </w:tcPr>
                <w:p w14:paraId="17382416">
                  <w:pPr>
                    <w:widowControl/>
                    <w:jc w:val="center"/>
                    <w:rPr>
                      <w:bCs/>
                      <w:color w:val="auto"/>
                      <w:kern w:val="0"/>
                      <w:szCs w:val="21"/>
                    </w:rPr>
                  </w:pPr>
                  <w:r>
                    <w:rPr>
                      <w:rFonts w:hint="eastAsia"/>
                      <w:bCs/>
                      <w:color w:val="auto"/>
                      <w:kern w:val="0"/>
                      <w:szCs w:val="21"/>
                    </w:rPr>
                    <w:t>0</w:t>
                  </w:r>
                </w:p>
              </w:tc>
              <w:tc>
                <w:tcPr>
                  <w:tcW w:w="1401" w:type="dxa"/>
                  <w:shd w:val="clear" w:color="auto" w:fill="auto"/>
                  <w:vAlign w:val="center"/>
                </w:tcPr>
                <w:p w14:paraId="17382417">
                  <w:pPr>
                    <w:widowControl/>
                    <w:jc w:val="center"/>
                    <w:textAlignment w:val="center"/>
                    <w:rPr>
                      <w:bCs/>
                      <w:color w:val="auto"/>
                      <w:kern w:val="0"/>
                      <w:szCs w:val="21"/>
                    </w:rPr>
                  </w:pPr>
                  <w:r>
                    <w:rPr>
                      <w:rFonts w:hint="eastAsia"/>
                      <w:bCs/>
                      <w:color w:val="auto"/>
                      <w:kern w:val="0"/>
                      <w:szCs w:val="21"/>
                    </w:rPr>
                    <w:t>0</w:t>
                  </w:r>
                </w:p>
              </w:tc>
            </w:tr>
            <w:tr w14:paraId="1738241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restart"/>
                  <w:shd w:val="clear" w:color="auto" w:fill="auto"/>
                  <w:vAlign w:val="center"/>
                </w:tcPr>
                <w:p w14:paraId="17382419">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固废</w:t>
                  </w:r>
                </w:p>
              </w:tc>
              <w:tc>
                <w:tcPr>
                  <w:tcW w:w="2197" w:type="dxa"/>
                  <w:gridSpan w:val="2"/>
                  <w:shd w:val="clear" w:color="auto" w:fill="auto"/>
                  <w:vAlign w:val="center"/>
                </w:tcPr>
                <w:p w14:paraId="1738241A">
                  <w:pPr>
                    <w:pStyle w:val="107"/>
                    <w:spacing w:line="240" w:lineRule="auto"/>
                    <w:ind w:firstLine="0" w:firstLineChars="0"/>
                    <w:jc w:val="center"/>
                    <w:rPr>
                      <w:rFonts w:ascii="Times New Roman" w:hAnsi="Times New Roman" w:cs="Times New Roman"/>
                      <w:bCs/>
                      <w:color w:val="auto"/>
                      <w:sz w:val="21"/>
                      <w:szCs w:val="21"/>
                    </w:rPr>
                  </w:pPr>
                  <w:r>
                    <w:rPr>
                      <w:rFonts w:hint="eastAsia" w:ascii="Times New Roman" w:hAnsi="Times New Roman"/>
                      <w:b w:val="0"/>
                      <w:color w:val="auto"/>
                      <w:sz w:val="21"/>
                      <w:szCs w:val="21"/>
                    </w:rPr>
                    <w:t>一般废包装袋</w:t>
                  </w:r>
                </w:p>
              </w:tc>
              <w:tc>
                <w:tcPr>
                  <w:tcW w:w="1308" w:type="dxa"/>
                  <w:shd w:val="clear" w:color="auto" w:fill="auto"/>
                  <w:vAlign w:val="center"/>
                </w:tcPr>
                <w:p w14:paraId="1738241B">
                  <w:pPr>
                    <w:adjustRightInd w:val="0"/>
                    <w:snapToGrid w:val="0"/>
                    <w:jc w:val="center"/>
                    <w:rPr>
                      <w:bCs/>
                      <w:color w:val="auto"/>
                      <w:szCs w:val="21"/>
                    </w:rPr>
                  </w:pPr>
                  <w:r>
                    <w:rPr>
                      <w:rFonts w:hint="eastAsia"/>
                      <w:color w:val="auto"/>
                      <w:szCs w:val="21"/>
                    </w:rPr>
                    <w:t>0.1</w:t>
                  </w:r>
                </w:p>
              </w:tc>
              <w:tc>
                <w:tcPr>
                  <w:tcW w:w="1349" w:type="dxa"/>
                  <w:shd w:val="clear" w:color="auto" w:fill="auto"/>
                  <w:vAlign w:val="center"/>
                </w:tcPr>
                <w:p w14:paraId="1738241C">
                  <w:pPr>
                    <w:adjustRightInd w:val="0"/>
                    <w:snapToGrid w:val="0"/>
                    <w:jc w:val="center"/>
                    <w:rPr>
                      <w:bCs/>
                      <w:color w:val="auto"/>
                      <w:szCs w:val="21"/>
                    </w:rPr>
                  </w:pPr>
                  <w:r>
                    <w:rPr>
                      <w:rFonts w:hint="eastAsia"/>
                      <w:color w:val="auto"/>
                      <w:szCs w:val="21"/>
                    </w:rPr>
                    <w:t>0.1</w:t>
                  </w:r>
                </w:p>
              </w:tc>
              <w:tc>
                <w:tcPr>
                  <w:tcW w:w="1485" w:type="dxa"/>
                  <w:shd w:val="clear" w:color="auto" w:fill="auto"/>
                  <w:vAlign w:val="center"/>
                </w:tcPr>
                <w:p w14:paraId="1738241D">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1E">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2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20">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21">
                  <w:pPr>
                    <w:pStyle w:val="107"/>
                    <w:spacing w:line="240" w:lineRule="auto"/>
                    <w:ind w:firstLine="0" w:firstLineChars="0"/>
                    <w:jc w:val="center"/>
                    <w:rPr>
                      <w:rFonts w:ascii="Times New Roman" w:hAnsi="Times New Roman" w:cs="Times New Roman"/>
                      <w:bCs/>
                      <w:color w:val="auto"/>
                      <w:sz w:val="21"/>
                      <w:szCs w:val="21"/>
                    </w:rPr>
                  </w:pPr>
                  <w:r>
                    <w:rPr>
                      <w:rFonts w:hint="eastAsia" w:ascii="Times New Roman" w:hAnsi="Times New Roman"/>
                      <w:b w:val="0"/>
                      <w:color w:val="auto"/>
                      <w:sz w:val="21"/>
                      <w:szCs w:val="21"/>
                    </w:rPr>
                    <w:t>切割废边角料</w:t>
                  </w:r>
                </w:p>
              </w:tc>
              <w:tc>
                <w:tcPr>
                  <w:tcW w:w="1308" w:type="dxa"/>
                  <w:shd w:val="clear" w:color="auto" w:fill="auto"/>
                  <w:vAlign w:val="center"/>
                </w:tcPr>
                <w:p w14:paraId="17382422">
                  <w:pPr>
                    <w:adjustRightInd w:val="0"/>
                    <w:snapToGrid w:val="0"/>
                    <w:jc w:val="center"/>
                    <w:rPr>
                      <w:bCs/>
                      <w:color w:val="auto"/>
                      <w:szCs w:val="21"/>
                    </w:rPr>
                  </w:pPr>
                  <w:r>
                    <w:rPr>
                      <w:rFonts w:hint="eastAsia"/>
                      <w:color w:val="auto"/>
                      <w:szCs w:val="21"/>
                    </w:rPr>
                    <w:t>0.105</w:t>
                  </w:r>
                </w:p>
              </w:tc>
              <w:tc>
                <w:tcPr>
                  <w:tcW w:w="1349" w:type="dxa"/>
                  <w:shd w:val="clear" w:color="auto" w:fill="auto"/>
                  <w:vAlign w:val="center"/>
                </w:tcPr>
                <w:p w14:paraId="17382423">
                  <w:pPr>
                    <w:adjustRightInd w:val="0"/>
                    <w:snapToGrid w:val="0"/>
                    <w:jc w:val="center"/>
                    <w:rPr>
                      <w:bCs/>
                      <w:color w:val="auto"/>
                      <w:szCs w:val="21"/>
                    </w:rPr>
                  </w:pPr>
                  <w:r>
                    <w:rPr>
                      <w:rFonts w:hint="eastAsia"/>
                      <w:color w:val="auto"/>
                      <w:szCs w:val="21"/>
                    </w:rPr>
                    <w:t>0.105</w:t>
                  </w:r>
                </w:p>
              </w:tc>
              <w:tc>
                <w:tcPr>
                  <w:tcW w:w="1485" w:type="dxa"/>
                  <w:shd w:val="clear" w:color="auto" w:fill="auto"/>
                  <w:vAlign w:val="center"/>
                </w:tcPr>
                <w:p w14:paraId="17382424">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25">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2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27">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28">
                  <w:pPr>
                    <w:pStyle w:val="107"/>
                    <w:spacing w:line="240" w:lineRule="auto"/>
                    <w:ind w:firstLine="0" w:firstLineChars="0"/>
                    <w:jc w:val="center"/>
                    <w:rPr>
                      <w:rFonts w:ascii="Times New Roman" w:hAnsi="Times New Roman" w:cs="Times New Roman"/>
                      <w:bCs/>
                      <w:color w:val="auto"/>
                      <w:sz w:val="21"/>
                      <w:szCs w:val="21"/>
                    </w:rPr>
                  </w:pPr>
                  <w:r>
                    <w:rPr>
                      <w:rFonts w:hint="eastAsia" w:ascii="Times New Roman" w:hAnsi="Times New Roman"/>
                      <w:b w:val="0"/>
                      <w:color w:val="auto"/>
                      <w:sz w:val="21"/>
                      <w:szCs w:val="21"/>
                    </w:rPr>
                    <w:t>切割沉淀沉渣</w:t>
                  </w:r>
                </w:p>
              </w:tc>
              <w:tc>
                <w:tcPr>
                  <w:tcW w:w="1308" w:type="dxa"/>
                  <w:shd w:val="clear" w:color="auto" w:fill="auto"/>
                  <w:vAlign w:val="center"/>
                </w:tcPr>
                <w:p w14:paraId="17382429">
                  <w:pPr>
                    <w:adjustRightInd w:val="0"/>
                    <w:snapToGrid w:val="0"/>
                    <w:jc w:val="center"/>
                    <w:rPr>
                      <w:bCs/>
                      <w:color w:val="auto"/>
                      <w:szCs w:val="21"/>
                    </w:rPr>
                  </w:pPr>
                  <w:r>
                    <w:rPr>
                      <w:rFonts w:hint="eastAsia"/>
                      <w:color w:val="auto"/>
                      <w:szCs w:val="21"/>
                    </w:rPr>
                    <w:t>0.168</w:t>
                  </w:r>
                </w:p>
              </w:tc>
              <w:tc>
                <w:tcPr>
                  <w:tcW w:w="1349" w:type="dxa"/>
                  <w:shd w:val="clear" w:color="auto" w:fill="auto"/>
                  <w:vAlign w:val="center"/>
                </w:tcPr>
                <w:p w14:paraId="1738242A">
                  <w:pPr>
                    <w:adjustRightInd w:val="0"/>
                    <w:snapToGrid w:val="0"/>
                    <w:jc w:val="center"/>
                    <w:rPr>
                      <w:bCs/>
                      <w:color w:val="auto"/>
                      <w:szCs w:val="21"/>
                    </w:rPr>
                  </w:pPr>
                  <w:r>
                    <w:rPr>
                      <w:rFonts w:hint="eastAsia"/>
                      <w:color w:val="auto"/>
                      <w:szCs w:val="21"/>
                    </w:rPr>
                    <w:t>0.168</w:t>
                  </w:r>
                </w:p>
              </w:tc>
              <w:tc>
                <w:tcPr>
                  <w:tcW w:w="1485" w:type="dxa"/>
                  <w:shd w:val="clear" w:color="auto" w:fill="auto"/>
                  <w:vAlign w:val="center"/>
                </w:tcPr>
                <w:p w14:paraId="1738242B">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2C">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3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2E">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2F">
                  <w:pPr>
                    <w:pStyle w:val="107"/>
                    <w:spacing w:line="240" w:lineRule="auto"/>
                    <w:ind w:firstLine="0" w:firstLineChars="0"/>
                    <w:jc w:val="center"/>
                    <w:rPr>
                      <w:rFonts w:ascii="Times New Roman" w:hAnsi="Times New Roman" w:cs="Times New Roman"/>
                      <w:bCs/>
                      <w:color w:val="auto"/>
                      <w:sz w:val="21"/>
                      <w:szCs w:val="21"/>
                    </w:rPr>
                  </w:pPr>
                  <w:r>
                    <w:rPr>
                      <w:rFonts w:hint="eastAsia" w:ascii="Times New Roman" w:hAnsi="Times New Roman"/>
                      <w:b w:val="0"/>
                      <w:color w:val="auto"/>
                      <w:sz w:val="21"/>
                      <w:szCs w:val="21"/>
                    </w:rPr>
                    <w:t>热处理沉淀沉渣</w:t>
                  </w:r>
                </w:p>
              </w:tc>
              <w:tc>
                <w:tcPr>
                  <w:tcW w:w="1308" w:type="dxa"/>
                  <w:shd w:val="clear" w:color="auto" w:fill="auto"/>
                  <w:vAlign w:val="center"/>
                </w:tcPr>
                <w:p w14:paraId="17382430">
                  <w:pPr>
                    <w:adjustRightInd w:val="0"/>
                    <w:snapToGrid w:val="0"/>
                    <w:jc w:val="center"/>
                    <w:rPr>
                      <w:bCs/>
                      <w:color w:val="auto"/>
                      <w:szCs w:val="21"/>
                    </w:rPr>
                  </w:pPr>
                  <w:r>
                    <w:rPr>
                      <w:rFonts w:hint="eastAsia"/>
                      <w:color w:val="auto"/>
                      <w:szCs w:val="21"/>
                    </w:rPr>
                    <w:t>0.5</w:t>
                  </w:r>
                </w:p>
              </w:tc>
              <w:tc>
                <w:tcPr>
                  <w:tcW w:w="1349" w:type="dxa"/>
                  <w:shd w:val="clear" w:color="auto" w:fill="auto"/>
                  <w:vAlign w:val="center"/>
                </w:tcPr>
                <w:p w14:paraId="17382431">
                  <w:pPr>
                    <w:adjustRightInd w:val="0"/>
                    <w:snapToGrid w:val="0"/>
                    <w:jc w:val="center"/>
                    <w:rPr>
                      <w:bCs/>
                      <w:color w:val="auto"/>
                      <w:szCs w:val="21"/>
                    </w:rPr>
                  </w:pPr>
                  <w:r>
                    <w:rPr>
                      <w:rFonts w:hint="eastAsia"/>
                      <w:color w:val="auto"/>
                      <w:szCs w:val="21"/>
                    </w:rPr>
                    <w:t>0.5</w:t>
                  </w:r>
                </w:p>
              </w:tc>
              <w:tc>
                <w:tcPr>
                  <w:tcW w:w="1485" w:type="dxa"/>
                  <w:shd w:val="clear" w:color="auto" w:fill="auto"/>
                  <w:vAlign w:val="center"/>
                </w:tcPr>
                <w:p w14:paraId="17382432">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33">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3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35">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36">
                  <w:pPr>
                    <w:pStyle w:val="107"/>
                    <w:spacing w:line="240" w:lineRule="auto"/>
                    <w:ind w:firstLine="0" w:firstLineChars="0"/>
                    <w:jc w:val="center"/>
                    <w:rPr>
                      <w:rFonts w:ascii="Times New Roman" w:hAnsi="Times New Roman" w:cs="Times New Roman"/>
                      <w:bCs/>
                      <w:color w:val="auto"/>
                      <w:sz w:val="21"/>
                      <w:szCs w:val="21"/>
                    </w:rPr>
                  </w:pPr>
                  <w:r>
                    <w:rPr>
                      <w:rFonts w:hint="eastAsia" w:ascii="Times New Roman" w:hAnsi="Times New Roman"/>
                      <w:b w:val="0"/>
                      <w:color w:val="auto"/>
                      <w:sz w:val="21"/>
                      <w:szCs w:val="21"/>
                    </w:rPr>
                    <w:t>废钢丸</w:t>
                  </w:r>
                </w:p>
              </w:tc>
              <w:tc>
                <w:tcPr>
                  <w:tcW w:w="1308" w:type="dxa"/>
                  <w:shd w:val="clear" w:color="auto" w:fill="auto"/>
                  <w:vAlign w:val="center"/>
                </w:tcPr>
                <w:p w14:paraId="17382437">
                  <w:pPr>
                    <w:adjustRightInd w:val="0"/>
                    <w:snapToGrid w:val="0"/>
                    <w:jc w:val="center"/>
                    <w:rPr>
                      <w:bCs/>
                      <w:color w:val="auto"/>
                      <w:szCs w:val="21"/>
                    </w:rPr>
                  </w:pPr>
                  <w:r>
                    <w:rPr>
                      <w:rFonts w:hint="eastAsia"/>
                      <w:color w:val="auto"/>
                      <w:szCs w:val="21"/>
                    </w:rPr>
                    <w:t>0.1</w:t>
                  </w:r>
                </w:p>
              </w:tc>
              <w:tc>
                <w:tcPr>
                  <w:tcW w:w="1349" w:type="dxa"/>
                  <w:shd w:val="clear" w:color="auto" w:fill="auto"/>
                  <w:vAlign w:val="center"/>
                </w:tcPr>
                <w:p w14:paraId="17382438">
                  <w:pPr>
                    <w:adjustRightInd w:val="0"/>
                    <w:snapToGrid w:val="0"/>
                    <w:jc w:val="center"/>
                    <w:rPr>
                      <w:bCs/>
                      <w:color w:val="auto"/>
                      <w:szCs w:val="21"/>
                    </w:rPr>
                  </w:pPr>
                  <w:r>
                    <w:rPr>
                      <w:rFonts w:hint="eastAsia"/>
                      <w:color w:val="auto"/>
                      <w:szCs w:val="21"/>
                    </w:rPr>
                    <w:t>0.1</w:t>
                  </w:r>
                </w:p>
              </w:tc>
              <w:tc>
                <w:tcPr>
                  <w:tcW w:w="1485" w:type="dxa"/>
                  <w:shd w:val="clear" w:color="auto" w:fill="auto"/>
                  <w:vAlign w:val="center"/>
                </w:tcPr>
                <w:p w14:paraId="17382439">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3A">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4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3C">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3D">
                  <w:pPr>
                    <w:pStyle w:val="107"/>
                    <w:spacing w:line="240" w:lineRule="auto"/>
                    <w:ind w:firstLine="0" w:firstLineChars="0"/>
                    <w:jc w:val="center"/>
                    <w:rPr>
                      <w:rFonts w:ascii="Times New Roman" w:hAnsi="Times New Roman" w:cs="Times New Roman"/>
                      <w:bCs/>
                      <w:color w:val="auto"/>
                      <w:sz w:val="21"/>
                      <w:szCs w:val="21"/>
                    </w:rPr>
                  </w:pPr>
                  <w:r>
                    <w:rPr>
                      <w:rFonts w:hint="eastAsia" w:ascii="Times New Roman" w:hAnsi="Times New Roman"/>
                      <w:b w:val="0"/>
                      <w:color w:val="auto"/>
                      <w:sz w:val="21"/>
                      <w:szCs w:val="21"/>
                    </w:rPr>
                    <w:t>清洗沉淀沉渣</w:t>
                  </w:r>
                </w:p>
              </w:tc>
              <w:tc>
                <w:tcPr>
                  <w:tcW w:w="1308" w:type="dxa"/>
                  <w:shd w:val="clear" w:color="auto" w:fill="auto"/>
                  <w:vAlign w:val="center"/>
                </w:tcPr>
                <w:p w14:paraId="1738243E">
                  <w:pPr>
                    <w:adjustRightInd w:val="0"/>
                    <w:snapToGrid w:val="0"/>
                    <w:jc w:val="center"/>
                    <w:rPr>
                      <w:bCs/>
                      <w:color w:val="auto"/>
                      <w:szCs w:val="21"/>
                    </w:rPr>
                  </w:pPr>
                  <w:r>
                    <w:rPr>
                      <w:rFonts w:hint="eastAsia"/>
                      <w:color w:val="auto"/>
                      <w:szCs w:val="21"/>
                    </w:rPr>
                    <w:t>0.08</w:t>
                  </w:r>
                </w:p>
              </w:tc>
              <w:tc>
                <w:tcPr>
                  <w:tcW w:w="1349" w:type="dxa"/>
                  <w:shd w:val="clear" w:color="auto" w:fill="auto"/>
                  <w:vAlign w:val="center"/>
                </w:tcPr>
                <w:p w14:paraId="1738243F">
                  <w:pPr>
                    <w:adjustRightInd w:val="0"/>
                    <w:snapToGrid w:val="0"/>
                    <w:jc w:val="center"/>
                    <w:rPr>
                      <w:bCs/>
                      <w:color w:val="auto"/>
                      <w:szCs w:val="21"/>
                    </w:rPr>
                  </w:pPr>
                  <w:r>
                    <w:rPr>
                      <w:rFonts w:hint="eastAsia"/>
                      <w:color w:val="auto"/>
                      <w:szCs w:val="21"/>
                    </w:rPr>
                    <w:t>0.08</w:t>
                  </w:r>
                </w:p>
              </w:tc>
              <w:tc>
                <w:tcPr>
                  <w:tcW w:w="1485" w:type="dxa"/>
                  <w:shd w:val="clear" w:color="auto" w:fill="auto"/>
                  <w:vAlign w:val="center"/>
                </w:tcPr>
                <w:p w14:paraId="17382440">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41">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4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43">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44">
                  <w:pPr>
                    <w:pStyle w:val="107"/>
                    <w:spacing w:line="240" w:lineRule="auto"/>
                    <w:ind w:firstLine="0" w:firstLineChars="0"/>
                    <w:jc w:val="center"/>
                    <w:rPr>
                      <w:rFonts w:ascii="Times New Roman" w:hAnsi="Times New Roman" w:cs="Times New Roman"/>
                      <w:bCs/>
                      <w:color w:val="auto"/>
                      <w:sz w:val="21"/>
                      <w:szCs w:val="21"/>
                    </w:rPr>
                  </w:pPr>
                  <w:r>
                    <w:rPr>
                      <w:rFonts w:hint="eastAsia" w:ascii="Times New Roman" w:hAnsi="Times New Roman"/>
                      <w:b w:val="0"/>
                      <w:color w:val="auto"/>
                      <w:sz w:val="21"/>
                      <w:szCs w:val="21"/>
                    </w:rPr>
                    <w:t>布袋</w:t>
                  </w:r>
                  <w:r>
                    <w:rPr>
                      <w:rFonts w:ascii="Times New Roman" w:hAnsi="Times New Roman"/>
                      <w:b w:val="0"/>
                      <w:color w:val="auto"/>
                      <w:sz w:val="21"/>
                      <w:szCs w:val="21"/>
                    </w:rPr>
                    <w:t>收集粉尘</w:t>
                  </w:r>
                </w:p>
              </w:tc>
              <w:tc>
                <w:tcPr>
                  <w:tcW w:w="1308" w:type="dxa"/>
                  <w:shd w:val="clear" w:color="auto" w:fill="auto"/>
                  <w:vAlign w:val="center"/>
                </w:tcPr>
                <w:p w14:paraId="17382445">
                  <w:pPr>
                    <w:adjustRightInd w:val="0"/>
                    <w:snapToGrid w:val="0"/>
                    <w:jc w:val="center"/>
                    <w:rPr>
                      <w:bCs/>
                      <w:color w:val="auto"/>
                      <w:szCs w:val="21"/>
                    </w:rPr>
                  </w:pPr>
                  <w:r>
                    <w:rPr>
                      <w:rFonts w:hint="eastAsia"/>
                      <w:color w:val="auto"/>
                      <w:szCs w:val="21"/>
                    </w:rPr>
                    <w:t>1.92</w:t>
                  </w:r>
                </w:p>
              </w:tc>
              <w:tc>
                <w:tcPr>
                  <w:tcW w:w="1349" w:type="dxa"/>
                  <w:shd w:val="clear" w:color="auto" w:fill="auto"/>
                  <w:vAlign w:val="center"/>
                </w:tcPr>
                <w:p w14:paraId="17382446">
                  <w:pPr>
                    <w:adjustRightInd w:val="0"/>
                    <w:snapToGrid w:val="0"/>
                    <w:jc w:val="center"/>
                    <w:rPr>
                      <w:bCs/>
                      <w:color w:val="auto"/>
                      <w:szCs w:val="21"/>
                    </w:rPr>
                  </w:pPr>
                  <w:r>
                    <w:rPr>
                      <w:rFonts w:hint="eastAsia"/>
                      <w:color w:val="auto"/>
                      <w:szCs w:val="21"/>
                    </w:rPr>
                    <w:t>1.92</w:t>
                  </w:r>
                </w:p>
              </w:tc>
              <w:tc>
                <w:tcPr>
                  <w:tcW w:w="1485" w:type="dxa"/>
                  <w:shd w:val="clear" w:color="auto" w:fill="auto"/>
                  <w:vAlign w:val="center"/>
                </w:tcPr>
                <w:p w14:paraId="17382447">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48">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5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4A">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4B">
                  <w:pPr>
                    <w:pStyle w:val="107"/>
                    <w:spacing w:line="240" w:lineRule="auto"/>
                    <w:ind w:firstLine="0" w:firstLineChars="0"/>
                    <w:jc w:val="center"/>
                    <w:rPr>
                      <w:rFonts w:ascii="Times New Roman" w:hAnsi="Times New Roman" w:cs="Times New Roman"/>
                      <w:bCs/>
                      <w:color w:val="auto"/>
                      <w:sz w:val="21"/>
                      <w:szCs w:val="21"/>
                    </w:rPr>
                  </w:pPr>
                  <w:r>
                    <w:rPr>
                      <w:rFonts w:ascii="Times New Roman" w:hAnsi="Times New Roman"/>
                      <w:b w:val="0"/>
                      <w:color w:val="auto"/>
                      <w:sz w:val="21"/>
                      <w:szCs w:val="21"/>
                    </w:rPr>
                    <w:t>废布袋</w:t>
                  </w:r>
                  <w:r>
                    <w:rPr>
                      <w:rFonts w:hint="eastAsia" w:ascii="Times New Roman" w:hAnsi="Times New Roman"/>
                      <w:b w:val="0"/>
                      <w:color w:val="auto"/>
                      <w:sz w:val="21"/>
                      <w:szCs w:val="21"/>
                    </w:rPr>
                    <w:t>、废滤筒</w:t>
                  </w:r>
                </w:p>
              </w:tc>
              <w:tc>
                <w:tcPr>
                  <w:tcW w:w="1308" w:type="dxa"/>
                  <w:shd w:val="clear" w:color="auto" w:fill="auto"/>
                  <w:vAlign w:val="center"/>
                </w:tcPr>
                <w:p w14:paraId="1738244C">
                  <w:pPr>
                    <w:adjustRightInd w:val="0"/>
                    <w:snapToGrid w:val="0"/>
                    <w:jc w:val="center"/>
                    <w:rPr>
                      <w:bCs/>
                      <w:color w:val="auto"/>
                      <w:szCs w:val="21"/>
                    </w:rPr>
                  </w:pPr>
                  <w:r>
                    <w:rPr>
                      <w:rFonts w:hint="eastAsia"/>
                      <w:color w:val="auto"/>
                      <w:szCs w:val="21"/>
                    </w:rPr>
                    <w:t>0.26</w:t>
                  </w:r>
                </w:p>
              </w:tc>
              <w:tc>
                <w:tcPr>
                  <w:tcW w:w="1349" w:type="dxa"/>
                  <w:shd w:val="clear" w:color="auto" w:fill="auto"/>
                  <w:vAlign w:val="center"/>
                </w:tcPr>
                <w:p w14:paraId="1738244D">
                  <w:pPr>
                    <w:adjustRightInd w:val="0"/>
                    <w:snapToGrid w:val="0"/>
                    <w:jc w:val="center"/>
                    <w:rPr>
                      <w:bCs/>
                      <w:color w:val="auto"/>
                      <w:szCs w:val="21"/>
                    </w:rPr>
                  </w:pPr>
                  <w:r>
                    <w:rPr>
                      <w:rFonts w:hint="eastAsia"/>
                      <w:color w:val="auto"/>
                      <w:szCs w:val="21"/>
                    </w:rPr>
                    <w:t>0.26</w:t>
                  </w:r>
                </w:p>
              </w:tc>
              <w:tc>
                <w:tcPr>
                  <w:tcW w:w="1485" w:type="dxa"/>
                  <w:shd w:val="clear" w:color="auto" w:fill="auto"/>
                  <w:vAlign w:val="center"/>
                </w:tcPr>
                <w:p w14:paraId="1738244E">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4F">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5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51">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52">
                  <w:pPr>
                    <w:pStyle w:val="107"/>
                    <w:spacing w:line="240" w:lineRule="auto"/>
                    <w:ind w:firstLine="0" w:firstLineChars="0"/>
                    <w:jc w:val="center"/>
                    <w:rPr>
                      <w:rFonts w:ascii="Times New Roman" w:hAnsi="Times New Roman" w:cs="Times New Roman"/>
                      <w:bCs/>
                      <w:color w:val="auto"/>
                      <w:sz w:val="21"/>
                      <w:szCs w:val="21"/>
                    </w:rPr>
                  </w:pPr>
                  <w:r>
                    <w:rPr>
                      <w:rFonts w:hint="eastAsia" w:ascii="Times New Roman" w:hAnsi="Times New Roman"/>
                      <w:b w:val="0"/>
                      <w:color w:val="auto"/>
                      <w:sz w:val="21"/>
                      <w:szCs w:val="21"/>
                    </w:rPr>
                    <w:t>注塑废边角料</w:t>
                  </w:r>
                </w:p>
              </w:tc>
              <w:tc>
                <w:tcPr>
                  <w:tcW w:w="1308" w:type="dxa"/>
                  <w:shd w:val="clear" w:color="auto" w:fill="auto"/>
                  <w:vAlign w:val="center"/>
                </w:tcPr>
                <w:p w14:paraId="17382453">
                  <w:pPr>
                    <w:adjustRightInd w:val="0"/>
                    <w:snapToGrid w:val="0"/>
                    <w:jc w:val="center"/>
                    <w:rPr>
                      <w:bCs/>
                      <w:color w:val="auto"/>
                      <w:szCs w:val="21"/>
                    </w:rPr>
                  </w:pPr>
                  <w:r>
                    <w:rPr>
                      <w:rFonts w:hint="eastAsia"/>
                      <w:color w:val="auto"/>
                      <w:szCs w:val="21"/>
                    </w:rPr>
                    <w:t>0.05</w:t>
                  </w:r>
                </w:p>
              </w:tc>
              <w:tc>
                <w:tcPr>
                  <w:tcW w:w="1349" w:type="dxa"/>
                  <w:shd w:val="clear" w:color="auto" w:fill="auto"/>
                  <w:vAlign w:val="center"/>
                </w:tcPr>
                <w:p w14:paraId="17382454">
                  <w:pPr>
                    <w:adjustRightInd w:val="0"/>
                    <w:snapToGrid w:val="0"/>
                    <w:jc w:val="center"/>
                    <w:rPr>
                      <w:bCs/>
                      <w:color w:val="auto"/>
                      <w:szCs w:val="21"/>
                    </w:rPr>
                  </w:pPr>
                  <w:r>
                    <w:rPr>
                      <w:rFonts w:hint="eastAsia"/>
                      <w:color w:val="auto"/>
                      <w:szCs w:val="21"/>
                    </w:rPr>
                    <w:t>0.05</w:t>
                  </w:r>
                </w:p>
              </w:tc>
              <w:tc>
                <w:tcPr>
                  <w:tcW w:w="1485" w:type="dxa"/>
                  <w:shd w:val="clear" w:color="auto" w:fill="auto"/>
                  <w:vAlign w:val="center"/>
                </w:tcPr>
                <w:p w14:paraId="17382455">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56">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5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58">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59">
                  <w:pPr>
                    <w:pStyle w:val="107"/>
                    <w:spacing w:line="240" w:lineRule="auto"/>
                    <w:ind w:firstLine="0" w:firstLineChars="0"/>
                    <w:jc w:val="center"/>
                    <w:rPr>
                      <w:rFonts w:ascii="Times New Roman" w:hAnsi="Times New Roman" w:cs="Times New Roman"/>
                      <w:bCs/>
                      <w:color w:val="auto"/>
                      <w:sz w:val="21"/>
                      <w:szCs w:val="21"/>
                    </w:rPr>
                  </w:pPr>
                  <w:r>
                    <w:rPr>
                      <w:rFonts w:hint="eastAsia" w:ascii="Times New Roman" w:hAnsi="Times New Roman"/>
                      <w:b w:val="0"/>
                      <w:color w:val="auto"/>
                      <w:sz w:val="21"/>
                      <w:szCs w:val="21"/>
                    </w:rPr>
                    <w:t>不饱和聚酯树脂、固化剂、塑粉等废包装桶</w:t>
                  </w:r>
                </w:p>
              </w:tc>
              <w:tc>
                <w:tcPr>
                  <w:tcW w:w="1308" w:type="dxa"/>
                  <w:shd w:val="clear" w:color="auto" w:fill="auto"/>
                  <w:vAlign w:val="center"/>
                </w:tcPr>
                <w:p w14:paraId="1738245A">
                  <w:pPr>
                    <w:adjustRightInd w:val="0"/>
                    <w:snapToGrid w:val="0"/>
                    <w:jc w:val="center"/>
                    <w:rPr>
                      <w:bCs/>
                      <w:color w:val="auto"/>
                      <w:szCs w:val="21"/>
                    </w:rPr>
                  </w:pPr>
                  <w:r>
                    <w:rPr>
                      <w:rFonts w:hint="eastAsia"/>
                      <w:color w:val="auto"/>
                      <w:szCs w:val="21"/>
                    </w:rPr>
                    <w:t>0.5</w:t>
                  </w:r>
                </w:p>
              </w:tc>
              <w:tc>
                <w:tcPr>
                  <w:tcW w:w="1349" w:type="dxa"/>
                  <w:shd w:val="clear" w:color="auto" w:fill="auto"/>
                  <w:vAlign w:val="center"/>
                </w:tcPr>
                <w:p w14:paraId="1738245B">
                  <w:pPr>
                    <w:adjustRightInd w:val="0"/>
                    <w:snapToGrid w:val="0"/>
                    <w:jc w:val="center"/>
                    <w:rPr>
                      <w:bCs/>
                      <w:color w:val="auto"/>
                      <w:szCs w:val="21"/>
                    </w:rPr>
                  </w:pPr>
                  <w:r>
                    <w:rPr>
                      <w:rFonts w:hint="eastAsia"/>
                      <w:color w:val="auto"/>
                      <w:szCs w:val="21"/>
                    </w:rPr>
                    <w:t>0.5</w:t>
                  </w:r>
                </w:p>
              </w:tc>
              <w:tc>
                <w:tcPr>
                  <w:tcW w:w="1485" w:type="dxa"/>
                  <w:shd w:val="clear" w:color="auto" w:fill="auto"/>
                  <w:vAlign w:val="center"/>
                </w:tcPr>
                <w:p w14:paraId="1738245C">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5D">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6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5F">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60">
                  <w:pPr>
                    <w:pStyle w:val="107"/>
                    <w:spacing w:line="240" w:lineRule="auto"/>
                    <w:ind w:firstLine="0" w:firstLineChars="0"/>
                    <w:jc w:val="center"/>
                    <w:rPr>
                      <w:rFonts w:ascii="Times New Roman" w:hAnsi="Times New Roman" w:cs="Times New Roman"/>
                      <w:bCs/>
                      <w:color w:val="auto"/>
                      <w:sz w:val="21"/>
                      <w:szCs w:val="21"/>
                    </w:rPr>
                  </w:pPr>
                  <w:r>
                    <w:rPr>
                      <w:rFonts w:hint="eastAsia" w:ascii="Times New Roman" w:hAnsi="Times New Roman"/>
                      <w:b w:val="0"/>
                      <w:color w:val="auto"/>
                      <w:sz w:val="21"/>
                      <w:szCs w:val="21"/>
                    </w:rPr>
                    <w:t>化粪池污泥</w:t>
                  </w:r>
                </w:p>
              </w:tc>
              <w:tc>
                <w:tcPr>
                  <w:tcW w:w="1308" w:type="dxa"/>
                  <w:shd w:val="clear" w:color="auto" w:fill="auto"/>
                  <w:vAlign w:val="center"/>
                </w:tcPr>
                <w:p w14:paraId="17382461">
                  <w:pPr>
                    <w:adjustRightInd w:val="0"/>
                    <w:snapToGrid w:val="0"/>
                    <w:jc w:val="center"/>
                    <w:rPr>
                      <w:bCs/>
                      <w:color w:val="auto"/>
                      <w:szCs w:val="21"/>
                    </w:rPr>
                  </w:pPr>
                  <w:r>
                    <w:rPr>
                      <w:rFonts w:hint="eastAsia"/>
                      <w:color w:val="auto"/>
                      <w:szCs w:val="21"/>
                    </w:rPr>
                    <w:t>0.576</w:t>
                  </w:r>
                </w:p>
              </w:tc>
              <w:tc>
                <w:tcPr>
                  <w:tcW w:w="1349" w:type="dxa"/>
                  <w:shd w:val="clear" w:color="auto" w:fill="auto"/>
                  <w:vAlign w:val="center"/>
                </w:tcPr>
                <w:p w14:paraId="17382462">
                  <w:pPr>
                    <w:adjustRightInd w:val="0"/>
                    <w:snapToGrid w:val="0"/>
                    <w:jc w:val="center"/>
                    <w:rPr>
                      <w:bCs/>
                      <w:color w:val="auto"/>
                      <w:szCs w:val="21"/>
                    </w:rPr>
                  </w:pPr>
                  <w:r>
                    <w:rPr>
                      <w:rFonts w:hint="eastAsia"/>
                      <w:color w:val="auto"/>
                      <w:szCs w:val="21"/>
                    </w:rPr>
                    <w:t>0.576</w:t>
                  </w:r>
                </w:p>
              </w:tc>
              <w:tc>
                <w:tcPr>
                  <w:tcW w:w="1485" w:type="dxa"/>
                  <w:shd w:val="clear" w:color="auto" w:fill="auto"/>
                  <w:vAlign w:val="center"/>
                </w:tcPr>
                <w:p w14:paraId="17382463">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64">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6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66">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67">
                  <w:pPr>
                    <w:pStyle w:val="107"/>
                    <w:spacing w:line="240" w:lineRule="auto"/>
                    <w:ind w:firstLine="0" w:firstLineChars="0"/>
                    <w:jc w:val="center"/>
                    <w:rPr>
                      <w:rFonts w:ascii="Times New Roman" w:hAnsi="Times New Roman" w:cs="Times New Roman"/>
                      <w:bCs/>
                      <w:color w:val="auto"/>
                      <w:sz w:val="21"/>
                      <w:szCs w:val="21"/>
                    </w:rPr>
                  </w:pPr>
                  <w:r>
                    <w:rPr>
                      <w:rFonts w:ascii="Times New Roman" w:hAnsi="Times New Roman"/>
                      <w:b w:val="0"/>
                      <w:color w:val="auto"/>
                      <w:sz w:val="21"/>
                      <w:szCs w:val="21"/>
                    </w:rPr>
                    <w:t>废</w:t>
                  </w:r>
                  <w:r>
                    <w:rPr>
                      <w:rFonts w:hint="eastAsia" w:ascii="Times New Roman" w:hAnsi="Times New Roman"/>
                      <w:b w:val="0"/>
                      <w:color w:val="auto"/>
                      <w:sz w:val="21"/>
                      <w:szCs w:val="21"/>
                    </w:rPr>
                    <w:t>机</w:t>
                  </w:r>
                  <w:r>
                    <w:rPr>
                      <w:rFonts w:ascii="Times New Roman" w:hAnsi="Times New Roman"/>
                      <w:b w:val="0"/>
                      <w:color w:val="auto"/>
                      <w:sz w:val="21"/>
                      <w:szCs w:val="21"/>
                    </w:rPr>
                    <w:t>油</w:t>
                  </w:r>
                </w:p>
              </w:tc>
              <w:tc>
                <w:tcPr>
                  <w:tcW w:w="1308" w:type="dxa"/>
                  <w:shd w:val="clear" w:color="auto" w:fill="auto"/>
                  <w:vAlign w:val="center"/>
                </w:tcPr>
                <w:p w14:paraId="17382468">
                  <w:pPr>
                    <w:adjustRightInd w:val="0"/>
                    <w:snapToGrid w:val="0"/>
                    <w:jc w:val="center"/>
                    <w:rPr>
                      <w:bCs/>
                      <w:color w:val="auto"/>
                      <w:szCs w:val="21"/>
                    </w:rPr>
                  </w:pPr>
                  <w:r>
                    <w:rPr>
                      <w:rFonts w:hint="eastAsia"/>
                      <w:color w:val="auto"/>
                      <w:szCs w:val="21"/>
                    </w:rPr>
                    <w:t>0.24</w:t>
                  </w:r>
                </w:p>
              </w:tc>
              <w:tc>
                <w:tcPr>
                  <w:tcW w:w="1349" w:type="dxa"/>
                  <w:shd w:val="clear" w:color="auto" w:fill="auto"/>
                  <w:vAlign w:val="center"/>
                </w:tcPr>
                <w:p w14:paraId="17382469">
                  <w:pPr>
                    <w:adjustRightInd w:val="0"/>
                    <w:snapToGrid w:val="0"/>
                    <w:jc w:val="center"/>
                    <w:rPr>
                      <w:bCs/>
                      <w:color w:val="auto"/>
                      <w:szCs w:val="21"/>
                    </w:rPr>
                  </w:pPr>
                  <w:r>
                    <w:rPr>
                      <w:rFonts w:hint="eastAsia"/>
                      <w:color w:val="auto"/>
                      <w:szCs w:val="21"/>
                    </w:rPr>
                    <w:t>0.24</w:t>
                  </w:r>
                </w:p>
              </w:tc>
              <w:tc>
                <w:tcPr>
                  <w:tcW w:w="1485" w:type="dxa"/>
                  <w:shd w:val="clear" w:color="auto" w:fill="auto"/>
                  <w:vAlign w:val="center"/>
                </w:tcPr>
                <w:p w14:paraId="1738246A">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c>
                <w:tcPr>
                  <w:tcW w:w="1401" w:type="dxa"/>
                  <w:shd w:val="clear" w:color="auto" w:fill="auto"/>
                  <w:vAlign w:val="center"/>
                </w:tcPr>
                <w:p w14:paraId="1738246B">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0</w:t>
                  </w:r>
                </w:p>
              </w:tc>
            </w:tr>
            <w:tr w14:paraId="1738247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6D">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6E">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废机油桶</w:t>
                  </w:r>
                </w:p>
              </w:tc>
              <w:tc>
                <w:tcPr>
                  <w:tcW w:w="1308" w:type="dxa"/>
                  <w:shd w:val="clear" w:color="auto" w:fill="auto"/>
                  <w:vAlign w:val="center"/>
                </w:tcPr>
                <w:p w14:paraId="1738246F">
                  <w:pPr>
                    <w:adjustRightInd w:val="0"/>
                    <w:snapToGrid w:val="0"/>
                    <w:jc w:val="center"/>
                    <w:rPr>
                      <w:color w:val="auto"/>
                      <w:szCs w:val="21"/>
                    </w:rPr>
                  </w:pPr>
                  <w:r>
                    <w:rPr>
                      <w:rFonts w:hint="eastAsia"/>
                      <w:color w:val="auto"/>
                      <w:szCs w:val="21"/>
                    </w:rPr>
                    <w:t>0.06</w:t>
                  </w:r>
                </w:p>
              </w:tc>
              <w:tc>
                <w:tcPr>
                  <w:tcW w:w="1349" w:type="dxa"/>
                  <w:shd w:val="clear" w:color="auto" w:fill="auto"/>
                  <w:vAlign w:val="center"/>
                </w:tcPr>
                <w:p w14:paraId="17382470">
                  <w:pPr>
                    <w:adjustRightInd w:val="0"/>
                    <w:snapToGrid w:val="0"/>
                    <w:jc w:val="center"/>
                    <w:rPr>
                      <w:color w:val="auto"/>
                      <w:szCs w:val="21"/>
                    </w:rPr>
                  </w:pPr>
                  <w:r>
                    <w:rPr>
                      <w:rFonts w:hint="eastAsia"/>
                      <w:color w:val="auto"/>
                      <w:szCs w:val="21"/>
                    </w:rPr>
                    <w:t>0.06</w:t>
                  </w:r>
                </w:p>
              </w:tc>
              <w:tc>
                <w:tcPr>
                  <w:tcW w:w="1485" w:type="dxa"/>
                  <w:shd w:val="clear" w:color="auto" w:fill="auto"/>
                  <w:vAlign w:val="center"/>
                </w:tcPr>
                <w:p w14:paraId="17382471">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c>
                <w:tcPr>
                  <w:tcW w:w="1401" w:type="dxa"/>
                  <w:shd w:val="clear" w:color="auto" w:fill="auto"/>
                  <w:vAlign w:val="center"/>
                </w:tcPr>
                <w:p w14:paraId="17382472">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r>
            <w:tr w14:paraId="1738247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74">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75">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废防锈油</w:t>
                  </w:r>
                </w:p>
              </w:tc>
              <w:tc>
                <w:tcPr>
                  <w:tcW w:w="1308" w:type="dxa"/>
                  <w:shd w:val="clear" w:color="auto" w:fill="auto"/>
                  <w:vAlign w:val="center"/>
                </w:tcPr>
                <w:p w14:paraId="17382476">
                  <w:pPr>
                    <w:adjustRightInd w:val="0"/>
                    <w:snapToGrid w:val="0"/>
                    <w:jc w:val="center"/>
                    <w:rPr>
                      <w:color w:val="auto"/>
                      <w:szCs w:val="21"/>
                    </w:rPr>
                  </w:pPr>
                  <w:r>
                    <w:rPr>
                      <w:rFonts w:hint="eastAsia"/>
                      <w:color w:val="auto"/>
                      <w:szCs w:val="21"/>
                    </w:rPr>
                    <w:t>0.05</w:t>
                  </w:r>
                </w:p>
              </w:tc>
              <w:tc>
                <w:tcPr>
                  <w:tcW w:w="1349" w:type="dxa"/>
                  <w:shd w:val="clear" w:color="auto" w:fill="auto"/>
                  <w:vAlign w:val="center"/>
                </w:tcPr>
                <w:p w14:paraId="17382477">
                  <w:pPr>
                    <w:adjustRightInd w:val="0"/>
                    <w:snapToGrid w:val="0"/>
                    <w:jc w:val="center"/>
                    <w:rPr>
                      <w:color w:val="auto"/>
                      <w:szCs w:val="21"/>
                    </w:rPr>
                  </w:pPr>
                  <w:r>
                    <w:rPr>
                      <w:rFonts w:hint="eastAsia"/>
                      <w:color w:val="auto"/>
                      <w:szCs w:val="21"/>
                    </w:rPr>
                    <w:t>0.05</w:t>
                  </w:r>
                </w:p>
              </w:tc>
              <w:tc>
                <w:tcPr>
                  <w:tcW w:w="1485" w:type="dxa"/>
                  <w:shd w:val="clear" w:color="auto" w:fill="auto"/>
                  <w:vAlign w:val="center"/>
                </w:tcPr>
                <w:p w14:paraId="17382478">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c>
                <w:tcPr>
                  <w:tcW w:w="1401" w:type="dxa"/>
                  <w:shd w:val="clear" w:color="auto" w:fill="auto"/>
                  <w:vAlign w:val="center"/>
                </w:tcPr>
                <w:p w14:paraId="17382479">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r>
            <w:tr w14:paraId="1738248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7B">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7C">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废防锈油包装桶</w:t>
                  </w:r>
                </w:p>
              </w:tc>
              <w:tc>
                <w:tcPr>
                  <w:tcW w:w="1308" w:type="dxa"/>
                  <w:shd w:val="clear" w:color="auto" w:fill="auto"/>
                  <w:vAlign w:val="center"/>
                </w:tcPr>
                <w:p w14:paraId="1738247D">
                  <w:pPr>
                    <w:adjustRightInd w:val="0"/>
                    <w:snapToGrid w:val="0"/>
                    <w:jc w:val="center"/>
                    <w:rPr>
                      <w:color w:val="auto"/>
                      <w:szCs w:val="21"/>
                    </w:rPr>
                  </w:pPr>
                  <w:r>
                    <w:rPr>
                      <w:rFonts w:hint="eastAsia"/>
                      <w:color w:val="auto"/>
                      <w:szCs w:val="21"/>
                    </w:rPr>
                    <w:t>0.025</w:t>
                  </w:r>
                </w:p>
              </w:tc>
              <w:tc>
                <w:tcPr>
                  <w:tcW w:w="1349" w:type="dxa"/>
                  <w:shd w:val="clear" w:color="auto" w:fill="auto"/>
                  <w:vAlign w:val="center"/>
                </w:tcPr>
                <w:p w14:paraId="1738247E">
                  <w:pPr>
                    <w:adjustRightInd w:val="0"/>
                    <w:snapToGrid w:val="0"/>
                    <w:jc w:val="center"/>
                    <w:rPr>
                      <w:color w:val="auto"/>
                      <w:szCs w:val="21"/>
                    </w:rPr>
                  </w:pPr>
                  <w:r>
                    <w:rPr>
                      <w:rFonts w:hint="eastAsia"/>
                      <w:color w:val="auto"/>
                      <w:szCs w:val="21"/>
                    </w:rPr>
                    <w:t>0.025</w:t>
                  </w:r>
                </w:p>
              </w:tc>
              <w:tc>
                <w:tcPr>
                  <w:tcW w:w="1485" w:type="dxa"/>
                  <w:shd w:val="clear" w:color="auto" w:fill="auto"/>
                  <w:vAlign w:val="center"/>
                </w:tcPr>
                <w:p w14:paraId="1738247F">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c>
                <w:tcPr>
                  <w:tcW w:w="1401" w:type="dxa"/>
                  <w:shd w:val="clear" w:color="auto" w:fill="auto"/>
                  <w:vAlign w:val="center"/>
                </w:tcPr>
                <w:p w14:paraId="17382480">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r>
            <w:tr w14:paraId="1738248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82">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83">
                  <w:pPr>
                    <w:pStyle w:val="107"/>
                    <w:spacing w:line="240" w:lineRule="auto"/>
                    <w:ind w:firstLine="0" w:firstLineChars="0"/>
                    <w:jc w:val="center"/>
                    <w:rPr>
                      <w:rFonts w:ascii="Times New Roman" w:hAnsi="Times New Roman"/>
                      <w:b w:val="0"/>
                      <w:color w:val="auto"/>
                      <w:sz w:val="21"/>
                      <w:szCs w:val="21"/>
                    </w:rPr>
                  </w:pPr>
                  <w:r>
                    <w:rPr>
                      <w:rFonts w:hint="eastAsia" w:ascii="Times New Roman"/>
                      <w:b w:val="0"/>
                      <w:bCs/>
                      <w:color w:val="auto"/>
                      <w:sz w:val="21"/>
                      <w:szCs w:val="21"/>
                    </w:rPr>
                    <w:t>废活性炭</w:t>
                  </w:r>
                </w:p>
              </w:tc>
              <w:tc>
                <w:tcPr>
                  <w:tcW w:w="1308" w:type="dxa"/>
                  <w:shd w:val="clear" w:color="auto" w:fill="auto"/>
                  <w:vAlign w:val="center"/>
                </w:tcPr>
                <w:p w14:paraId="17382484">
                  <w:pPr>
                    <w:pStyle w:val="70"/>
                    <w:adjustRightInd w:val="0"/>
                    <w:snapToGrid w:val="0"/>
                    <w:spacing w:after="0"/>
                    <w:ind w:left="0" w:leftChars="0"/>
                    <w:jc w:val="center"/>
                    <w:rPr>
                      <w:rFonts w:hint="default" w:eastAsia="宋体"/>
                      <w:color w:val="auto"/>
                      <w:sz w:val="21"/>
                      <w:szCs w:val="21"/>
                      <w:lang w:val="en-US" w:eastAsia="zh-CN"/>
                    </w:rPr>
                  </w:pPr>
                  <w:r>
                    <w:rPr>
                      <w:rFonts w:hint="eastAsia"/>
                      <w:color w:val="auto"/>
                      <w:sz w:val="21"/>
                      <w:szCs w:val="21"/>
                      <w:lang w:val="en-US" w:eastAsia="zh-CN"/>
                    </w:rPr>
                    <w:t>1.1685</w:t>
                  </w:r>
                </w:p>
              </w:tc>
              <w:tc>
                <w:tcPr>
                  <w:tcW w:w="1349" w:type="dxa"/>
                  <w:shd w:val="clear" w:color="auto" w:fill="auto"/>
                  <w:vAlign w:val="center"/>
                </w:tcPr>
                <w:p w14:paraId="17382485">
                  <w:pPr>
                    <w:pStyle w:val="70"/>
                    <w:adjustRightInd w:val="0"/>
                    <w:snapToGrid w:val="0"/>
                    <w:spacing w:after="0"/>
                    <w:ind w:left="0" w:leftChars="0"/>
                    <w:jc w:val="center"/>
                    <w:rPr>
                      <w:rFonts w:hint="default" w:eastAsia="宋体"/>
                      <w:color w:val="auto"/>
                      <w:sz w:val="21"/>
                      <w:szCs w:val="21"/>
                      <w:lang w:val="en-US" w:eastAsia="zh-CN"/>
                    </w:rPr>
                  </w:pPr>
                  <w:r>
                    <w:rPr>
                      <w:rFonts w:hint="eastAsia"/>
                      <w:color w:val="auto"/>
                      <w:sz w:val="21"/>
                      <w:szCs w:val="21"/>
                      <w:lang w:val="en-US" w:eastAsia="zh-CN"/>
                    </w:rPr>
                    <w:t>1.1685</w:t>
                  </w:r>
                </w:p>
              </w:tc>
              <w:tc>
                <w:tcPr>
                  <w:tcW w:w="1485" w:type="dxa"/>
                  <w:shd w:val="clear" w:color="auto" w:fill="auto"/>
                  <w:vAlign w:val="center"/>
                </w:tcPr>
                <w:p w14:paraId="17382486">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c>
                <w:tcPr>
                  <w:tcW w:w="1401" w:type="dxa"/>
                  <w:shd w:val="clear" w:color="auto" w:fill="auto"/>
                  <w:vAlign w:val="center"/>
                </w:tcPr>
                <w:p w14:paraId="17382487">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r>
            <w:tr w14:paraId="1738248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17382489">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8A">
                  <w:pPr>
                    <w:pStyle w:val="107"/>
                    <w:spacing w:line="240" w:lineRule="auto"/>
                    <w:ind w:firstLine="0" w:firstLineChars="0"/>
                    <w:jc w:val="center"/>
                    <w:rPr>
                      <w:rFonts w:ascii="Times New Roman" w:hAnsi="Times New Roman"/>
                      <w:b w:val="0"/>
                      <w:color w:val="auto"/>
                      <w:sz w:val="21"/>
                      <w:szCs w:val="21"/>
                    </w:rPr>
                  </w:pPr>
                  <w:r>
                    <w:rPr>
                      <w:rFonts w:ascii="Times New Roman" w:hAnsi="Times New Roman"/>
                      <w:b w:val="0"/>
                      <w:bCs/>
                      <w:color w:val="auto"/>
                      <w:sz w:val="21"/>
                      <w:szCs w:val="21"/>
                    </w:rPr>
                    <w:t>废弃的含油抹布、劳保用品</w:t>
                  </w:r>
                </w:p>
              </w:tc>
              <w:tc>
                <w:tcPr>
                  <w:tcW w:w="1308" w:type="dxa"/>
                  <w:shd w:val="clear" w:color="auto" w:fill="auto"/>
                  <w:vAlign w:val="center"/>
                </w:tcPr>
                <w:p w14:paraId="1738248B">
                  <w:pPr>
                    <w:adjustRightInd w:val="0"/>
                    <w:snapToGrid w:val="0"/>
                    <w:jc w:val="center"/>
                    <w:rPr>
                      <w:color w:val="auto"/>
                      <w:szCs w:val="21"/>
                    </w:rPr>
                  </w:pPr>
                  <w:r>
                    <w:rPr>
                      <w:rFonts w:hint="eastAsia"/>
                      <w:color w:val="auto"/>
                      <w:szCs w:val="21"/>
                    </w:rPr>
                    <w:t>0.1</w:t>
                  </w:r>
                </w:p>
              </w:tc>
              <w:tc>
                <w:tcPr>
                  <w:tcW w:w="1349" w:type="dxa"/>
                  <w:shd w:val="clear" w:color="auto" w:fill="auto"/>
                  <w:vAlign w:val="center"/>
                </w:tcPr>
                <w:p w14:paraId="1738248C">
                  <w:pPr>
                    <w:adjustRightInd w:val="0"/>
                    <w:snapToGrid w:val="0"/>
                    <w:jc w:val="center"/>
                    <w:rPr>
                      <w:color w:val="auto"/>
                      <w:szCs w:val="21"/>
                    </w:rPr>
                  </w:pPr>
                  <w:r>
                    <w:rPr>
                      <w:rFonts w:hint="eastAsia"/>
                      <w:color w:val="auto"/>
                      <w:szCs w:val="21"/>
                    </w:rPr>
                    <w:t>0.1</w:t>
                  </w:r>
                </w:p>
              </w:tc>
              <w:tc>
                <w:tcPr>
                  <w:tcW w:w="1485" w:type="dxa"/>
                  <w:shd w:val="clear" w:color="auto" w:fill="auto"/>
                  <w:vAlign w:val="center"/>
                </w:tcPr>
                <w:p w14:paraId="1738248D">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c>
                <w:tcPr>
                  <w:tcW w:w="1401" w:type="dxa"/>
                  <w:shd w:val="clear" w:color="auto" w:fill="auto"/>
                  <w:vAlign w:val="center"/>
                </w:tcPr>
                <w:p w14:paraId="1738248E">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r>
            <w:tr w14:paraId="1E957C6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57E9A8EB">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90F3DF4">
                  <w:pPr>
                    <w:pStyle w:val="107"/>
                    <w:spacing w:line="240" w:lineRule="auto"/>
                    <w:ind w:firstLine="0" w:firstLineChars="0"/>
                    <w:jc w:val="center"/>
                    <w:rPr>
                      <w:rFonts w:hint="eastAsia" w:ascii="Times New Roman" w:hAnsi="Times New Roman" w:eastAsia="宋体"/>
                      <w:b w:val="0"/>
                      <w:bCs/>
                      <w:color w:val="auto"/>
                      <w:sz w:val="21"/>
                      <w:szCs w:val="21"/>
                      <w:lang w:val="en-US" w:eastAsia="zh-CN"/>
                    </w:rPr>
                  </w:pPr>
                  <w:r>
                    <w:rPr>
                      <w:rFonts w:hint="eastAsia" w:ascii="Times New Roman" w:hAnsi="Times New Roman"/>
                      <w:b w:val="0"/>
                      <w:bCs/>
                      <w:color w:val="auto"/>
                      <w:sz w:val="21"/>
                      <w:szCs w:val="21"/>
                      <w:lang w:val="en-US" w:eastAsia="zh-CN"/>
                    </w:rPr>
                    <w:t>不合格品</w:t>
                  </w:r>
                </w:p>
              </w:tc>
              <w:tc>
                <w:tcPr>
                  <w:tcW w:w="1308" w:type="dxa"/>
                  <w:shd w:val="clear" w:color="auto" w:fill="auto"/>
                  <w:vAlign w:val="center"/>
                </w:tcPr>
                <w:p w14:paraId="1EFD654D">
                  <w:pPr>
                    <w:adjustRightInd w:val="0"/>
                    <w:snapToGrid w:val="0"/>
                    <w:jc w:val="center"/>
                    <w:rPr>
                      <w:rFonts w:hint="default" w:eastAsia="宋体"/>
                      <w:color w:val="auto"/>
                      <w:szCs w:val="21"/>
                      <w:lang w:val="en-US" w:eastAsia="zh-CN"/>
                    </w:rPr>
                  </w:pPr>
                  <w:r>
                    <w:rPr>
                      <w:rFonts w:hint="eastAsia"/>
                      <w:color w:val="auto"/>
                      <w:szCs w:val="21"/>
                      <w:lang w:val="en-US" w:eastAsia="zh-CN"/>
                    </w:rPr>
                    <w:t>1.5</w:t>
                  </w:r>
                </w:p>
              </w:tc>
              <w:tc>
                <w:tcPr>
                  <w:tcW w:w="1349" w:type="dxa"/>
                  <w:shd w:val="clear" w:color="auto" w:fill="auto"/>
                  <w:vAlign w:val="center"/>
                </w:tcPr>
                <w:p w14:paraId="1F89E0B0">
                  <w:pPr>
                    <w:adjustRightInd w:val="0"/>
                    <w:snapToGrid w:val="0"/>
                    <w:jc w:val="center"/>
                    <w:rPr>
                      <w:rFonts w:hint="default" w:eastAsia="宋体"/>
                      <w:color w:val="auto"/>
                      <w:szCs w:val="21"/>
                      <w:lang w:val="en-US" w:eastAsia="zh-CN"/>
                    </w:rPr>
                  </w:pPr>
                  <w:r>
                    <w:rPr>
                      <w:rFonts w:hint="eastAsia"/>
                      <w:color w:val="auto"/>
                      <w:szCs w:val="21"/>
                      <w:lang w:val="en-US" w:eastAsia="zh-CN"/>
                    </w:rPr>
                    <w:t>1.5</w:t>
                  </w:r>
                </w:p>
              </w:tc>
              <w:tc>
                <w:tcPr>
                  <w:tcW w:w="1485" w:type="dxa"/>
                  <w:shd w:val="clear" w:color="auto" w:fill="auto"/>
                  <w:vAlign w:val="center"/>
                </w:tcPr>
                <w:p w14:paraId="0246F423">
                  <w:pPr>
                    <w:pStyle w:val="144"/>
                    <w:adjustRightInd w:val="0"/>
                    <w:snapToGrid w:val="0"/>
                    <w:jc w:val="center"/>
                    <w:rPr>
                      <w:rFonts w:hint="eastAsia" w:ascii="Times New Roman" w:hAnsi="Times New Roman" w:eastAsia="宋体" w:cs="Times New Roman"/>
                      <w:bCs/>
                      <w:color w:val="auto"/>
                      <w:sz w:val="21"/>
                      <w:szCs w:val="21"/>
                      <w:lang w:val="en-US" w:eastAsia="zh-CN"/>
                    </w:rPr>
                  </w:pPr>
                  <w:r>
                    <w:rPr>
                      <w:rFonts w:hint="eastAsia" w:ascii="Times New Roman" w:hAnsi="Times New Roman" w:cs="Times New Roman"/>
                      <w:bCs/>
                      <w:color w:val="auto"/>
                      <w:sz w:val="21"/>
                      <w:szCs w:val="21"/>
                      <w:lang w:val="en-US" w:eastAsia="zh-CN"/>
                    </w:rPr>
                    <w:t>0</w:t>
                  </w:r>
                </w:p>
              </w:tc>
              <w:tc>
                <w:tcPr>
                  <w:tcW w:w="1401" w:type="dxa"/>
                  <w:shd w:val="clear" w:color="auto" w:fill="auto"/>
                  <w:vAlign w:val="center"/>
                </w:tcPr>
                <w:p w14:paraId="101427C3">
                  <w:pPr>
                    <w:pStyle w:val="144"/>
                    <w:adjustRightInd w:val="0"/>
                    <w:snapToGrid w:val="0"/>
                    <w:jc w:val="center"/>
                    <w:rPr>
                      <w:rFonts w:hint="eastAsia" w:ascii="Times New Roman" w:hAnsi="Times New Roman" w:eastAsia="宋体" w:cs="Times New Roman"/>
                      <w:bCs/>
                      <w:color w:val="auto"/>
                      <w:sz w:val="21"/>
                      <w:szCs w:val="21"/>
                      <w:lang w:val="en-US" w:eastAsia="zh-CN"/>
                    </w:rPr>
                  </w:pPr>
                  <w:r>
                    <w:rPr>
                      <w:rFonts w:hint="eastAsia" w:ascii="Times New Roman" w:hAnsi="Times New Roman" w:cs="Times New Roman"/>
                      <w:bCs/>
                      <w:color w:val="auto"/>
                      <w:sz w:val="21"/>
                      <w:szCs w:val="21"/>
                      <w:lang w:val="en-US" w:eastAsia="zh-CN"/>
                    </w:rPr>
                    <w:t>0</w:t>
                  </w:r>
                </w:p>
              </w:tc>
            </w:tr>
            <w:tr w14:paraId="1738249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677" w:type="dxa"/>
                  <w:vMerge w:val="continue"/>
                  <w:shd w:val="clear" w:color="auto" w:fill="auto"/>
                  <w:vAlign w:val="center"/>
                </w:tcPr>
                <w:p w14:paraId="23B09FCB">
                  <w:pPr>
                    <w:pStyle w:val="144"/>
                    <w:adjustRightInd w:val="0"/>
                    <w:snapToGrid w:val="0"/>
                    <w:jc w:val="center"/>
                    <w:rPr>
                      <w:rFonts w:ascii="Times New Roman" w:hAnsi="Times New Roman" w:cs="Times New Roman"/>
                      <w:bCs/>
                      <w:color w:val="auto"/>
                      <w:sz w:val="21"/>
                      <w:szCs w:val="21"/>
                    </w:rPr>
                  </w:pPr>
                </w:p>
              </w:tc>
              <w:tc>
                <w:tcPr>
                  <w:tcW w:w="2197" w:type="dxa"/>
                  <w:gridSpan w:val="2"/>
                  <w:shd w:val="clear" w:color="auto" w:fill="auto"/>
                  <w:vAlign w:val="center"/>
                </w:tcPr>
                <w:p w14:paraId="17382491">
                  <w:pPr>
                    <w:pStyle w:val="107"/>
                    <w:spacing w:line="240" w:lineRule="auto"/>
                    <w:ind w:firstLine="0" w:firstLineChars="0"/>
                    <w:jc w:val="center"/>
                    <w:rPr>
                      <w:rFonts w:ascii="Times New Roman" w:hAnsi="Times New Roman"/>
                      <w:b w:val="0"/>
                      <w:color w:val="auto"/>
                      <w:sz w:val="21"/>
                      <w:szCs w:val="21"/>
                    </w:rPr>
                  </w:pPr>
                  <w:r>
                    <w:rPr>
                      <w:rFonts w:ascii="Times New Roman" w:hAnsi="Times New Roman"/>
                      <w:b w:val="0"/>
                      <w:color w:val="auto"/>
                      <w:sz w:val="21"/>
                      <w:szCs w:val="21"/>
                    </w:rPr>
                    <w:t>生活垃圾</w:t>
                  </w:r>
                </w:p>
              </w:tc>
              <w:tc>
                <w:tcPr>
                  <w:tcW w:w="1308" w:type="dxa"/>
                  <w:shd w:val="clear" w:color="auto" w:fill="auto"/>
                  <w:vAlign w:val="center"/>
                </w:tcPr>
                <w:p w14:paraId="17382492">
                  <w:pPr>
                    <w:adjustRightInd w:val="0"/>
                    <w:snapToGrid w:val="0"/>
                    <w:jc w:val="center"/>
                    <w:rPr>
                      <w:color w:val="auto"/>
                      <w:szCs w:val="21"/>
                    </w:rPr>
                  </w:pPr>
                  <w:r>
                    <w:rPr>
                      <w:rFonts w:hint="eastAsia"/>
                      <w:color w:val="auto"/>
                      <w:szCs w:val="21"/>
                    </w:rPr>
                    <w:t>1.8</w:t>
                  </w:r>
                </w:p>
              </w:tc>
              <w:tc>
                <w:tcPr>
                  <w:tcW w:w="1349" w:type="dxa"/>
                  <w:shd w:val="clear" w:color="auto" w:fill="auto"/>
                  <w:vAlign w:val="center"/>
                </w:tcPr>
                <w:p w14:paraId="17382493">
                  <w:pPr>
                    <w:adjustRightInd w:val="0"/>
                    <w:snapToGrid w:val="0"/>
                    <w:jc w:val="center"/>
                    <w:rPr>
                      <w:color w:val="auto"/>
                      <w:szCs w:val="21"/>
                    </w:rPr>
                  </w:pPr>
                  <w:r>
                    <w:rPr>
                      <w:rFonts w:hint="eastAsia"/>
                      <w:color w:val="auto"/>
                      <w:szCs w:val="21"/>
                    </w:rPr>
                    <w:t>1.8</w:t>
                  </w:r>
                </w:p>
              </w:tc>
              <w:tc>
                <w:tcPr>
                  <w:tcW w:w="1485" w:type="dxa"/>
                  <w:shd w:val="clear" w:color="auto" w:fill="auto"/>
                  <w:vAlign w:val="center"/>
                </w:tcPr>
                <w:p w14:paraId="17382494">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c>
                <w:tcPr>
                  <w:tcW w:w="1401" w:type="dxa"/>
                  <w:shd w:val="clear" w:color="auto" w:fill="auto"/>
                  <w:vAlign w:val="center"/>
                </w:tcPr>
                <w:p w14:paraId="17382495">
                  <w:pPr>
                    <w:pStyle w:val="144"/>
                    <w:adjustRightInd w:val="0"/>
                    <w:snapToGrid w:val="0"/>
                    <w:jc w:val="center"/>
                    <w:rPr>
                      <w:rFonts w:ascii="Times New Roman" w:hAnsi="Times New Roman" w:cs="Times New Roman"/>
                      <w:bCs/>
                      <w:color w:val="auto"/>
                      <w:sz w:val="21"/>
                      <w:szCs w:val="21"/>
                    </w:rPr>
                  </w:pPr>
                  <w:r>
                    <w:rPr>
                      <w:rFonts w:hint="eastAsia" w:ascii="Times New Roman" w:hAnsi="Times New Roman" w:cs="Times New Roman"/>
                      <w:bCs/>
                      <w:color w:val="auto"/>
                      <w:sz w:val="21"/>
                      <w:szCs w:val="21"/>
                    </w:rPr>
                    <w:t>0</w:t>
                  </w:r>
                </w:p>
              </w:tc>
            </w:tr>
          </w:tbl>
          <w:p w14:paraId="17382497">
            <w:pPr>
              <w:adjustRightInd w:val="0"/>
              <w:snapToGrid w:val="0"/>
              <w:spacing w:line="360" w:lineRule="auto"/>
              <w:ind w:firstLine="480" w:firstLineChars="200"/>
              <w:rPr>
                <w:bCs/>
                <w:color w:val="auto"/>
                <w:sz w:val="24"/>
              </w:rPr>
            </w:pPr>
            <w:r>
              <w:rPr>
                <w:bCs/>
                <w:color w:val="auto"/>
                <w:sz w:val="24"/>
              </w:rPr>
              <w:t>1</w:t>
            </w:r>
            <w:r>
              <w:rPr>
                <w:rFonts w:hint="eastAsia"/>
                <w:bCs/>
                <w:color w:val="auto"/>
                <w:sz w:val="24"/>
              </w:rPr>
              <w:t>、</w:t>
            </w:r>
            <w:r>
              <w:rPr>
                <w:bCs/>
                <w:color w:val="auto"/>
                <w:sz w:val="24"/>
              </w:rPr>
              <w:t>废气</w:t>
            </w:r>
          </w:p>
          <w:p w14:paraId="17382498">
            <w:pPr>
              <w:adjustRightInd w:val="0"/>
              <w:snapToGrid w:val="0"/>
              <w:spacing w:line="360" w:lineRule="auto"/>
              <w:ind w:firstLine="480" w:firstLineChars="200"/>
              <w:rPr>
                <w:bCs/>
                <w:color w:val="auto"/>
                <w:sz w:val="24"/>
              </w:rPr>
            </w:pPr>
            <w:r>
              <w:rPr>
                <w:bCs/>
                <w:color w:val="auto"/>
                <w:sz w:val="24"/>
              </w:rPr>
              <w:t>本项目建成后</w:t>
            </w:r>
            <w:r>
              <w:rPr>
                <w:rFonts w:hint="eastAsia"/>
                <w:bCs/>
                <w:color w:val="auto"/>
                <w:sz w:val="24"/>
              </w:rPr>
              <w:t>颗粒物</w:t>
            </w:r>
            <w:r>
              <w:rPr>
                <w:bCs/>
                <w:color w:val="auto"/>
                <w:sz w:val="24"/>
              </w:rPr>
              <w:t>排放量</w:t>
            </w:r>
            <w:r>
              <w:rPr>
                <w:rFonts w:hint="eastAsia"/>
                <w:bCs/>
                <w:color w:val="auto"/>
                <w:sz w:val="24"/>
              </w:rPr>
              <w:t>0.3007</w:t>
            </w:r>
            <w:r>
              <w:rPr>
                <w:bCs/>
                <w:color w:val="auto"/>
                <w:sz w:val="24"/>
              </w:rPr>
              <w:t>t/a（有组织</w:t>
            </w:r>
            <w:r>
              <w:rPr>
                <w:rFonts w:hint="eastAsia"/>
                <w:bCs/>
                <w:color w:val="auto"/>
                <w:sz w:val="24"/>
              </w:rPr>
              <w:t>0.1295</w:t>
            </w:r>
            <w:r>
              <w:rPr>
                <w:bCs/>
                <w:color w:val="auto"/>
                <w:sz w:val="24"/>
              </w:rPr>
              <w:t>t/a，无组织</w:t>
            </w:r>
            <w:r>
              <w:rPr>
                <w:rFonts w:hint="eastAsia"/>
                <w:bCs/>
                <w:color w:val="auto"/>
                <w:sz w:val="24"/>
              </w:rPr>
              <w:t>0.1712</w:t>
            </w:r>
            <w:r>
              <w:rPr>
                <w:bCs/>
                <w:color w:val="auto"/>
                <w:sz w:val="24"/>
              </w:rPr>
              <w:t>t/a）</w:t>
            </w:r>
            <w:r>
              <w:rPr>
                <w:rFonts w:hint="eastAsia"/>
                <w:bCs/>
                <w:color w:val="auto"/>
                <w:sz w:val="24"/>
              </w:rPr>
              <w:t>、VOCs排放量0.0</w:t>
            </w:r>
            <w:r>
              <w:rPr>
                <w:rFonts w:hint="eastAsia"/>
                <w:bCs/>
                <w:color w:val="auto"/>
                <w:sz w:val="24"/>
                <w:lang w:val="en-US" w:eastAsia="zh-CN"/>
              </w:rPr>
              <w:t>279</w:t>
            </w:r>
            <w:r>
              <w:rPr>
                <w:bCs/>
                <w:color w:val="auto"/>
                <w:sz w:val="24"/>
              </w:rPr>
              <w:t>t/a</w:t>
            </w:r>
            <w:r>
              <w:rPr>
                <w:rFonts w:hint="eastAsia"/>
                <w:bCs/>
                <w:color w:val="auto"/>
                <w:sz w:val="24"/>
              </w:rPr>
              <w:t>（有组织0.0</w:t>
            </w:r>
            <w:r>
              <w:rPr>
                <w:rFonts w:hint="eastAsia"/>
                <w:bCs/>
                <w:color w:val="auto"/>
                <w:sz w:val="24"/>
                <w:lang w:val="en-US" w:eastAsia="zh-CN"/>
              </w:rPr>
              <w:t>183</w:t>
            </w:r>
            <w:r>
              <w:rPr>
                <w:bCs/>
                <w:color w:val="auto"/>
                <w:sz w:val="24"/>
              </w:rPr>
              <w:t>t/a</w:t>
            </w:r>
            <w:r>
              <w:rPr>
                <w:rFonts w:hint="eastAsia"/>
                <w:bCs/>
                <w:color w:val="auto"/>
                <w:sz w:val="24"/>
              </w:rPr>
              <w:t>、无组织0.0</w:t>
            </w:r>
            <w:r>
              <w:rPr>
                <w:rFonts w:hint="eastAsia"/>
                <w:bCs/>
                <w:color w:val="auto"/>
                <w:sz w:val="24"/>
                <w:lang w:val="en-US" w:eastAsia="zh-CN"/>
              </w:rPr>
              <w:t>096</w:t>
            </w:r>
            <w:r>
              <w:rPr>
                <w:bCs/>
                <w:color w:val="auto"/>
                <w:sz w:val="24"/>
              </w:rPr>
              <w:t>t/a</w:t>
            </w:r>
            <w:r>
              <w:rPr>
                <w:rFonts w:hint="eastAsia"/>
                <w:bCs/>
                <w:color w:val="auto"/>
                <w:sz w:val="24"/>
              </w:rPr>
              <w:t>）</w:t>
            </w:r>
            <w:r>
              <w:rPr>
                <w:bCs/>
                <w:color w:val="auto"/>
                <w:sz w:val="24"/>
              </w:rPr>
              <w:t>。</w:t>
            </w:r>
          </w:p>
          <w:p w14:paraId="17382499">
            <w:pPr>
              <w:adjustRightInd w:val="0"/>
              <w:snapToGrid w:val="0"/>
              <w:spacing w:line="360" w:lineRule="auto"/>
              <w:ind w:firstLine="480" w:firstLineChars="200"/>
              <w:rPr>
                <w:bCs/>
                <w:color w:val="auto"/>
                <w:sz w:val="24"/>
              </w:rPr>
            </w:pPr>
            <w:r>
              <w:rPr>
                <w:color w:val="auto"/>
                <w:sz w:val="24"/>
              </w:rPr>
              <w:t>本项目</w:t>
            </w:r>
            <w:r>
              <w:rPr>
                <w:rFonts w:hint="eastAsia"/>
                <w:bCs/>
                <w:color w:val="auto"/>
                <w:sz w:val="24"/>
              </w:rPr>
              <w:t>颗粒物、VOCs</w:t>
            </w:r>
            <w:r>
              <w:rPr>
                <w:bCs/>
                <w:color w:val="auto"/>
                <w:sz w:val="24"/>
              </w:rPr>
              <w:t>由淮安市</w:t>
            </w:r>
            <w:r>
              <w:rPr>
                <w:rFonts w:hint="eastAsia"/>
                <w:bCs/>
                <w:color w:val="auto"/>
                <w:sz w:val="24"/>
              </w:rPr>
              <w:t>淮阴</w:t>
            </w:r>
            <w:r>
              <w:rPr>
                <w:bCs/>
                <w:color w:val="auto"/>
                <w:sz w:val="24"/>
              </w:rPr>
              <w:t>生态环境局从境内企业</w:t>
            </w:r>
            <w:r>
              <w:rPr>
                <w:rFonts w:hint="eastAsia"/>
                <w:bCs/>
                <w:color w:val="auto"/>
                <w:sz w:val="24"/>
              </w:rPr>
              <w:t>削减总量中</w:t>
            </w:r>
            <w:r>
              <w:rPr>
                <w:bCs/>
                <w:color w:val="auto"/>
                <w:sz w:val="24"/>
              </w:rPr>
              <w:t>替代平衡。</w:t>
            </w:r>
          </w:p>
          <w:p w14:paraId="1738249A">
            <w:pPr>
              <w:adjustRightInd w:val="0"/>
              <w:snapToGrid w:val="0"/>
              <w:spacing w:line="360" w:lineRule="auto"/>
              <w:ind w:firstLine="480" w:firstLineChars="200"/>
              <w:rPr>
                <w:bCs/>
                <w:color w:val="auto"/>
                <w:sz w:val="24"/>
              </w:rPr>
            </w:pPr>
            <w:r>
              <w:rPr>
                <w:rFonts w:hint="eastAsia"/>
                <w:bCs/>
                <w:color w:val="auto"/>
                <w:sz w:val="24"/>
              </w:rPr>
              <w:t>2、</w:t>
            </w:r>
            <w:r>
              <w:rPr>
                <w:bCs/>
                <w:color w:val="auto"/>
                <w:sz w:val="24"/>
              </w:rPr>
              <w:t>固废</w:t>
            </w:r>
          </w:p>
          <w:p w14:paraId="1738249B">
            <w:pPr>
              <w:adjustRightInd w:val="0"/>
              <w:snapToGrid w:val="0"/>
              <w:spacing w:line="360" w:lineRule="auto"/>
              <w:ind w:firstLine="480" w:firstLineChars="200"/>
              <w:rPr>
                <w:bCs/>
                <w:color w:val="auto"/>
                <w:sz w:val="24"/>
              </w:rPr>
            </w:pPr>
            <w:r>
              <w:rPr>
                <w:bCs/>
                <w:color w:val="auto"/>
                <w:sz w:val="24"/>
              </w:rPr>
              <w:t>本项目产生的所有固废均按环保要求进行处理或处置，故固废排放为0。</w:t>
            </w:r>
          </w:p>
          <w:p w14:paraId="1738249C">
            <w:pPr>
              <w:adjustRightInd w:val="0"/>
              <w:snapToGrid w:val="0"/>
              <w:spacing w:line="360" w:lineRule="auto"/>
              <w:rPr>
                <w:bCs/>
                <w:color w:val="auto"/>
                <w:sz w:val="24"/>
              </w:rPr>
            </w:pPr>
          </w:p>
          <w:p w14:paraId="1738249D">
            <w:pPr>
              <w:pStyle w:val="107"/>
              <w:ind w:firstLine="482"/>
              <w:rPr>
                <w:rFonts w:hint="eastAsia"/>
                <w:bCs/>
                <w:color w:val="auto"/>
              </w:rPr>
            </w:pPr>
          </w:p>
          <w:p w14:paraId="1738249E">
            <w:pPr>
              <w:pStyle w:val="87"/>
              <w:ind w:firstLine="480"/>
              <w:rPr>
                <w:bCs/>
                <w:color w:val="auto"/>
              </w:rPr>
            </w:pPr>
          </w:p>
          <w:p w14:paraId="1738249F">
            <w:pPr>
              <w:rPr>
                <w:bCs/>
                <w:color w:val="auto"/>
                <w:sz w:val="24"/>
              </w:rPr>
            </w:pPr>
          </w:p>
          <w:p w14:paraId="173824A0">
            <w:pPr>
              <w:pStyle w:val="107"/>
              <w:ind w:firstLine="482"/>
              <w:rPr>
                <w:rFonts w:hint="eastAsia"/>
                <w:bCs/>
                <w:color w:val="auto"/>
              </w:rPr>
            </w:pPr>
          </w:p>
          <w:p w14:paraId="173824A1">
            <w:pPr>
              <w:pStyle w:val="87"/>
              <w:ind w:firstLine="480"/>
              <w:rPr>
                <w:bCs/>
                <w:color w:val="auto"/>
              </w:rPr>
            </w:pPr>
          </w:p>
          <w:p w14:paraId="173824A2">
            <w:pPr>
              <w:rPr>
                <w:bCs/>
                <w:color w:val="auto"/>
                <w:sz w:val="24"/>
              </w:rPr>
            </w:pPr>
          </w:p>
          <w:p w14:paraId="173824A3">
            <w:pPr>
              <w:pStyle w:val="107"/>
              <w:ind w:firstLine="482"/>
              <w:rPr>
                <w:rFonts w:hint="eastAsia"/>
                <w:bCs/>
                <w:color w:val="auto"/>
              </w:rPr>
            </w:pPr>
          </w:p>
          <w:p w14:paraId="173824A4">
            <w:pPr>
              <w:pStyle w:val="87"/>
              <w:ind w:firstLine="480"/>
              <w:rPr>
                <w:bCs/>
                <w:color w:val="auto"/>
              </w:rPr>
            </w:pPr>
          </w:p>
          <w:p w14:paraId="173824A5">
            <w:pPr>
              <w:rPr>
                <w:bCs/>
                <w:color w:val="auto"/>
                <w:sz w:val="24"/>
              </w:rPr>
            </w:pPr>
          </w:p>
          <w:p w14:paraId="173824A6">
            <w:pPr>
              <w:pStyle w:val="107"/>
              <w:ind w:firstLine="482"/>
              <w:rPr>
                <w:rFonts w:hint="eastAsia"/>
                <w:bCs/>
                <w:color w:val="auto"/>
              </w:rPr>
            </w:pPr>
          </w:p>
          <w:p w14:paraId="173824A7">
            <w:pPr>
              <w:pStyle w:val="87"/>
              <w:ind w:firstLine="480"/>
              <w:rPr>
                <w:bCs/>
                <w:color w:val="auto"/>
              </w:rPr>
            </w:pPr>
          </w:p>
          <w:p w14:paraId="173824A8">
            <w:pPr>
              <w:rPr>
                <w:bCs/>
                <w:color w:val="auto"/>
                <w:sz w:val="24"/>
              </w:rPr>
            </w:pPr>
          </w:p>
          <w:p w14:paraId="173824A9">
            <w:pPr>
              <w:pStyle w:val="107"/>
              <w:ind w:firstLine="482"/>
              <w:rPr>
                <w:rFonts w:hint="eastAsia"/>
                <w:bCs/>
                <w:color w:val="auto"/>
              </w:rPr>
            </w:pPr>
          </w:p>
          <w:p w14:paraId="173824AA">
            <w:pPr>
              <w:pStyle w:val="87"/>
              <w:ind w:firstLine="480"/>
              <w:rPr>
                <w:bCs/>
                <w:color w:val="auto"/>
              </w:rPr>
            </w:pPr>
          </w:p>
          <w:p w14:paraId="173824AB">
            <w:pPr>
              <w:rPr>
                <w:bCs/>
                <w:color w:val="auto"/>
                <w:sz w:val="24"/>
              </w:rPr>
            </w:pPr>
          </w:p>
          <w:p w14:paraId="173824BB">
            <w:pPr>
              <w:pStyle w:val="87"/>
              <w:ind w:left="0" w:leftChars="0" w:firstLine="0" w:firstLineChars="0"/>
              <w:rPr>
                <w:color w:val="auto"/>
              </w:rPr>
            </w:pPr>
          </w:p>
        </w:tc>
      </w:tr>
    </w:tbl>
    <w:p w14:paraId="173824BD">
      <w:pPr>
        <w:pStyle w:val="81"/>
        <w:spacing w:after="0" w:afterAutospacing="0"/>
        <w:jc w:val="center"/>
        <w:outlineLvl w:val="0"/>
        <w:rPr>
          <w:rFonts w:ascii="Times New Roman" w:hAnsi="Times New Roman"/>
          <w:snapToGrid w:val="0"/>
          <w:color w:val="auto"/>
          <w:sz w:val="30"/>
          <w:szCs w:val="30"/>
        </w:rPr>
      </w:pPr>
      <w:r>
        <w:rPr>
          <w:rFonts w:ascii="Times New Roman" w:hAnsi="Times New Roman"/>
          <w:snapToGrid w:val="0"/>
          <w:color w:val="auto"/>
          <w:sz w:val="36"/>
          <w:szCs w:val="36"/>
        </w:rPr>
        <w:br w:type="page"/>
      </w:r>
      <w:r>
        <w:rPr>
          <w:rFonts w:ascii="Times New Roman" w:hAnsi="Times New Roman"/>
          <w:b/>
          <w:bCs/>
          <w:snapToGrid w:val="0"/>
          <w:color w:val="auto"/>
          <w:sz w:val="30"/>
          <w:szCs w:val="30"/>
        </w:rPr>
        <w:t>四、主要环境影响和保护措施</w:t>
      </w:r>
    </w:p>
    <w:tbl>
      <w:tblPr>
        <w:tblStyle w:val="88"/>
        <w:tblW w:w="5089"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387"/>
        <w:gridCol w:w="8753"/>
      </w:tblGrid>
      <w:tr w14:paraId="173824C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705" w:hRule="atLeast"/>
          <w:jc w:val="center"/>
        </w:trPr>
        <w:tc>
          <w:tcPr>
            <w:tcW w:w="384" w:type="dxa"/>
            <w:tcMar>
              <w:left w:w="28" w:type="dxa"/>
              <w:right w:w="28" w:type="dxa"/>
            </w:tcMar>
            <w:vAlign w:val="center"/>
          </w:tcPr>
          <w:p w14:paraId="173824BE">
            <w:pPr>
              <w:pStyle w:val="81"/>
              <w:adjustRightInd w:val="0"/>
              <w:snapToGrid w:val="0"/>
              <w:spacing w:before="0" w:beforeAutospacing="0" w:after="0" w:afterAutospacing="0"/>
              <w:jc w:val="center"/>
              <w:rPr>
                <w:rFonts w:ascii="Times New Roman" w:hAnsi="Times New Roman"/>
                <w:color w:val="auto"/>
                <w:kern w:val="2"/>
                <w:szCs w:val="24"/>
                <w:lang w:val="en-US"/>
              </w:rPr>
            </w:pPr>
            <w:r>
              <w:rPr>
                <w:rFonts w:ascii="Times New Roman" w:hAnsi="Times New Roman"/>
                <w:color w:val="auto"/>
                <w:kern w:val="2"/>
                <w:szCs w:val="24"/>
                <w:lang w:val="en-US"/>
              </w:rPr>
              <w:t>施工</w:t>
            </w:r>
          </w:p>
          <w:p w14:paraId="173824BF">
            <w:pPr>
              <w:pStyle w:val="81"/>
              <w:adjustRightInd w:val="0"/>
              <w:snapToGrid w:val="0"/>
              <w:spacing w:before="0" w:beforeAutospacing="0" w:after="0" w:afterAutospacing="0"/>
              <w:jc w:val="center"/>
              <w:rPr>
                <w:rFonts w:ascii="Times New Roman" w:hAnsi="Times New Roman"/>
                <w:color w:val="auto"/>
                <w:kern w:val="2"/>
                <w:szCs w:val="24"/>
                <w:lang w:val="en-US"/>
              </w:rPr>
            </w:pPr>
            <w:r>
              <w:rPr>
                <w:rFonts w:ascii="Times New Roman" w:hAnsi="Times New Roman"/>
                <w:color w:val="auto"/>
                <w:kern w:val="2"/>
                <w:szCs w:val="24"/>
                <w:lang w:val="en-US"/>
              </w:rPr>
              <w:t>期环</w:t>
            </w:r>
          </w:p>
          <w:p w14:paraId="173824C0">
            <w:pPr>
              <w:pStyle w:val="81"/>
              <w:adjustRightInd w:val="0"/>
              <w:snapToGrid w:val="0"/>
              <w:spacing w:before="0" w:beforeAutospacing="0" w:after="0" w:afterAutospacing="0"/>
              <w:jc w:val="center"/>
              <w:rPr>
                <w:rFonts w:ascii="Times New Roman" w:hAnsi="Times New Roman"/>
                <w:color w:val="auto"/>
                <w:kern w:val="2"/>
                <w:szCs w:val="24"/>
                <w:lang w:val="en-US"/>
              </w:rPr>
            </w:pPr>
            <w:r>
              <w:rPr>
                <w:rFonts w:ascii="Times New Roman" w:hAnsi="Times New Roman"/>
                <w:color w:val="auto"/>
                <w:kern w:val="2"/>
                <w:szCs w:val="24"/>
                <w:lang w:val="en-US"/>
              </w:rPr>
              <w:t>境保</w:t>
            </w:r>
          </w:p>
          <w:p w14:paraId="173824C1">
            <w:pPr>
              <w:pStyle w:val="81"/>
              <w:adjustRightInd w:val="0"/>
              <w:snapToGrid w:val="0"/>
              <w:spacing w:before="0" w:beforeAutospacing="0" w:after="0" w:afterAutospacing="0"/>
              <w:jc w:val="center"/>
              <w:rPr>
                <w:rFonts w:ascii="Times New Roman" w:hAnsi="Times New Roman"/>
                <w:color w:val="auto"/>
                <w:kern w:val="2"/>
                <w:szCs w:val="24"/>
                <w:lang w:val="en-US"/>
              </w:rPr>
            </w:pPr>
            <w:r>
              <w:rPr>
                <w:rFonts w:ascii="Times New Roman" w:hAnsi="Times New Roman"/>
                <w:color w:val="auto"/>
                <w:kern w:val="2"/>
                <w:szCs w:val="24"/>
                <w:lang w:val="en-US"/>
              </w:rPr>
              <w:t>护措</w:t>
            </w:r>
          </w:p>
          <w:p w14:paraId="173824C2">
            <w:pPr>
              <w:pStyle w:val="81"/>
              <w:adjustRightInd w:val="0"/>
              <w:snapToGrid w:val="0"/>
              <w:spacing w:before="0" w:beforeAutospacing="0" w:after="0" w:afterAutospacing="0"/>
              <w:jc w:val="center"/>
              <w:rPr>
                <w:rFonts w:ascii="Times New Roman" w:hAnsi="Times New Roman"/>
                <w:bCs/>
                <w:color w:val="auto"/>
                <w:kern w:val="2"/>
                <w:szCs w:val="24"/>
                <w:lang w:val="en-US"/>
              </w:rPr>
            </w:pPr>
            <w:r>
              <w:rPr>
                <w:rFonts w:ascii="Times New Roman" w:hAnsi="Times New Roman"/>
                <w:color w:val="auto"/>
                <w:kern w:val="2"/>
                <w:szCs w:val="24"/>
                <w:lang w:val="en-US"/>
              </w:rPr>
              <w:t>施</w:t>
            </w:r>
          </w:p>
        </w:tc>
        <w:tc>
          <w:tcPr>
            <w:tcW w:w="8675" w:type="dxa"/>
          </w:tcPr>
          <w:p w14:paraId="173824C3">
            <w:pPr>
              <w:widowControl/>
              <w:spacing w:line="360" w:lineRule="auto"/>
              <w:ind w:firstLine="480" w:firstLineChars="200"/>
              <w:rPr>
                <w:color w:val="auto"/>
                <w:sz w:val="24"/>
              </w:rPr>
            </w:pPr>
            <w:r>
              <w:rPr>
                <w:rFonts w:hint="eastAsia"/>
                <w:color w:val="auto"/>
                <w:sz w:val="24"/>
              </w:rPr>
              <w:t>本项目为新建项目，位于淮安市淮阴区马头镇东港路一号，企业租赁江苏德斯特实业有限公司闲置厂房进行项目的建设。本项目</w:t>
            </w:r>
            <w:r>
              <w:rPr>
                <w:color w:val="auto"/>
                <w:sz w:val="24"/>
              </w:rPr>
              <w:t>施工期主要为生产设备的安装与调试，施工期较短，对外界环境影响随着施工期的结束而结束，本次环评不对施工期进行评价。</w:t>
            </w:r>
          </w:p>
          <w:p w14:paraId="173824C4">
            <w:pPr>
              <w:widowControl/>
              <w:spacing w:line="360" w:lineRule="auto"/>
              <w:ind w:firstLine="480" w:firstLineChars="200"/>
              <w:rPr>
                <w:color w:val="auto"/>
                <w:sz w:val="24"/>
              </w:rPr>
            </w:pPr>
          </w:p>
          <w:p w14:paraId="173824C5">
            <w:pPr>
              <w:widowControl/>
              <w:spacing w:line="360" w:lineRule="auto"/>
              <w:ind w:firstLine="480" w:firstLineChars="200"/>
              <w:rPr>
                <w:color w:val="auto"/>
                <w:sz w:val="24"/>
              </w:rPr>
            </w:pPr>
          </w:p>
          <w:p w14:paraId="173824C6">
            <w:pPr>
              <w:wordWrap w:val="0"/>
              <w:spacing w:line="360" w:lineRule="auto"/>
              <w:ind w:firstLine="480" w:firstLineChars="200"/>
              <w:rPr>
                <w:color w:val="auto"/>
                <w:sz w:val="24"/>
              </w:rPr>
            </w:pPr>
          </w:p>
          <w:p w14:paraId="173824C7">
            <w:pPr>
              <w:adjustRightInd w:val="0"/>
              <w:snapToGrid w:val="0"/>
              <w:rPr>
                <w:bCs/>
                <w:color w:val="auto"/>
                <w:spacing w:val="-10"/>
                <w:sz w:val="24"/>
              </w:rPr>
            </w:pPr>
          </w:p>
        </w:tc>
      </w:tr>
    </w:tbl>
    <w:p w14:paraId="173824C9">
      <w:pPr>
        <w:rPr>
          <w:bCs/>
          <w:color w:val="auto"/>
          <w:sz w:val="24"/>
        </w:rPr>
      </w:pPr>
      <w:r>
        <w:rPr>
          <w:bCs/>
          <w:color w:val="auto"/>
          <w:sz w:val="24"/>
        </w:rPr>
        <w:br w:type="page"/>
      </w:r>
    </w:p>
    <w:p w14:paraId="61149D7D">
      <w:pPr>
        <w:adjustRightInd w:val="0"/>
        <w:snapToGrid w:val="0"/>
        <w:jc w:val="center"/>
        <w:rPr>
          <w:bCs/>
          <w:color w:val="auto"/>
          <w:sz w:val="24"/>
        </w:rPr>
        <w:sectPr>
          <w:footerReference r:id="rId6" w:type="default"/>
          <w:pgSz w:w="11906" w:h="16838"/>
          <w:pgMar w:top="1701" w:right="1531" w:bottom="1701" w:left="1531" w:header="851" w:footer="851" w:gutter="0"/>
          <w:pgNumType w:start="1"/>
          <w:cols w:space="720" w:num="1"/>
          <w:docGrid w:linePitch="312" w:charSpace="0"/>
        </w:sectPr>
      </w:pPr>
    </w:p>
    <w:tbl>
      <w:tblPr>
        <w:tblStyle w:val="89"/>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42"/>
        <w:gridCol w:w="13210"/>
      </w:tblGrid>
      <w:tr w14:paraId="173827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47" w:hRule="atLeast"/>
          <w:jc w:val="center"/>
        </w:trPr>
        <w:tc>
          <w:tcPr>
            <w:tcW w:w="442" w:type="dxa"/>
            <w:vAlign w:val="center"/>
          </w:tcPr>
          <w:p w14:paraId="173824CB">
            <w:pPr>
              <w:adjustRightInd w:val="0"/>
              <w:snapToGrid w:val="0"/>
              <w:jc w:val="center"/>
              <w:rPr>
                <w:bCs/>
                <w:color w:val="auto"/>
                <w:sz w:val="24"/>
              </w:rPr>
            </w:pPr>
            <w:r>
              <w:rPr>
                <w:bCs/>
                <w:color w:val="auto"/>
                <w:sz w:val="24"/>
              </w:rPr>
              <w:t>运营</w:t>
            </w:r>
          </w:p>
          <w:p w14:paraId="173824CC">
            <w:pPr>
              <w:adjustRightInd w:val="0"/>
              <w:snapToGrid w:val="0"/>
              <w:jc w:val="center"/>
              <w:rPr>
                <w:bCs/>
                <w:color w:val="auto"/>
                <w:sz w:val="24"/>
              </w:rPr>
            </w:pPr>
            <w:r>
              <w:rPr>
                <w:bCs/>
                <w:color w:val="auto"/>
                <w:sz w:val="24"/>
              </w:rPr>
              <w:t>期环</w:t>
            </w:r>
          </w:p>
          <w:p w14:paraId="173824CD">
            <w:pPr>
              <w:adjustRightInd w:val="0"/>
              <w:snapToGrid w:val="0"/>
              <w:jc w:val="center"/>
              <w:rPr>
                <w:bCs/>
                <w:color w:val="auto"/>
                <w:sz w:val="24"/>
              </w:rPr>
            </w:pPr>
            <w:r>
              <w:rPr>
                <w:bCs/>
                <w:color w:val="auto"/>
                <w:sz w:val="24"/>
              </w:rPr>
              <w:t>境影</w:t>
            </w:r>
          </w:p>
          <w:p w14:paraId="173824CE">
            <w:pPr>
              <w:adjustRightInd w:val="0"/>
              <w:snapToGrid w:val="0"/>
              <w:jc w:val="center"/>
              <w:rPr>
                <w:bCs/>
                <w:color w:val="auto"/>
                <w:sz w:val="24"/>
              </w:rPr>
            </w:pPr>
            <w:r>
              <w:rPr>
                <w:bCs/>
                <w:color w:val="auto"/>
                <w:sz w:val="24"/>
              </w:rPr>
              <w:t>响和</w:t>
            </w:r>
          </w:p>
          <w:p w14:paraId="173824CF">
            <w:pPr>
              <w:adjustRightInd w:val="0"/>
              <w:snapToGrid w:val="0"/>
              <w:jc w:val="center"/>
              <w:rPr>
                <w:bCs/>
                <w:color w:val="auto"/>
                <w:sz w:val="24"/>
              </w:rPr>
            </w:pPr>
            <w:r>
              <w:rPr>
                <w:bCs/>
                <w:color w:val="auto"/>
                <w:sz w:val="24"/>
              </w:rPr>
              <w:t>保护</w:t>
            </w:r>
          </w:p>
          <w:p w14:paraId="173824D0">
            <w:pPr>
              <w:adjustRightInd w:val="0"/>
              <w:snapToGrid w:val="0"/>
              <w:jc w:val="center"/>
              <w:rPr>
                <w:bCs/>
                <w:color w:val="auto"/>
                <w:sz w:val="24"/>
              </w:rPr>
            </w:pPr>
            <w:r>
              <w:rPr>
                <w:bCs/>
                <w:color w:val="auto"/>
                <w:sz w:val="24"/>
              </w:rPr>
              <w:t>措施</w:t>
            </w:r>
          </w:p>
        </w:tc>
        <w:tc>
          <w:tcPr>
            <w:tcW w:w="13210" w:type="dxa"/>
          </w:tcPr>
          <w:p w14:paraId="173824D1">
            <w:pPr>
              <w:autoSpaceDE w:val="0"/>
              <w:autoSpaceDN w:val="0"/>
              <w:adjustRightInd w:val="0"/>
              <w:snapToGrid w:val="0"/>
              <w:spacing w:line="360" w:lineRule="auto"/>
              <w:ind w:firstLine="482" w:firstLineChars="200"/>
              <w:rPr>
                <w:b/>
                <w:bCs/>
                <w:color w:val="auto"/>
                <w:sz w:val="24"/>
              </w:rPr>
            </w:pPr>
            <w:r>
              <w:rPr>
                <w:b/>
                <w:bCs/>
                <w:color w:val="auto"/>
                <w:sz w:val="24"/>
              </w:rPr>
              <w:t>1</w:t>
            </w:r>
            <w:r>
              <w:rPr>
                <w:rFonts w:hint="eastAsia"/>
                <w:b/>
                <w:bCs/>
                <w:color w:val="auto"/>
                <w:sz w:val="24"/>
              </w:rPr>
              <w:t>、</w:t>
            </w:r>
            <w:r>
              <w:rPr>
                <w:b/>
                <w:bCs/>
                <w:color w:val="auto"/>
                <w:sz w:val="24"/>
              </w:rPr>
              <w:t>大气污染物产生分析</w:t>
            </w:r>
          </w:p>
          <w:p w14:paraId="173824D2">
            <w:pPr>
              <w:widowControl/>
              <w:spacing w:line="360" w:lineRule="auto"/>
              <w:ind w:firstLine="480" w:firstLineChars="200"/>
              <w:rPr>
                <w:color w:val="auto"/>
                <w:sz w:val="24"/>
              </w:rPr>
            </w:pPr>
            <w:r>
              <w:rPr>
                <w:rFonts w:hint="eastAsia"/>
                <w:color w:val="auto"/>
                <w:sz w:val="24"/>
              </w:rPr>
              <w:t>本</w:t>
            </w:r>
            <w:r>
              <w:rPr>
                <w:color w:val="auto"/>
                <w:sz w:val="24"/>
              </w:rPr>
              <w:t>项目废气污染源源强核算结果及相关参数</w:t>
            </w:r>
            <w:r>
              <w:rPr>
                <w:rFonts w:hint="eastAsia"/>
                <w:color w:val="auto"/>
                <w:sz w:val="24"/>
                <w:lang w:val="en-US" w:eastAsia="zh-CN"/>
              </w:rPr>
              <w:t>一览表详</w:t>
            </w:r>
            <w:r>
              <w:rPr>
                <w:color w:val="auto"/>
                <w:sz w:val="24"/>
              </w:rPr>
              <w:t>见表</w:t>
            </w:r>
            <w:r>
              <w:rPr>
                <w:rFonts w:hint="eastAsia"/>
                <w:color w:val="auto"/>
                <w:sz w:val="24"/>
              </w:rPr>
              <w:t>4-1</w:t>
            </w:r>
            <w:r>
              <w:rPr>
                <w:color w:val="auto"/>
                <w:sz w:val="24"/>
              </w:rPr>
              <w:t>，</w:t>
            </w:r>
            <w:r>
              <w:rPr>
                <w:rFonts w:hint="eastAsia"/>
                <w:color w:val="auto"/>
                <w:sz w:val="24"/>
                <w:lang w:val="en-US" w:eastAsia="zh-CN"/>
              </w:rPr>
              <w:t>本项目建成后有组织废气污染源源强核算结果及相关参数一览表详</w:t>
            </w:r>
            <w:r>
              <w:rPr>
                <w:color w:val="auto"/>
                <w:sz w:val="24"/>
              </w:rPr>
              <w:t>见表</w:t>
            </w:r>
            <w:r>
              <w:rPr>
                <w:rFonts w:hint="eastAsia"/>
                <w:color w:val="auto"/>
                <w:sz w:val="24"/>
              </w:rPr>
              <w:t>4-2</w:t>
            </w:r>
            <w:r>
              <w:rPr>
                <w:color w:val="auto"/>
                <w:sz w:val="24"/>
              </w:rPr>
              <w:t>，</w:t>
            </w:r>
            <w:r>
              <w:rPr>
                <w:rFonts w:hint="eastAsia"/>
                <w:color w:val="auto"/>
                <w:sz w:val="24"/>
                <w:lang w:val="en-US" w:eastAsia="zh-CN"/>
              </w:rPr>
              <w:t>本项目建成后无组织废气污染源源强合并结果及相关参数一览表详</w:t>
            </w:r>
            <w:r>
              <w:rPr>
                <w:color w:val="auto"/>
                <w:sz w:val="24"/>
              </w:rPr>
              <w:t>见表</w:t>
            </w:r>
            <w:r>
              <w:rPr>
                <w:rFonts w:hint="eastAsia"/>
                <w:color w:val="auto"/>
                <w:sz w:val="24"/>
              </w:rPr>
              <w:t>4-3</w:t>
            </w:r>
            <w:r>
              <w:rPr>
                <w:color w:val="auto"/>
                <w:sz w:val="24"/>
              </w:rPr>
              <w:t>，</w:t>
            </w:r>
            <w:r>
              <w:rPr>
                <w:rFonts w:hint="eastAsia"/>
                <w:color w:val="auto"/>
                <w:sz w:val="24"/>
                <w:lang w:val="en-US" w:eastAsia="zh-CN"/>
              </w:rPr>
              <w:t>本项目</w:t>
            </w:r>
            <w:r>
              <w:rPr>
                <w:color w:val="auto"/>
                <w:sz w:val="24"/>
              </w:rPr>
              <w:t>废气收集、治理措施及排放情况</w:t>
            </w:r>
            <w:r>
              <w:rPr>
                <w:rFonts w:hint="eastAsia"/>
                <w:color w:val="auto"/>
                <w:sz w:val="24"/>
                <w:lang w:val="en-US" w:eastAsia="zh-CN"/>
              </w:rPr>
              <w:t>汇总表详</w:t>
            </w:r>
            <w:r>
              <w:rPr>
                <w:color w:val="auto"/>
                <w:sz w:val="24"/>
              </w:rPr>
              <w:t>见表</w:t>
            </w:r>
            <w:r>
              <w:rPr>
                <w:rFonts w:hint="eastAsia"/>
                <w:color w:val="auto"/>
                <w:sz w:val="24"/>
              </w:rPr>
              <w:t>4-4</w:t>
            </w:r>
            <w:r>
              <w:rPr>
                <w:color w:val="auto"/>
                <w:sz w:val="24"/>
              </w:rPr>
              <w:t>，</w:t>
            </w:r>
            <w:r>
              <w:rPr>
                <w:rFonts w:hint="eastAsia"/>
                <w:color w:val="auto"/>
                <w:sz w:val="24"/>
                <w:lang w:val="en-US" w:eastAsia="zh-CN"/>
              </w:rPr>
              <w:t>本项目废气排放口基本情况一览表详</w:t>
            </w:r>
            <w:r>
              <w:rPr>
                <w:color w:val="auto"/>
                <w:sz w:val="24"/>
              </w:rPr>
              <w:t>见表</w:t>
            </w:r>
            <w:r>
              <w:rPr>
                <w:rFonts w:hint="eastAsia"/>
                <w:color w:val="auto"/>
                <w:sz w:val="24"/>
              </w:rPr>
              <w:t>4-5</w:t>
            </w:r>
            <w:r>
              <w:rPr>
                <w:color w:val="auto"/>
                <w:sz w:val="24"/>
              </w:rPr>
              <w:t>。</w:t>
            </w:r>
          </w:p>
          <w:p w14:paraId="173824D3">
            <w:pPr>
              <w:widowControl/>
              <w:adjustRightInd w:val="0"/>
              <w:snapToGrid w:val="0"/>
              <w:jc w:val="center"/>
              <w:rPr>
                <w:b/>
                <w:color w:val="auto"/>
                <w:kern w:val="0"/>
                <w:sz w:val="24"/>
              </w:rPr>
            </w:pPr>
            <w:r>
              <w:rPr>
                <w:b/>
                <w:color w:val="auto"/>
                <w:kern w:val="0"/>
                <w:sz w:val="24"/>
              </w:rPr>
              <w:t xml:space="preserve">表4-1 </w:t>
            </w:r>
            <w:r>
              <w:rPr>
                <w:rFonts w:hint="eastAsia"/>
                <w:b/>
                <w:color w:val="auto"/>
                <w:kern w:val="0"/>
                <w:sz w:val="24"/>
              </w:rPr>
              <w:t>本</w:t>
            </w:r>
            <w:r>
              <w:rPr>
                <w:b/>
                <w:color w:val="auto"/>
                <w:kern w:val="0"/>
                <w:sz w:val="24"/>
              </w:rPr>
              <w:t>项目废气污染源源强核算结果及相关参数一览表</w:t>
            </w:r>
          </w:p>
          <w:tbl>
            <w:tblPr>
              <w:tblStyle w:val="88"/>
              <w:tblW w:w="12955"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1123"/>
              <w:gridCol w:w="1002"/>
              <w:gridCol w:w="976"/>
              <w:gridCol w:w="895"/>
              <w:gridCol w:w="909"/>
              <w:gridCol w:w="1047"/>
              <w:gridCol w:w="886"/>
              <w:gridCol w:w="1048"/>
              <w:gridCol w:w="717"/>
              <w:gridCol w:w="815"/>
              <w:gridCol w:w="964"/>
              <w:gridCol w:w="967"/>
              <w:gridCol w:w="751"/>
              <w:gridCol w:w="855"/>
            </w:tblGrid>
            <w:tr w14:paraId="173824D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restart"/>
                  <w:vAlign w:val="center"/>
                </w:tcPr>
                <w:p w14:paraId="173824D4">
                  <w:pPr>
                    <w:widowControl/>
                    <w:adjustRightInd w:val="0"/>
                    <w:snapToGrid w:val="0"/>
                    <w:jc w:val="center"/>
                    <w:rPr>
                      <w:b/>
                      <w:color w:val="auto"/>
                      <w:kern w:val="0"/>
                      <w:szCs w:val="21"/>
                    </w:rPr>
                  </w:pPr>
                  <w:r>
                    <w:rPr>
                      <w:b/>
                      <w:color w:val="auto"/>
                      <w:kern w:val="0"/>
                      <w:szCs w:val="21"/>
                    </w:rPr>
                    <w:t>工序/生产线</w:t>
                  </w:r>
                </w:p>
              </w:tc>
              <w:tc>
                <w:tcPr>
                  <w:tcW w:w="1002" w:type="dxa"/>
                  <w:vMerge w:val="restart"/>
                  <w:vAlign w:val="center"/>
                </w:tcPr>
                <w:p w14:paraId="173824D5">
                  <w:pPr>
                    <w:widowControl/>
                    <w:adjustRightInd w:val="0"/>
                    <w:snapToGrid w:val="0"/>
                    <w:jc w:val="center"/>
                    <w:rPr>
                      <w:b/>
                      <w:color w:val="auto"/>
                      <w:kern w:val="0"/>
                      <w:szCs w:val="21"/>
                    </w:rPr>
                  </w:pPr>
                  <w:r>
                    <w:rPr>
                      <w:b/>
                      <w:color w:val="auto"/>
                      <w:kern w:val="0"/>
                      <w:szCs w:val="21"/>
                    </w:rPr>
                    <w:t>装置</w:t>
                  </w:r>
                </w:p>
              </w:tc>
              <w:tc>
                <w:tcPr>
                  <w:tcW w:w="976" w:type="dxa"/>
                  <w:vMerge w:val="restart"/>
                  <w:vAlign w:val="center"/>
                </w:tcPr>
                <w:p w14:paraId="173824D6">
                  <w:pPr>
                    <w:widowControl/>
                    <w:adjustRightInd w:val="0"/>
                    <w:snapToGrid w:val="0"/>
                    <w:jc w:val="center"/>
                    <w:rPr>
                      <w:b/>
                      <w:color w:val="auto"/>
                      <w:kern w:val="0"/>
                      <w:szCs w:val="21"/>
                    </w:rPr>
                  </w:pPr>
                  <w:r>
                    <w:rPr>
                      <w:b/>
                      <w:color w:val="auto"/>
                      <w:kern w:val="0"/>
                      <w:szCs w:val="21"/>
                    </w:rPr>
                    <w:t>污染源</w:t>
                  </w:r>
                </w:p>
              </w:tc>
              <w:tc>
                <w:tcPr>
                  <w:tcW w:w="895" w:type="dxa"/>
                  <w:vMerge w:val="restart"/>
                  <w:vAlign w:val="center"/>
                </w:tcPr>
                <w:p w14:paraId="173824D7">
                  <w:pPr>
                    <w:widowControl/>
                    <w:adjustRightInd w:val="0"/>
                    <w:snapToGrid w:val="0"/>
                    <w:jc w:val="center"/>
                    <w:rPr>
                      <w:b/>
                      <w:color w:val="auto"/>
                      <w:kern w:val="0"/>
                      <w:szCs w:val="21"/>
                    </w:rPr>
                  </w:pPr>
                  <w:r>
                    <w:rPr>
                      <w:b/>
                      <w:color w:val="auto"/>
                      <w:kern w:val="0"/>
                      <w:szCs w:val="21"/>
                    </w:rPr>
                    <w:t>污染物</w:t>
                  </w:r>
                </w:p>
              </w:tc>
              <w:tc>
                <w:tcPr>
                  <w:tcW w:w="2842" w:type="dxa"/>
                  <w:gridSpan w:val="3"/>
                  <w:vAlign w:val="center"/>
                </w:tcPr>
                <w:p w14:paraId="173824D8">
                  <w:pPr>
                    <w:widowControl/>
                    <w:adjustRightInd w:val="0"/>
                    <w:snapToGrid w:val="0"/>
                    <w:jc w:val="center"/>
                    <w:rPr>
                      <w:b/>
                      <w:color w:val="auto"/>
                      <w:kern w:val="0"/>
                      <w:szCs w:val="21"/>
                    </w:rPr>
                  </w:pPr>
                  <w:r>
                    <w:rPr>
                      <w:b/>
                      <w:color w:val="auto"/>
                      <w:kern w:val="0"/>
                      <w:szCs w:val="21"/>
                    </w:rPr>
                    <w:t>污染物产生</w:t>
                  </w:r>
                </w:p>
              </w:tc>
              <w:tc>
                <w:tcPr>
                  <w:tcW w:w="1765" w:type="dxa"/>
                  <w:gridSpan w:val="2"/>
                  <w:vAlign w:val="center"/>
                </w:tcPr>
                <w:p w14:paraId="173824D9">
                  <w:pPr>
                    <w:widowControl/>
                    <w:adjustRightInd w:val="0"/>
                    <w:snapToGrid w:val="0"/>
                    <w:jc w:val="center"/>
                    <w:rPr>
                      <w:b/>
                      <w:color w:val="auto"/>
                      <w:kern w:val="0"/>
                      <w:szCs w:val="21"/>
                    </w:rPr>
                  </w:pPr>
                  <w:r>
                    <w:rPr>
                      <w:b/>
                      <w:color w:val="auto"/>
                      <w:kern w:val="0"/>
                      <w:szCs w:val="21"/>
                    </w:rPr>
                    <w:t>治理措施</w:t>
                  </w:r>
                </w:p>
              </w:tc>
              <w:tc>
                <w:tcPr>
                  <w:tcW w:w="2746" w:type="dxa"/>
                  <w:gridSpan w:val="3"/>
                  <w:vAlign w:val="center"/>
                </w:tcPr>
                <w:p w14:paraId="173824DA">
                  <w:pPr>
                    <w:widowControl/>
                    <w:adjustRightInd w:val="0"/>
                    <w:snapToGrid w:val="0"/>
                    <w:jc w:val="center"/>
                    <w:rPr>
                      <w:b/>
                      <w:color w:val="auto"/>
                      <w:kern w:val="0"/>
                      <w:szCs w:val="21"/>
                    </w:rPr>
                  </w:pPr>
                  <w:r>
                    <w:rPr>
                      <w:b/>
                      <w:color w:val="auto"/>
                      <w:kern w:val="0"/>
                      <w:szCs w:val="21"/>
                    </w:rPr>
                    <w:t>污染物排放</w:t>
                  </w:r>
                </w:p>
              </w:tc>
              <w:tc>
                <w:tcPr>
                  <w:tcW w:w="751" w:type="dxa"/>
                  <w:vMerge w:val="restart"/>
                  <w:vAlign w:val="center"/>
                </w:tcPr>
                <w:p w14:paraId="173824DB">
                  <w:pPr>
                    <w:widowControl/>
                    <w:adjustRightInd w:val="0"/>
                    <w:snapToGrid w:val="0"/>
                    <w:jc w:val="center"/>
                    <w:rPr>
                      <w:b/>
                      <w:color w:val="auto"/>
                      <w:kern w:val="0"/>
                      <w:szCs w:val="21"/>
                    </w:rPr>
                  </w:pPr>
                  <w:r>
                    <w:rPr>
                      <w:b/>
                      <w:color w:val="auto"/>
                      <w:kern w:val="0"/>
                      <w:szCs w:val="21"/>
                    </w:rPr>
                    <w:t>排放</w:t>
                  </w:r>
                </w:p>
                <w:p w14:paraId="173824DC">
                  <w:pPr>
                    <w:widowControl/>
                    <w:adjustRightInd w:val="0"/>
                    <w:snapToGrid w:val="0"/>
                    <w:jc w:val="center"/>
                    <w:rPr>
                      <w:b/>
                      <w:color w:val="auto"/>
                      <w:kern w:val="0"/>
                      <w:szCs w:val="21"/>
                    </w:rPr>
                  </w:pPr>
                  <w:r>
                    <w:rPr>
                      <w:b/>
                      <w:color w:val="auto"/>
                      <w:kern w:val="0"/>
                      <w:szCs w:val="21"/>
                    </w:rPr>
                    <w:t>时间</w:t>
                  </w:r>
                </w:p>
                <w:p w14:paraId="173824DD">
                  <w:pPr>
                    <w:adjustRightInd w:val="0"/>
                    <w:snapToGrid w:val="0"/>
                    <w:jc w:val="center"/>
                    <w:rPr>
                      <w:bCs/>
                      <w:color w:val="auto"/>
                      <w:kern w:val="0"/>
                      <w:szCs w:val="21"/>
                    </w:rPr>
                  </w:pPr>
                  <w:r>
                    <w:rPr>
                      <w:b/>
                      <w:color w:val="auto"/>
                      <w:kern w:val="0"/>
                      <w:szCs w:val="21"/>
                    </w:rPr>
                    <w:t>（h）</w:t>
                  </w:r>
                </w:p>
              </w:tc>
              <w:tc>
                <w:tcPr>
                  <w:tcW w:w="855" w:type="dxa"/>
                  <w:vMerge w:val="restart"/>
                  <w:vAlign w:val="center"/>
                </w:tcPr>
                <w:p w14:paraId="173824DE">
                  <w:pPr>
                    <w:adjustRightInd w:val="0"/>
                    <w:snapToGrid w:val="0"/>
                    <w:jc w:val="center"/>
                    <w:rPr>
                      <w:b/>
                      <w:color w:val="auto"/>
                      <w:kern w:val="0"/>
                      <w:szCs w:val="21"/>
                    </w:rPr>
                  </w:pPr>
                  <w:r>
                    <w:rPr>
                      <w:rFonts w:hint="eastAsia"/>
                      <w:b/>
                      <w:color w:val="auto"/>
                      <w:kern w:val="0"/>
                      <w:szCs w:val="21"/>
                    </w:rPr>
                    <w:t>排放口名称</w:t>
                  </w:r>
                </w:p>
              </w:tc>
            </w:tr>
            <w:tr w14:paraId="173824E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4E0">
                  <w:pPr>
                    <w:adjustRightInd w:val="0"/>
                    <w:snapToGrid w:val="0"/>
                    <w:jc w:val="center"/>
                    <w:rPr>
                      <w:b/>
                      <w:color w:val="auto"/>
                      <w:szCs w:val="21"/>
                    </w:rPr>
                  </w:pPr>
                </w:p>
              </w:tc>
              <w:tc>
                <w:tcPr>
                  <w:tcW w:w="1002" w:type="dxa"/>
                  <w:vMerge w:val="continue"/>
                  <w:vAlign w:val="center"/>
                </w:tcPr>
                <w:p w14:paraId="173824E1">
                  <w:pPr>
                    <w:adjustRightInd w:val="0"/>
                    <w:snapToGrid w:val="0"/>
                    <w:jc w:val="center"/>
                    <w:rPr>
                      <w:b/>
                      <w:color w:val="auto"/>
                      <w:szCs w:val="21"/>
                    </w:rPr>
                  </w:pPr>
                </w:p>
              </w:tc>
              <w:tc>
                <w:tcPr>
                  <w:tcW w:w="976" w:type="dxa"/>
                  <w:vMerge w:val="continue"/>
                  <w:vAlign w:val="center"/>
                </w:tcPr>
                <w:p w14:paraId="173824E2">
                  <w:pPr>
                    <w:adjustRightInd w:val="0"/>
                    <w:snapToGrid w:val="0"/>
                    <w:jc w:val="center"/>
                    <w:rPr>
                      <w:b/>
                      <w:color w:val="auto"/>
                      <w:szCs w:val="21"/>
                    </w:rPr>
                  </w:pPr>
                </w:p>
              </w:tc>
              <w:tc>
                <w:tcPr>
                  <w:tcW w:w="895" w:type="dxa"/>
                  <w:vMerge w:val="continue"/>
                  <w:vAlign w:val="center"/>
                </w:tcPr>
                <w:p w14:paraId="173824E3">
                  <w:pPr>
                    <w:adjustRightInd w:val="0"/>
                    <w:snapToGrid w:val="0"/>
                    <w:jc w:val="center"/>
                    <w:rPr>
                      <w:b/>
                      <w:color w:val="auto"/>
                      <w:szCs w:val="21"/>
                    </w:rPr>
                  </w:pPr>
                </w:p>
              </w:tc>
              <w:tc>
                <w:tcPr>
                  <w:tcW w:w="909" w:type="dxa"/>
                  <w:vMerge w:val="restart"/>
                  <w:vAlign w:val="center"/>
                </w:tcPr>
                <w:p w14:paraId="173824E4">
                  <w:pPr>
                    <w:widowControl/>
                    <w:adjustRightInd w:val="0"/>
                    <w:snapToGrid w:val="0"/>
                    <w:jc w:val="center"/>
                    <w:rPr>
                      <w:b/>
                      <w:color w:val="auto"/>
                      <w:kern w:val="0"/>
                      <w:szCs w:val="21"/>
                    </w:rPr>
                  </w:pPr>
                  <w:r>
                    <w:rPr>
                      <w:b/>
                      <w:color w:val="auto"/>
                      <w:kern w:val="0"/>
                      <w:szCs w:val="21"/>
                    </w:rPr>
                    <w:t>核算</w:t>
                  </w:r>
                </w:p>
                <w:p w14:paraId="173824E5">
                  <w:pPr>
                    <w:widowControl/>
                    <w:adjustRightInd w:val="0"/>
                    <w:snapToGrid w:val="0"/>
                    <w:jc w:val="center"/>
                    <w:rPr>
                      <w:b/>
                      <w:color w:val="auto"/>
                      <w:kern w:val="0"/>
                      <w:szCs w:val="21"/>
                    </w:rPr>
                  </w:pPr>
                  <w:r>
                    <w:rPr>
                      <w:b/>
                      <w:color w:val="auto"/>
                      <w:kern w:val="0"/>
                      <w:szCs w:val="21"/>
                    </w:rPr>
                    <w:t>方法</w:t>
                  </w:r>
                </w:p>
              </w:tc>
              <w:tc>
                <w:tcPr>
                  <w:tcW w:w="1933" w:type="dxa"/>
                  <w:gridSpan w:val="2"/>
                  <w:vAlign w:val="center"/>
                </w:tcPr>
                <w:p w14:paraId="173824E6">
                  <w:pPr>
                    <w:adjustRightInd w:val="0"/>
                    <w:snapToGrid w:val="0"/>
                    <w:jc w:val="center"/>
                    <w:rPr>
                      <w:b/>
                      <w:color w:val="auto"/>
                      <w:kern w:val="0"/>
                      <w:szCs w:val="21"/>
                    </w:rPr>
                  </w:pPr>
                  <w:r>
                    <w:rPr>
                      <w:b/>
                      <w:color w:val="auto"/>
                      <w:kern w:val="0"/>
                      <w:szCs w:val="21"/>
                    </w:rPr>
                    <w:t>产生量</w:t>
                  </w:r>
                </w:p>
              </w:tc>
              <w:tc>
                <w:tcPr>
                  <w:tcW w:w="1048" w:type="dxa"/>
                  <w:vMerge w:val="restart"/>
                  <w:vAlign w:val="center"/>
                </w:tcPr>
                <w:p w14:paraId="173824E7">
                  <w:pPr>
                    <w:widowControl/>
                    <w:adjustRightInd w:val="0"/>
                    <w:snapToGrid w:val="0"/>
                    <w:jc w:val="center"/>
                    <w:rPr>
                      <w:b/>
                      <w:color w:val="auto"/>
                      <w:kern w:val="0"/>
                      <w:szCs w:val="21"/>
                    </w:rPr>
                  </w:pPr>
                  <w:r>
                    <w:rPr>
                      <w:b/>
                      <w:color w:val="auto"/>
                      <w:kern w:val="0"/>
                      <w:szCs w:val="21"/>
                    </w:rPr>
                    <w:t>工艺</w:t>
                  </w:r>
                </w:p>
              </w:tc>
              <w:tc>
                <w:tcPr>
                  <w:tcW w:w="717" w:type="dxa"/>
                  <w:vMerge w:val="restart"/>
                  <w:vAlign w:val="center"/>
                </w:tcPr>
                <w:p w14:paraId="173824E8">
                  <w:pPr>
                    <w:widowControl/>
                    <w:adjustRightInd w:val="0"/>
                    <w:snapToGrid w:val="0"/>
                    <w:jc w:val="center"/>
                    <w:rPr>
                      <w:b/>
                      <w:color w:val="auto"/>
                      <w:kern w:val="0"/>
                      <w:szCs w:val="21"/>
                    </w:rPr>
                  </w:pPr>
                  <w:r>
                    <w:rPr>
                      <w:b/>
                      <w:color w:val="auto"/>
                      <w:kern w:val="0"/>
                      <w:szCs w:val="21"/>
                    </w:rPr>
                    <w:t>效率</w:t>
                  </w:r>
                </w:p>
              </w:tc>
              <w:tc>
                <w:tcPr>
                  <w:tcW w:w="815" w:type="dxa"/>
                  <w:vMerge w:val="restart"/>
                  <w:vAlign w:val="center"/>
                </w:tcPr>
                <w:p w14:paraId="173824E9">
                  <w:pPr>
                    <w:widowControl/>
                    <w:adjustRightInd w:val="0"/>
                    <w:snapToGrid w:val="0"/>
                    <w:jc w:val="center"/>
                    <w:rPr>
                      <w:b/>
                      <w:color w:val="auto"/>
                      <w:kern w:val="0"/>
                      <w:szCs w:val="21"/>
                    </w:rPr>
                  </w:pPr>
                  <w:r>
                    <w:rPr>
                      <w:b/>
                      <w:color w:val="auto"/>
                      <w:kern w:val="0"/>
                      <w:szCs w:val="21"/>
                    </w:rPr>
                    <w:t>核算</w:t>
                  </w:r>
                </w:p>
                <w:p w14:paraId="173824EA">
                  <w:pPr>
                    <w:widowControl/>
                    <w:adjustRightInd w:val="0"/>
                    <w:snapToGrid w:val="0"/>
                    <w:jc w:val="center"/>
                    <w:rPr>
                      <w:b/>
                      <w:color w:val="auto"/>
                      <w:kern w:val="0"/>
                      <w:szCs w:val="21"/>
                    </w:rPr>
                  </w:pPr>
                  <w:r>
                    <w:rPr>
                      <w:b/>
                      <w:color w:val="auto"/>
                      <w:kern w:val="0"/>
                      <w:szCs w:val="21"/>
                    </w:rPr>
                    <w:t>方法</w:t>
                  </w:r>
                </w:p>
              </w:tc>
              <w:tc>
                <w:tcPr>
                  <w:tcW w:w="1931" w:type="dxa"/>
                  <w:gridSpan w:val="2"/>
                  <w:vAlign w:val="center"/>
                </w:tcPr>
                <w:p w14:paraId="173824EB">
                  <w:pPr>
                    <w:adjustRightInd w:val="0"/>
                    <w:snapToGrid w:val="0"/>
                    <w:jc w:val="center"/>
                    <w:rPr>
                      <w:b/>
                      <w:color w:val="auto"/>
                      <w:kern w:val="0"/>
                      <w:szCs w:val="21"/>
                    </w:rPr>
                  </w:pPr>
                  <w:r>
                    <w:rPr>
                      <w:b/>
                      <w:color w:val="auto"/>
                      <w:kern w:val="0"/>
                      <w:szCs w:val="21"/>
                    </w:rPr>
                    <w:t>排放量</w:t>
                  </w:r>
                </w:p>
              </w:tc>
              <w:tc>
                <w:tcPr>
                  <w:tcW w:w="751" w:type="dxa"/>
                  <w:vMerge w:val="continue"/>
                  <w:vAlign w:val="center"/>
                </w:tcPr>
                <w:p w14:paraId="173824EC">
                  <w:pPr>
                    <w:adjustRightInd w:val="0"/>
                    <w:snapToGrid w:val="0"/>
                    <w:jc w:val="center"/>
                    <w:rPr>
                      <w:bCs/>
                      <w:color w:val="auto"/>
                      <w:szCs w:val="21"/>
                    </w:rPr>
                  </w:pPr>
                </w:p>
              </w:tc>
              <w:tc>
                <w:tcPr>
                  <w:tcW w:w="855" w:type="dxa"/>
                  <w:vMerge w:val="continue"/>
                  <w:vAlign w:val="center"/>
                </w:tcPr>
                <w:p w14:paraId="173824ED">
                  <w:pPr>
                    <w:adjustRightInd w:val="0"/>
                    <w:snapToGrid w:val="0"/>
                    <w:jc w:val="center"/>
                    <w:rPr>
                      <w:bCs/>
                      <w:color w:val="auto"/>
                      <w:szCs w:val="21"/>
                    </w:rPr>
                  </w:pPr>
                </w:p>
              </w:tc>
            </w:tr>
            <w:tr w14:paraId="173824F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4EF">
                  <w:pPr>
                    <w:adjustRightInd w:val="0"/>
                    <w:snapToGrid w:val="0"/>
                    <w:jc w:val="center"/>
                    <w:rPr>
                      <w:b/>
                      <w:color w:val="auto"/>
                      <w:szCs w:val="21"/>
                    </w:rPr>
                  </w:pPr>
                </w:p>
              </w:tc>
              <w:tc>
                <w:tcPr>
                  <w:tcW w:w="1002" w:type="dxa"/>
                  <w:vMerge w:val="continue"/>
                  <w:vAlign w:val="center"/>
                </w:tcPr>
                <w:p w14:paraId="173824F0">
                  <w:pPr>
                    <w:adjustRightInd w:val="0"/>
                    <w:snapToGrid w:val="0"/>
                    <w:jc w:val="center"/>
                    <w:rPr>
                      <w:b/>
                      <w:color w:val="auto"/>
                      <w:szCs w:val="21"/>
                    </w:rPr>
                  </w:pPr>
                </w:p>
              </w:tc>
              <w:tc>
                <w:tcPr>
                  <w:tcW w:w="976" w:type="dxa"/>
                  <w:vMerge w:val="continue"/>
                  <w:vAlign w:val="center"/>
                </w:tcPr>
                <w:p w14:paraId="173824F1">
                  <w:pPr>
                    <w:adjustRightInd w:val="0"/>
                    <w:snapToGrid w:val="0"/>
                    <w:jc w:val="center"/>
                    <w:rPr>
                      <w:b/>
                      <w:color w:val="auto"/>
                      <w:szCs w:val="21"/>
                    </w:rPr>
                  </w:pPr>
                </w:p>
              </w:tc>
              <w:tc>
                <w:tcPr>
                  <w:tcW w:w="895" w:type="dxa"/>
                  <w:vMerge w:val="continue"/>
                  <w:vAlign w:val="center"/>
                </w:tcPr>
                <w:p w14:paraId="173824F2">
                  <w:pPr>
                    <w:adjustRightInd w:val="0"/>
                    <w:snapToGrid w:val="0"/>
                    <w:jc w:val="center"/>
                    <w:rPr>
                      <w:b/>
                      <w:color w:val="auto"/>
                      <w:szCs w:val="21"/>
                    </w:rPr>
                  </w:pPr>
                </w:p>
              </w:tc>
              <w:tc>
                <w:tcPr>
                  <w:tcW w:w="909" w:type="dxa"/>
                  <w:vMerge w:val="continue"/>
                  <w:vAlign w:val="center"/>
                </w:tcPr>
                <w:p w14:paraId="173824F3">
                  <w:pPr>
                    <w:adjustRightInd w:val="0"/>
                    <w:snapToGrid w:val="0"/>
                    <w:jc w:val="center"/>
                    <w:rPr>
                      <w:b/>
                      <w:color w:val="auto"/>
                      <w:szCs w:val="21"/>
                    </w:rPr>
                  </w:pPr>
                </w:p>
              </w:tc>
              <w:tc>
                <w:tcPr>
                  <w:tcW w:w="1047" w:type="dxa"/>
                  <w:vAlign w:val="center"/>
                </w:tcPr>
                <w:p w14:paraId="173824F4">
                  <w:pPr>
                    <w:adjustRightInd w:val="0"/>
                    <w:snapToGrid w:val="0"/>
                    <w:jc w:val="center"/>
                    <w:rPr>
                      <w:b/>
                      <w:color w:val="auto"/>
                      <w:kern w:val="0"/>
                      <w:szCs w:val="21"/>
                    </w:rPr>
                  </w:pPr>
                  <w:r>
                    <w:rPr>
                      <w:b/>
                      <w:color w:val="auto"/>
                      <w:kern w:val="0"/>
                      <w:szCs w:val="21"/>
                    </w:rPr>
                    <w:t>（kg/h）</w:t>
                  </w:r>
                </w:p>
              </w:tc>
              <w:tc>
                <w:tcPr>
                  <w:tcW w:w="886" w:type="dxa"/>
                  <w:vAlign w:val="center"/>
                </w:tcPr>
                <w:p w14:paraId="173824F5">
                  <w:pPr>
                    <w:adjustRightInd w:val="0"/>
                    <w:snapToGrid w:val="0"/>
                    <w:jc w:val="center"/>
                    <w:rPr>
                      <w:b/>
                      <w:color w:val="auto"/>
                      <w:kern w:val="0"/>
                      <w:szCs w:val="21"/>
                    </w:rPr>
                  </w:pPr>
                  <w:r>
                    <w:rPr>
                      <w:b/>
                      <w:color w:val="auto"/>
                      <w:kern w:val="0"/>
                      <w:szCs w:val="21"/>
                    </w:rPr>
                    <w:t>（t/a）</w:t>
                  </w:r>
                </w:p>
              </w:tc>
              <w:tc>
                <w:tcPr>
                  <w:tcW w:w="1048" w:type="dxa"/>
                  <w:vMerge w:val="continue"/>
                  <w:vAlign w:val="center"/>
                </w:tcPr>
                <w:p w14:paraId="173824F6">
                  <w:pPr>
                    <w:adjustRightInd w:val="0"/>
                    <w:snapToGrid w:val="0"/>
                    <w:jc w:val="center"/>
                    <w:rPr>
                      <w:b/>
                      <w:color w:val="auto"/>
                      <w:szCs w:val="21"/>
                    </w:rPr>
                  </w:pPr>
                </w:p>
              </w:tc>
              <w:tc>
                <w:tcPr>
                  <w:tcW w:w="717" w:type="dxa"/>
                  <w:vMerge w:val="continue"/>
                  <w:vAlign w:val="center"/>
                </w:tcPr>
                <w:p w14:paraId="173824F7">
                  <w:pPr>
                    <w:adjustRightInd w:val="0"/>
                    <w:snapToGrid w:val="0"/>
                    <w:jc w:val="center"/>
                    <w:rPr>
                      <w:b/>
                      <w:color w:val="auto"/>
                      <w:szCs w:val="21"/>
                    </w:rPr>
                  </w:pPr>
                </w:p>
              </w:tc>
              <w:tc>
                <w:tcPr>
                  <w:tcW w:w="815" w:type="dxa"/>
                  <w:vMerge w:val="continue"/>
                  <w:vAlign w:val="center"/>
                </w:tcPr>
                <w:p w14:paraId="173824F8">
                  <w:pPr>
                    <w:adjustRightInd w:val="0"/>
                    <w:snapToGrid w:val="0"/>
                    <w:jc w:val="center"/>
                    <w:rPr>
                      <w:b/>
                      <w:color w:val="auto"/>
                      <w:szCs w:val="21"/>
                    </w:rPr>
                  </w:pPr>
                </w:p>
              </w:tc>
              <w:tc>
                <w:tcPr>
                  <w:tcW w:w="964" w:type="dxa"/>
                  <w:vAlign w:val="center"/>
                </w:tcPr>
                <w:p w14:paraId="173824F9">
                  <w:pPr>
                    <w:adjustRightInd w:val="0"/>
                    <w:snapToGrid w:val="0"/>
                    <w:jc w:val="center"/>
                    <w:rPr>
                      <w:b/>
                      <w:color w:val="auto"/>
                      <w:kern w:val="0"/>
                      <w:szCs w:val="21"/>
                    </w:rPr>
                  </w:pPr>
                  <w:r>
                    <w:rPr>
                      <w:b/>
                      <w:color w:val="auto"/>
                      <w:kern w:val="0"/>
                      <w:szCs w:val="21"/>
                    </w:rPr>
                    <w:t>（kg/h）</w:t>
                  </w:r>
                </w:p>
              </w:tc>
              <w:tc>
                <w:tcPr>
                  <w:tcW w:w="967" w:type="dxa"/>
                  <w:vAlign w:val="center"/>
                </w:tcPr>
                <w:p w14:paraId="173824FA">
                  <w:pPr>
                    <w:adjustRightInd w:val="0"/>
                    <w:snapToGrid w:val="0"/>
                    <w:jc w:val="center"/>
                    <w:rPr>
                      <w:b/>
                      <w:color w:val="auto"/>
                      <w:kern w:val="0"/>
                      <w:szCs w:val="21"/>
                    </w:rPr>
                  </w:pPr>
                  <w:r>
                    <w:rPr>
                      <w:b/>
                      <w:color w:val="auto"/>
                      <w:kern w:val="0"/>
                      <w:szCs w:val="21"/>
                    </w:rPr>
                    <w:t>（t/a）</w:t>
                  </w:r>
                </w:p>
              </w:tc>
              <w:tc>
                <w:tcPr>
                  <w:tcW w:w="751" w:type="dxa"/>
                  <w:vMerge w:val="continue"/>
                  <w:vAlign w:val="center"/>
                </w:tcPr>
                <w:p w14:paraId="173824FB">
                  <w:pPr>
                    <w:widowControl/>
                    <w:adjustRightInd w:val="0"/>
                    <w:snapToGrid w:val="0"/>
                    <w:jc w:val="center"/>
                    <w:rPr>
                      <w:bCs/>
                      <w:color w:val="auto"/>
                      <w:kern w:val="0"/>
                      <w:szCs w:val="21"/>
                    </w:rPr>
                  </w:pPr>
                </w:p>
              </w:tc>
              <w:tc>
                <w:tcPr>
                  <w:tcW w:w="855" w:type="dxa"/>
                  <w:vMerge w:val="continue"/>
                  <w:vAlign w:val="center"/>
                </w:tcPr>
                <w:p w14:paraId="173824FC">
                  <w:pPr>
                    <w:widowControl/>
                    <w:adjustRightInd w:val="0"/>
                    <w:snapToGrid w:val="0"/>
                    <w:jc w:val="center"/>
                    <w:rPr>
                      <w:bCs/>
                      <w:color w:val="auto"/>
                      <w:kern w:val="0"/>
                      <w:szCs w:val="21"/>
                    </w:rPr>
                  </w:pPr>
                </w:p>
              </w:tc>
            </w:tr>
            <w:tr w14:paraId="1738250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restart"/>
                  <w:vAlign w:val="center"/>
                </w:tcPr>
                <w:p w14:paraId="173824FE">
                  <w:pPr>
                    <w:widowControl/>
                    <w:adjustRightInd w:val="0"/>
                    <w:snapToGrid w:val="0"/>
                    <w:jc w:val="center"/>
                    <w:rPr>
                      <w:bCs/>
                      <w:color w:val="auto"/>
                      <w:szCs w:val="21"/>
                    </w:rPr>
                  </w:pPr>
                  <w:r>
                    <w:rPr>
                      <w:rFonts w:hint="eastAsia"/>
                      <w:bCs/>
                      <w:color w:val="auto"/>
                      <w:kern w:val="0"/>
                      <w:szCs w:val="21"/>
                    </w:rPr>
                    <w:t>投料</w:t>
                  </w:r>
                  <w:r>
                    <w:rPr>
                      <w:rFonts w:hint="eastAsia"/>
                      <w:bCs/>
                      <w:color w:val="auto"/>
                      <w:szCs w:val="21"/>
                    </w:rPr>
                    <w:t>搅拌、浸纱、挤拉固化成型</w:t>
                  </w:r>
                </w:p>
              </w:tc>
              <w:tc>
                <w:tcPr>
                  <w:tcW w:w="1002" w:type="dxa"/>
                  <w:vMerge w:val="restart"/>
                  <w:vAlign w:val="center"/>
                </w:tcPr>
                <w:p w14:paraId="173824FF">
                  <w:pPr>
                    <w:adjustRightInd w:val="0"/>
                    <w:snapToGrid w:val="0"/>
                    <w:jc w:val="center"/>
                    <w:rPr>
                      <w:bCs/>
                      <w:color w:val="auto"/>
                      <w:szCs w:val="21"/>
                    </w:rPr>
                  </w:pPr>
                  <w:r>
                    <w:rPr>
                      <w:rFonts w:hint="eastAsia"/>
                      <w:bCs/>
                      <w:color w:val="auto"/>
                      <w:kern w:val="0"/>
                      <w:szCs w:val="21"/>
                    </w:rPr>
                    <w:t>搅拌机、一体化拉挤切割机</w:t>
                  </w:r>
                </w:p>
              </w:tc>
              <w:tc>
                <w:tcPr>
                  <w:tcW w:w="976" w:type="dxa"/>
                  <w:vMerge w:val="restart"/>
                  <w:vAlign w:val="center"/>
                </w:tcPr>
                <w:p w14:paraId="17382500">
                  <w:pPr>
                    <w:adjustRightInd w:val="0"/>
                    <w:snapToGrid w:val="0"/>
                    <w:jc w:val="center"/>
                    <w:rPr>
                      <w:bCs/>
                      <w:color w:val="auto"/>
                      <w:szCs w:val="21"/>
                    </w:rPr>
                  </w:pPr>
                  <w:r>
                    <w:rPr>
                      <w:rFonts w:hint="eastAsia"/>
                      <w:bCs/>
                      <w:color w:val="auto"/>
                      <w:kern w:val="0"/>
                      <w:szCs w:val="21"/>
                    </w:rPr>
                    <w:t>有组织</w:t>
                  </w:r>
                </w:p>
              </w:tc>
              <w:tc>
                <w:tcPr>
                  <w:tcW w:w="895" w:type="dxa"/>
                  <w:vAlign w:val="center"/>
                </w:tcPr>
                <w:p w14:paraId="17382501">
                  <w:pPr>
                    <w:adjustRightInd w:val="0"/>
                    <w:snapToGrid w:val="0"/>
                    <w:jc w:val="center"/>
                    <w:rPr>
                      <w:bCs/>
                      <w:color w:val="auto"/>
                      <w:kern w:val="0"/>
                      <w:szCs w:val="21"/>
                    </w:rPr>
                  </w:pPr>
                  <w:r>
                    <w:rPr>
                      <w:bCs/>
                      <w:color w:val="auto"/>
                      <w:kern w:val="0"/>
                      <w:szCs w:val="21"/>
                    </w:rPr>
                    <w:t>颗粒物</w:t>
                  </w:r>
                </w:p>
              </w:tc>
              <w:tc>
                <w:tcPr>
                  <w:tcW w:w="909" w:type="dxa"/>
                  <w:vMerge w:val="restart"/>
                  <w:vAlign w:val="center"/>
                </w:tcPr>
                <w:p w14:paraId="17382502">
                  <w:pPr>
                    <w:widowControl/>
                    <w:adjustRightInd w:val="0"/>
                    <w:snapToGrid w:val="0"/>
                    <w:jc w:val="center"/>
                    <w:rPr>
                      <w:bCs/>
                      <w:color w:val="auto"/>
                      <w:kern w:val="0"/>
                      <w:szCs w:val="21"/>
                    </w:rPr>
                  </w:pPr>
                  <w:r>
                    <w:rPr>
                      <w:bCs/>
                      <w:color w:val="auto"/>
                      <w:kern w:val="0"/>
                      <w:szCs w:val="21"/>
                    </w:rPr>
                    <w:t>产污系数法</w:t>
                  </w:r>
                </w:p>
              </w:tc>
              <w:tc>
                <w:tcPr>
                  <w:tcW w:w="1047" w:type="dxa"/>
                  <w:vAlign w:val="center"/>
                </w:tcPr>
                <w:p w14:paraId="17382503">
                  <w:pPr>
                    <w:widowControl/>
                    <w:jc w:val="center"/>
                    <w:textAlignment w:val="center"/>
                    <w:rPr>
                      <w:color w:val="auto"/>
                      <w:kern w:val="0"/>
                      <w:szCs w:val="21"/>
                      <w:lang w:bidi="ar"/>
                    </w:rPr>
                  </w:pPr>
                  <w:r>
                    <w:rPr>
                      <w:color w:val="auto"/>
                      <w:kern w:val="0"/>
                      <w:szCs w:val="21"/>
                      <w:lang w:bidi="ar"/>
                    </w:rPr>
                    <w:t xml:space="preserve">0.0010 </w:t>
                  </w:r>
                </w:p>
              </w:tc>
              <w:tc>
                <w:tcPr>
                  <w:tcW w:w="886" w:type="dxa"/>
                  <w:vAlign w:val="center"/>
                </w:tcPr>
                <w:p w14:paraId="17382504">
                  <w:pPr>
                    <w:widowControl/>
                    <w:jc w:val="center"/>
                    <w:textAlignment w:val="center"/>
                    <w:rPr>
                      <w:color w:val="auto"/>
                      <w:kern w:val="0"/>
                      <w:szCs w:val="21"/>
                      <w:lang w:bidi="ar"/>
                    </w:rPr>
                  </w:pPr>
                  <w:r>
                    <w:rPr>
                      <w:color w:val="auto"/>
                      <w:kern w:val="0"/>
                      <w:szCs w:val="21"/>
                      <w:lang w:bidi="ar"/>
                    </w:rPr>
                    <w:t xml:space="preserve">0.0024 </w:t>
                  </w:r>
                </w:p>
              </w:tc>
              <w:tc>
                <w:tcPr>
                  <w:tcW w:w="1048" w:type="dxa"/>
                  <w:vAlign w:val="center"/>
                </w:tcPr>
                <w:p w14:paraId="17382505">
                  <w:pPr>
                    <w:widowControl/>
                    <w:adjustRightInd w:val="0"/>
                    <w:snapToGrid w:val="0"/>
                    <w:jc w:val="center"/>
                    <w:textAlignment w:val="center"/>
                    <w:rPr>
                      <w:bCs/>
                      <w:color w:val="auto"/>
                      <w:kern w:val="0"/>
                      <w:szCs w:val="21"/>
                      <w:lang w:bidi="ar"/>
                    </w:rPr>
                  </w:pPr>
                  <w:r>
                    <w:rPr>
                      <w:rFonts w:hint="eastAsia"/>
                      <w:bCs/>
                      <w:color w:val="auto"/>
                      <w:kern w:val="0"/>
                      <w:szCs w:val="21"/>
                      <w:lang w:bidi="ar"/>
                    </w:rPr>
                    <w:t>/</w:t>
                  </w:r>
                </w:p>
              </w:tc>
              <w:tc>
                <w:tcPr>
                  <w:tcW w:w="717" w:type="dxa"/>
                  <w:vAlign w:val="center"/>
                </w:tcPr>
                <w:p w14:paraId="17382506">
                  <w:pPr>
                    <w:widowControl/>
                    <w:adjustRightInd w:val="0"/>
                    <w:snapToGrid w:val="0"/>
                    <w:jc w:val="center"/>
                    <w:textAlignment w:val="center"/>
                    <w:rPr>
                      <w:bCs/>
                      <w:color w:val="auto"/>
                      <w:kern w:val="0"/>
                      <w:szCs w:val="21"/>
                      <w:lang w:bidi="ar"/>
                    </w:rPr>
                  </w:pPr>
                  <w:r>
                    <w:rPr>
                      <w:rFonts w:hint="eastAsia"/>
                      <w:bCs/>
                      <w:color w:val="auto"/>
                      <w:kern w:val="0"/>
                      <w:szCs w:val="21"/>
                      <w:lang w:bidi="ar"/>
                    </w:rPr>
                    <w:t>/</w:t>
                  </w:r>
                </w:p>
              </w:tc>
              <w:tc>
                <w:tcPr>
                  <w:tcW w:w="815" w:type="dxa"/>
                  <w:vMerge w:val="restart"/>
                  <w:vAlign w:val="center"/>
                </w:tcPr>
                <w:p w14:paraId="17382507">
                  <w:pPr>
                    <w:widowControl/>
                    <w:adjustRightInd w:val="0"/>
                    <w:snapToGrid w:val="0"/>
                    <w:jc w:val="center"/>
                    <w:textAlignment w:val="center"/>
                    <w:rPr>
                      <w:bCs/>
                      <w:color w:val="auto"/>
                      <w:kern w:val="0"/>
                      <w:szCs w:val="21"/>
                      <w:lang w:bidi="ar"/>
                    </w:rPr>
                  </w:pPr>
                  <w:r>
                    <w:rPr>
                      <w:rFonts w:hint="eastAsia"/>
                      <w:bCs/>
                      <w:color w:val="auto"/>
                      <w:kern w:val="0"/>
                      <w:szCs w:val="21"/>
                      <w:lang w:bidi="ar"/>
                    </w:rPr>
                    <w:t>产污系数法</w:t>
                  </w:r>
                </w:p>
              </w:tc>
              <w:tc>
                <w:tcPr>
                  <w:tcW w:w="964" w:type="dxa"/>
                  <w:vAlign w:val="center"/>
                </w:tcPr>
                <w:p w14:paraId="17382508">
                  <w:pPr>
                    <w:widowControl/>
                    <w:jc w:val="center"/>
                    <w:textAlignment w:val="center"/>
                    <w:rPr>
                      <w:bCs/>
                      <w:color w:val="auto"/>
                      <w:kern w:val="0"/>
                      <w:szCs w:val="21"/>
                    </w:rPr>
                  </w:pPr>
                  <w:r>
                    <w:rPr>
                      <w:color w:val="auto"/>
                      <w:kern w:val="0"/>
                      <w:szCs w:val="21"/>
                      <w:lang w:bidi="ar"/>
                    </w:rPr>
                    <w:t xml:space="preserve">0.0010 </w:t>
                  </w:r>
                </w:p>
              </w:tc>
              <w:tc>
                <w:tcPr>
                  <w:tcW w:w="967" w:type="dxa"/>
                  <w:vAlign w:val="center"/>
                </w:tcPr>
                <w:p w14:paraId="17382509">
                  <w:pPr>
                    <w:widowControl/>
                    <w:jc w:val="center"/>
                    <w:textAlignment w:val="center"/>
                    <w:rPr>
                      <w:bCs/>
                      <w:color w:val="auto"/>
                      <w:kern w:val="0"/>
                      <w:szCs w:val="21"/>
                    </w:rPr>
                  </w:pPr>
                  <w:r>
                    <w:rPr>
                      <w:color w:val="auto"/>
                      <w:kern w:val="0"/>
                      <w:szCs w:val="21"/>
                      <w:lang w:bidi="ar"/>
                    </w:rPr>
                    <w:t xml:space="preserve">0.0024 </w:t>
                  </w:r>
                </w:p>
              </w:tc>
              <w:tc>
                <w:tcPr>
                  <w:tcW w:w="751" w:type="dxa"/>
                  <w:vMerge w:val="restart"/>
                  <w:vAlign w:val="center"/>
                </w:tcPr>
                <w:p w14:paraId="1738250A">
                  <w:pPr>
                    <w:widowControl/>
                    <w:adjustRightInd w:val="0"/>
                    <w:snapToGrid w:val="0"/>
                    <w:jc w:val="center"/>
                    <w:textAlignment w:val="center"/>
                    <w:rPr>
                      <w:bCs/>
                      <w:color w:val="auto"/>
                      <w:kern w:val="0"/>
                      <w:szCs w:val="21"/>
                    </w:rPr>
                  </w:pPr>
                  <w:r>
                    <w:rPr>
                      <w:rFonts w:hint="eastAsia"/>
                      <w:bCs/>
                      <w:color w:val="auto"/>
                      <w:kern w:val="0"/>
                      <w:szCs w:val="21"/>
                      <w:lang w:bidi="ar"/>
                    </w:rPr>
                    <w:t>2400</w:t>
                  </w:r>
                </w:p>
              </w:tc>
              <w:tc>
                <w:tcPr>
                  <w:tcW w:w="855" w:type="dxa"/>
                  <w:vMerge w:val="restart"/>
                  <w:vAlign w:val="center"/>
                </w:tcPr>
                <w:p w14:paraId="1738250B">
                  <w:pPr>
                    <w:widowControl/>
                    <w:adjustRightInd w:val="0"/>
                    <w:snapToGrid w:val="0"/>
                    <w:jc w:val="center"/>
                    <w:textAlignment w:val="center"/>
                    <w:rPr>
                      <w:bCs/>
                      <w:color w:val="auto"/>
                      <w:kern w:val="0"/>
                      <w:szCs w:val="21"/>
                      <w:lang w:bidi="ar"/>
                    </w:rPr>
                  </w:pPr>
                  <w:r>
                    <w:rPr>
                      <w:rFonts w:hint="eastAsia"/>
                      <w:bCs/>
                      <w:color w:val="auto"/>
                      <w:kern w:val="0"/>
                      <w:szCs w:val="21"/>
                      <w:lang w:bidi="ar"/>
                    </w:rPr>
                    <w:t>DA001</w:t>
                  </w:r>
                </w:p>
              </w:tc>
            </w:tr>
            <w:tr w14:paraId="1738251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50D">
                  <w:pPr>
                    <w:adjustRightInd w:val="0"/>
                    <w:snapToGrid w:val="0"/>
                    <w:jc w:val="center"/>
                    <w:rPr>
                      <w:bCs/>
                      <w:color w:val="auto"/>
                      <w:szCs w:val="21"/>
                    </w:rPr>
                  </w:pPr>
                </w:p>
              </w:tc>
              <w:tc>
                <w:tcPr>
                  <w:tcW w:w="1002" w:type="dxa"/>
                  <w:vMerge w:val="continue"/>
                  <w:vAlign w:val="center"/>
                </w:tcPr>
                <w:p w14:paraId="1738250E">
                  <w:pPr>
                    <w:adjustRightInd w:val="0"/>
                    <w:snapToGrid w:val="0"/>
                    <w:jc w:val="center"/>
                    <w:rPr>
                      <w:bCs/>
                      <w:color w:val="auto"/>
                      <w:szCs w:val="21"/>
                    </w:rPr>
                  </w:pPr>
                </w:p>
              </w:tc>
              <w:tc>
                <w:tcPr>
                  <w:tcW w:w="976" w:type="dxa"/>
                  <w:vMerge w:val="continue"/>
                  <w:vAlign w:val="center"/>
                </w:tcPr>
                <w:p w14:paraId="1738250F">
                  <w:pPr>
                    <w:adjustRightInd w:val="0"/>
                    <w:snapToGrid w:val="0"/>
                    <w:jc w:val="center"/>
                    <w:rPr>
                      <w:bCs/>
                      <w:color w:val="auto"/>
                      <w:szCs w:val="21"/>
                    </w:rPr>
                  </w:pPr>
                </w:p>
              </w:tc>
              <w:tc>
                <w:tcPr>
                  <w:tcW w:w="895" w:type="dxa"/>
                  <w:vAlign w:val="center"/>
                </w:tcPr>
                <w:p w14:paraId="17382510">
                  <w:pPr>
                    <w:adjustRightInd w:val="0"/>
                    <w:snapToGrid w:val="0"/>
                    <w:jc w:val="center"/>
                    <w:rPr>
                      <w:bCs/>
                      <w:color w:val="auto"/>
                      <w:szCs w:val="21"/>
                    </w:rPr>
                  </w:pPr>
                  <w:r>
                    <w:rPr>
                      <w:rFonts w:hint="eastAsia"/>
                      <w:bCs/>
                      <w:color w:val="auto"/>
                      <w:szCs w:val="21"/>
                    </w:rPr>
                    <w:t>非甲烷总烃</w:t>
                  </w:r>
                </w:p>
              </w:tc>
              <w:tc>
                <w:tcPr>
                  <w:tcW w:w="909" w:type="dxa"/>
                  <w:vMerge w:val="continue"/>
                  <w:vAlign w:val="center"/>
                </w:tcPr>
                <w:p w14:paraId="17382511">
                  <w:pPr>
                    <w:adjustRightInd w:val="0"/>
                    <w:snapToGrid w:val="0"/>
                    <w:jc w:val="center"/>
                    <w:rPr>
                      <w:bCs/>
                      <w:color w:val="auto"/>
                      <w:szCs w:val="21"/>
                    </w:rPr>
                  </w:pPr>
                </w:p>
              </w:tc>
              <w:tc>
                <w:tcPr>
                  <w:tcW w:w="1047" w:type="dxa"/>
                  <w:vAlign w:val="center"/>
                </w:tcPr>
                <w:p w14:paraId="17382512">
                  <w:pPr>
                    <w:widowControl/>
                    <w:jc w:val="center"/>
                    <w:textAlignment w:val="center"/>
                    <w:rPr>
                      <w:color w:val="auto"/>
                      <w:kern w:val="0"/>
                      <w:szCs w:val="21"/>
                      <w:lang w:bidi="ar"/>
                    </w:rPr>
                  </w:pPr>
                  <w:r>
                    <w:rPr>
                      <w:color w:val="auto"/>
                      <w:kern w:val="0"/>
                      <w:szCs w:val="21"/>
                      <w:lang w:bidi="ar"/>
                    </w:rPr>
                    <w:t xml:space="preserve">0.0208 </w:t>
                  </w:r>
                </w:p>
              </w:tc>
              <w:tc>
                <w:tcPr>
                  <w:tcW w:w="886" w:type="dxa"/>
                  <w:vAlign w:val="center"/>
                </w:tcPr>
                <w:p w14:paraId="17382513">
                  <w:pPr>
                    <w:widowControl/>
                    <w:jc w:val="center"/>
                    <w:textAlignment w:val="center"/>
                    <w:rPr>
                      <w:color w:val="auto"/>
                      <w:kern w:val="0"/>
                      <w:szCs w:val="21"/>
                      <w:lang w:bidi="ar"/>
                    </w:rPr>
                  </w:pPr>
                  <w:r>
                    <w:rPr>
                      <w:color w:val="auto"/>
                      <w:kern w:val="0"/>
                      <w:szCs w:val="21"/>
                      <w:lang w:bidi="ar"/>
                    </w:rPr>
                    <w:t xml:space="preserve">0.0499 </w:t>
                  </w:r>
                </w:p>
              </w:tc>
              <w:tc>
                <w:tcPr>
                  <w:tcW w:w="1048" w:type="dxa"/>
                  <w:shd w:val="clear" w:color="auto" w:fill="auto"/>
                  <w:vAlign w:val="center"/>
                </w:tcPr>
                <w:p w14:paraId="17382514">
                  <w:pPr>
                    <w:widowControl/>
                    <w:adjustRightInd w:val="0"/>
                    <w:snapToGrid w:val="0"/>
                    <w:jc w:val="center"/>
                    <w:textAlignment w:val="center"/>
                    <w:rPr>
                      <w:bCs/>
                      <w:color w:val="auto"/>
                      <w:kern w:val="0"/>
                      <w:szCs w:val="21"/>
                      <w:lang w:bidi="ar"/>
                    </w:rPr>
                  </w:pPr>
                  <w:r>
                    <w:rPr>
                      <w:rFonts w:hint="eastAsia"/>
                      <w:bCs/>
                      <w:color w:val="auto"/>
                      <w:kern w:val="0"/>
                      <w:szCs w:val="21"/>
                      <w:lang w:bidi="ar"/>
                    </w:rPr>
                    <w:t>二级</w:t>
                  </w:r>
                </w:p>
                <w:p w14:paraId="17382515">
                  <w:pPr>
                    <w:widowControl/>
                    <w:adjustRightInd w:val="0"/>
                    <w:snapToGrid w:val="0"/>
                    <w:jc w:val="center"/>
                    <w:textAlignment w:val="center"/>
                    <w:rPr>
                      <w:bCs/>
                      <w:color w:val="auto"/>
                      <w:kern w:val="0"/>
                      <w:szCs w:val="21"/>
                      <w:lang w:bidi="ar"/>
                    </w:rPr>
                  </w:pPr>
                  <w:r>
                    <w:rPr>
                      <w:rFonts w:hint="eastAsia"/>
                      <w:bCs/>
                      <w:color w:val="auto"/>
                      <w:kern w:val="0"/>
                      <w:szCs w:val="21"/>
                      <w:lang w:bidi="ar"/>
                    </w:rPr>
                    <w:t>活性炭</w:t>
                  </w:r>
                </w:p>
              </w:tc>
              <w:tc>
                <w:tcPr>
                  <w:tcW w:w="717" w:type="dxa"/>
                  <w:vAlign w:val="center"/>
                </w:tcPr>
                <w:p w14:paraId="17382516">
                  <w:pPr>
                    <w:widowControl/>
                    <w:adjustRightInd w:val="0"/>
                    <w:snapToGrid w:val="0"/>
                    <w:jc w:val="center"/>
                    <w:textAlignment w:val="center"/>
                    <w:rPr>
                      <w:bCs/>
                      <w:color w:val="auto"/>
                      <w:szCs w:val="21"/>
                    </w:rPr>
                  </w:pPr>
                  <w:r>
                    <w:rPr>
                      <w:bCs/>
                      <w:color w:val="auto"/>
                      <w:kern w:val="0"/>
                      <w:szCs w:val="21"/>
                    </w:rPr>
                    <w:t>9</w:t>
                  </w:r>
                  <w:r>
                    <w:rPr>
                      <w:rFonts w:hint="eastAsia"/>
                      <w:bCs/>
                      <w:color w:val="auto"/>
                      <w:kern w:val="0"/>
                      <w:szCs w:val="21"/>
                    </w:rPr>
                    <w:t>0</w:t>
                  </w:r>
                  <w:r>
                    <w:rPr>
                      <w:bCs/>
                      <w:color w:val="auto"/>
                      <w:kern w:val="0"/>
                      <w:szCs w:val="21"/>
                    </w:rPr>
                    <w:t>%</w:t>
                  </w:r>
                </w:p>
              </w:tc>
              <w:tc>
                <w:tcPr>
                  <w:tcW w:w="815" w:type="dxa"/>
                  <w:vMerge w:val="continue"/>
                  <w:vAlign w:val="center"/>
                </w:tcPr>
                <w:p w14:paraId="17382517">
                  <w:pPr>
                    <w:widowControl/>
                    <w:adjustRightInd w:val="0"/>
                    <w:snapToGrid w:val="0"/>
                    <w:jc w:val="center"/>
                    <w:rPr>
                      <w:bCs/>
                      <w:color w:val="auto"/>
                      <w:szCs w:val="21"/>
                    </w:rPr>
                  </w:pPr>
                </w:p>
              </w:tc>
              <w:tc>
                <w:tcPr>
                  <w:tcW w:w="964" w:type="dxa"/>
                  <w:vAlign w:val="center"/>
                </w:tcPr>
                <w:p w14:paraId="17382518">
                  <w:pPr>
                    <w:widowControl/>
                    <w:jc w:val="center"/>
                    <w:textAlignment w:val="center"/>
                    <w:rPr>
                      <w:bCs/>
                      <w:color w:val="auto"/>
                      <w:kern w:val="0"/>
                      <w:szCs w:val="21"/>
                    </w:rPr>
                  </w:pPr>
                  <w:r>
                    <w:rPr>
                      <w:color w:val="auto"/>
                      <w:kern w:val="0"/>
                      <w:szCs w:val="21"/>
                      <w:lang w:bidi="ar"/>
                    </w:rPr>
                    <w:t xml:space="preserve">0.0021 </w:t>
                  </w:r>
                </w:p>
              </w:tc>
              <w:tc>
                <w:tcPr>
                  <w:tcW w:w="967" w:type="dxa"/>
                  <w:vAlign w:val="center"/>
                </w:tcPr>
                <w:p w14:paraId="17382519">
                  <w:pPr>
                    <w:widowControl/>
                    <w:jc w:val="center"/>
                    <w:textAlignment w:val="center"/>
                    <w:rPr>
                      <w:bCs/>
                      <w:color w:val="auto"/>
                      <w:kern w:val="0"/>
                      <w:szCs w:val="21"/>
                    </w:rPr>
                  </w:pPr>
                  <w:r>
                    <w:rPr>
                      <w:color w:val="auto"/>
                      <w:kern w:val="0"/>
                      <w:szCs w:val="21"/>
                      <w:lang w:bidi="ar"/>
                    </w:rPr>
                    <w:t xml:space="preserve">0.0050 </w:t>
                  </w:r>
                </w:p>
              </w:tc>
              <w:tc>
                <w:tcPr>
                  <w:tcW w:w="751" w:type="dxa"/>
                  <w:vMerge w:val="continue"/>
                  <w:vAlign w:val="center"/>
                </w:tcPr>
                <w:p w14:paraId="1738251A">
                  <w:pPr>
                    <w:widowControl/>
                    <w:adjustRightInd w:val="0"/>
                    <w:snapToGrid w:val="0"/>
                    <w:jc w:val="center"/>
                    <w:textAlignment w:val="center"/>
                    <w:rPr>
                      <w:bCs/>
                      <w:color w:val="auto"/>
                      <w:kern w:val="0"/>
                      <w:szCs w:val="21"/>
                    </w:rPr>
                  </w:pPr>
                </w:p>
              </w:tc>
              <w:tc>
                <w:tcPr>
                  <w:tcW w:w="855" w:type="dxa"/>
                  <w:vMerge w:val="continue"/>
                  <w:vAlign w:val="center"/>
                </w:tcPr>
                <w:p w14:paraId="1738251B">
                  <w:pPr>
                    <w:widowControl/>
                    <w:adjustRightInd w:val="0"/>
                    <w:snapToGrid w:val="0"/>
                    <w:jc w:val="center"/>
                    <w:textAlignment w:val="center"/>
                    <w:rPr>
                      <w:bCs/>
                      <w:color w:val="auto"/>
                      <w:kern w:val="0"/>
                      <w:szCs w:val="21"/>
                    </w:rPr>
                  </w:pPr>
                </w:p>
              </w:tc>
            </w:tr>
            <w:tr w14:paraId="1738252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51D">
                  <w:pPr>
                    <w:adjustRightInd w:val="0"/>
                    <w:snapToGrid w:val="0"/>
                    <w:jc w:val="center"/>
                    <w:rPr>
                      <w:bCs/>
                      <w:color w:val="auto"/>
                      <w:szCs w:val="21"/>
                    </w:rPr>
                  </w:pPr>
                </w:p>
              </w:tc>
              <w:tc>
                <w:tcPr>
                  <w:tcW w:w="1002" w:type="dxa"/>
                  <w:vMerge w:val="continue"/>
                  <w:vAlign w:val="center"/>
                </w:tcPr>
                <w:p w14:paraId="1738251E">
                  <w:pPr>
                    <w:adjustRightInd w:val="0"/>
                    <w:snapToGrid w:val="0"/>
                    <w:jc w:val="center"/>
                    <w:rPr>
                      <w:bCs/>
                      <w:color w:val="auto"/>
                      <w:szCs w:val="21"/>
                    </w:rPr>
                  </w:pPr>
                </w:p>
              </w:tc>
              <w:tc>
                <w:tcPr>
                  <w:tcW w:w="976" w:type="dxa"/>
                  <w:vMerge w:val="continue"/>
                  <w:vAlign w:val="center"/>
                </w:tcPr>
                <w:p w14:paraId="1738251F">
                  <w:pPr>
                    <w:adjustRightInd w:val="0"/>
                    <w:snapToGrid w:val="0"/>
                    <w:jc w:val="center"/>
                    <w:rPr>
                      <w:bCs/>
                      <w:color w:val="auto"/>
                      <w:szCs w:val="21"/>
                    </w:rPr>
                  </w:pPr>
                </w:p>
              </w:tc>
              <w:tc>
                <w:tcPr>
                  <w:tcW w:w="895" w:type="dxa"/>
                  <w:vAlign w:val="center"/>
                </w:tcPr>
                <w:p w14:paraId="17382520">
                  <w:pPr>
                    <w:adjustRightInd w:val="0"/>
                    <w:snapToGrid w:val="0"/>
                    <w:jc w:val="center"/>
                    <w:rPr>
                      <w:bCs/>
                      <w:color w:val="auto"/>
                      <w:szCs w:val="21"/>
                    </w:rPr>
                  </w:pPr>
                  <w:r>
                    <w:rPr>
                      <w:rFonts w:hint="eastAsia"/>
                      <w:bCs/>
                      <w:color w:val="auto"/>
                      <w:szCs w:val="21"/>
                    </w:rPr>
                    <w:t>苯乙烯</w:t>
                  </w:r>
                </w:p>
              </w:tc>
              <w:tc>
                <w:tcPr>
                  <w:tcW w:w="909" w:type="dxa"/>
                  <w:vMerge w:val="continue"/>
                  <w:vAlign w:val="center"/>
                </w:tcPr>
                <w:p w14:paraId="17382521">
                  <w:pPr>
                    <w:adjustRightInd w:val="0"/>
                    <w:snapToGrid w:val="0"/>
                    <w:jc w:val="center"/>
                    <w:rPr>
                      <w:bCs/>
                      <w:color w:val="auto"/>
                      <w:szCs w:val="21"/>
                    </w:rPr>
                  </w:pPr>
                </w:p>
              </w:tc>
              <w:tc>
                <w:tcPr>
                  <w:tcW w:w="1047" w:type="dxa"/>
                  <w:vAlign w:val="center"/>
                </w:tcPr>
                <w:p w14:paraId="17382522">
                  <w:pPr>
                    <w:widowControl/>
                    <w:jc w:val="center"/>
                    <w:textAlignment w:val="center"/>
                    <w:rPr>
                      <w:color w:val="auto"/>
                      <w:kern w:val="0"/>
                      <w:szCs w:val="21"/>
                      <w:lang w:bidi="ar"/>
                    </w:rPr>
                  </w:pPr>
                  <w:r>
                    <w:rPr>
                      <w:color w:val="auto"/>
                      <w:kern w:val="0"/>
                      <w:szCs w:val="21"/>
                      <w:lang w:bidi="ar"/>
                    </w:rPr>
                    <w:t xml:space="preserve">0.0188 </w:t>
                  </w:r>
                </w:p>
              </w:tc>
              <w:tc>
                <w:tcPr>
                  <w:tcW w:w="886" w:type="dxa"/>
                  <w:vAlign w:val="center"/>
                </w:tcPr>
                <w:p w14:paraId="17382523">
                  <w:pPr>
                    <w:widowControl/>
                    <w:jc w:val="center"/>
                    <w:textAlignment w:val="center"/>
                    <w:rPr>
                      <w:color w:val="auto"/>
                      <w:kern w:val="0"/>
                      <w:szCs w:val="21"/>
                      <w:lang w:bidi="ar"/>
                    </w:rPr>
                  </w:pPr>
                  <w:r>
                    <w:rPr>
                      <w:color w:val="auto"/>
                      <w:kern w:val="0"/>
                      <w:szCs w:val="21"/>
                      <w:lang w:bidi="ar"/>
                    </w:rPr>
                    <w:t xml:space="preserve">0.0452 </w:t>
                  </w:r>
                </w:p>
              </w:tc>
              <w:tc>
                <w:tcPr>
                  <w:tcW w:w="1048" w:type="dxa"/>
                  <w:shd w:val="clear" w:color="auto" w:fill="auto"/>
                  <w:vAlign w:val="center"/>
                </w:tcPr>
                <w:p w14:paraId="17382524">
                  <w:pPr>
                    <w:widowControl/>
                    <w:adjustRightInd w:val="0"/>
                    <w:snapToGrid w:val="0"/>
                    <w:jc w:val="center"/>
                    <w:textAlignment w:val="center"/>
                    <w:rPr>
                      <w:bCs/>
                      <w:color w:val="auto"/>
                      <w:kern w:val="0"/>
                      <w:szCs w:val="21"/>
                      <w:lang w:bidi="ar"/>
                    </w:rPr>
                  </w:pPr>
                  <w:r>
                    <w:rPr>
                      <w:rFonts w:hint="eastAsia"/>
                      <w:bCs/>
                      <w:color w:val="auto"/>
                      <w:kern w:val="0"/>
                      <w:szCs w:val="21"/>
                      <w:lang w:bidi="ar"/>
                    </w:rPr>
                    <w:t>二级</w:t>
                  </w:r>
                </w:p>
                <w:p w14:paraId="17382525">
                  <w:pPr>
                    <w:widowControl/>
                    <w:adjustRightInd w:val="0"/>
                    <w:snapToGrid w:val="0"/>
                    <w:jc w:val="center"/>
                    <w:textAlignment w:val="center"/>
                    <w:rPr>
                      <w:bCs/>
                      <w:color w:val="auto"/>
                      <w:kern w:val="0"/>
                      <w:szCs w:val="21"/>
                      <w:lang w:bidi="ar"/>
                    </w:rPr>
                  </w:pPr>
                  <w:r>
                    <w:rPr>
                      <w:rFonts w:hint="eastAsia"/>
                      <w:bCs/>
                      <w:color w:val="auto"/>
                      <w:kern w:val="0"/>
                      <w:szCs w:val="21"/>
                      <w:lang w:bidi="ar"/>
                    </w:rPr>
                    <w:t>活性炭</w:t>
                  </w:r>
                </w:p>
              </w:tc>
              <w:tc>
                <w:tcPr>
                  <w:tcW w:w="717" w:type="dxa"/>
                  <w:vAlign w:val="center"/>
                </w:tcPr>
                <w:p w14:paraId="17382526">
                  <w:pPr>
                    <w:widowControl/>
                    <w:adjustRightInd w:val="0"/>
                    <w:snapToGrid w:val="0"/>
                    <w:jc w:val="center"/>
                    <w:textAlignment w:val="center"/>
                    <w:rPr>
                      <w:bCs/>
                      <w:color w:val="auto"/>
                      <w:kern w:val="0"/>
                      <w:szCs w:val="21"/>
                      <w:lang w:bidi="ar"/>
                    </w:rPr>
                  </w:pPr>
                  <w:r>
                    <w:rPr>
                      <w:bCs/>
                      <w:color w:val="auto"/>
                      <w:kern w:val="0"/>
                      <w:szCs w:val="21"/>
                    </w:rPr>
                    <w:t>9</w:t>
                  </w:r>
                  <w:r>
                    <w:rPr>
                      <w:rFonts w:hint="eastAsia"/>
                      <w:bCs/>
                      <w:color w:val="auto"/>
                      <w:kern w:val="0"/>
                      <w:szCs w:val="21"/>
                    </w:rPr>
                    <w:t>0</w:t>
                  </w:r>
                  <w:r>
                    <w:rPr>
                      <w:bCs/>
                      <w:color w:val="auto"/>
                      <w:kern w:val="0"/>
                      <w:szCs w:val="21"/>
                    </w:rPr>
                    <w:t>%</w:t>
                  </w:r>
                </w:p>
              </w:tc>
              <w:tc>
                <w:tcPr>
                  <w:tcW w:w="815" w:type="dxa"/>
                  <w:vMerge w:val="continue"/>
                  <w:vAlign w:val="center"/>
                </w:tcPr>
                <w:p w14:paraId="17382527">
                  <w:pPr>
                    <w:widowControl/>
                    <w:adjustRightInd w:val="0"/>
                    <w:snapToGrid w:val="0"/>
                    <w:jc w:val="center"/>
                    <w:rPr>
                      <w:bCs/>
                      <w:color w:val="auto"/>
                      <w:szCs w:val="21"/>
                    </w:rPr>
                  </w:pPr>
                </w:p>
              </w:tc>
              <w:tc>
                <w:tcPr>
                  <w:tcW w:w="964" w:type="dxa"/>
                  <w:vAlign w:val="center"/>
                </w:tcPr>
                <w:p w14:paraId="17382528">
                  <w:pPr>
                    <w:widowControl/>
                    <w:jc w:val="center"/>
                    <w:textAlignment w:val="center"/>
                    <w:rPr>
                      <w:bCs/>
                      <w:color w:val="auto"/>
                      <w:kern w:val="0"/>
                      <w:szCs w:val="21"/>
                    </w:rPr>
                  </w:pPr>
                  <w:r>
                    <w:rPr>
                      <w:color w:val="auto"/>
                      <w:kern w:val="0"/>
                      <w:szCs w:val="21"/>
                      <w:lang w:bidi="ar"/>
                    </w:rPr>
                    <w:t xml:space="preserve">0.0019 </w:t>
                  </w:r>
                </w:p>
              </w:tc>
              <w:tc>
                <w:tcPr>
                  <w:tcW w:w="967" w:type="dxa"/>
                  <w:vAlign w:val="center"/>
                </w:tcPr>
                <w:p w14:paraId="17382529">
                  <w:pPr>
                    <w:widowControl/>
                    <w:jc w:val="center"/>
                    <w:textAlignment w:val="center"/>
                    <w:rPr>
                      <w:bCs/>
                      <w:color w:val="auto"/>
                      <w:kern w:val="0"/>
                      <w:szCs w:val="21"/>
                    </w:rPr>
                  </w:pPr>
                  <w:r>
                    <w:rPr>
                      <w:color w:val="auto"/>
                      <w:kern w:val="0"/>
                      <w:szCs w:val="21"/>
                      <w:lang w:bidi="ar"/>
                    </w:rPr>
                    <w:t xml:space="preserve">0.0045 </w:t>
                  </w:r>
                </w:p>
              </w:tc>
              <w:tc>
                <w:tcPr>
                  <w:tcW w:w="751" w:type="dxa"/>
                  <w:vMerge w:val="continue"/>
                  <w:vAlign w:val="center"/>
                </w:tcPr>
                <w:p w14:paraId="1738252A">
                  <w:pPr>
                    <w:widowControl/>
                    <w:adjustRightInd w:val="0"/>
                    <w:snapToGrid w:val="0"/>
                    <w:jc w:val="center"/>
                    <w:rPr>
                      <w:bCs/>
                      <w:color w:val="auto"/>
                      <w:kern w:val="0"/>
                      <w:szCs w:val="21"/>
                    </w:rPr>
                  </w:pPr>
                </w:p>
              </w:tc>
              <w:tc>
                <w:tcPr>
                  <w:tcW w:w="855" w:type="dxa"/>
                  <w:vMerge w:val="continue"/>
                  <w:vAlign w:val="center"/>
                </w:tcPr>
                <w:p w14:paraId="1738252B">
                  <w:pPr>
                    <w:widowControl/>
                    <w:adjustRightInd w:val="0"/>
                    <w:snapToGrid w:val="0"/>
                    <w:jc w:val="center"/>
                    <w:rPr>
                      <w:bCs/>
                      <w:color w:val="auto"/>
                      <w:kern w:val="0"/>
                      <w:szCs w:val="21"/>
                    </w:rPr>
                  </w:pPr>
                </w:p>
              </w:tc>
            </w:tr>
            <w:tr w14:paraId="1738253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52D">
                  <w:pPr>
                    <w:adjustRightInd w:val="0"/>
                    <w:snapToGrid w:val="0"/>
                    <w:jc w:val="center"/>
                    <w:rPr>
                      <w:bCs/>
                      <w:color w:val="auto"/>
                      <w:szCs w:val="21"/>
                    </w:rPr>
                  </w:pPr>
                </w:p>
              </w:tc>
              <w:tc>
                <w:tcPr>
                  <w:tcW w:w="1002" w:type="dxa"/>
                  <w:vMerge w:val="continue"/>
                  <w:vAlign w:val="center"/>
                </w:tcPr>
                <w:p w14:paraId="1738252E">
                  <w:pPr>
                    <w:adjustRightInd w:val="0"/>
                    <w:snapToGrid w:val="0"/>
                    <w:jc w:val="center"/>
                    <w:rPr>
                      <w:bCs/>
                      <w:color w:val="auto"/>
                      <w:szCs w:val="21"/>
                    </w:rPr>
                  </w:pPr>
                </w:p>
              </w:tc>
              <w:tc>
                <w:tcPr>
                  <w:tcW w:w="976" w:type="dxa"/>
                  <w:vMerge w:val="restart"/>
                  <w:vAlign w:val="center"/>
                </w:tcPr>
                <w:p w14:paraId="1738252F">
                  <w:pPr>
                    <w:adjustRightInd w:val="0"/>
                    <w:snapToGrid w:val="0"/>
                    <w:jc w:val="center"/>
                    <w:rPr>
                      <w:bCs/>
                      <w:color w:val="auto"/>
                      <w:szCs w:val="21"/>
                    </w:rPr>
                  </w:pPr>
                  <w:r>
                    <w:rPr>
                      <w:rFonts w:hint="eastAsia"/>
                      <w:bCs/>
                      <w:color w:val="auto"/>
                      <w:szCs w:val="21"/>
                    </w:rPr>
                    <w:t>无组织</w:t>
                  </w:r>
                </w:p>
              </w:tc>
              <w:tc>
                <w:tcPr>
                  <w:tcW w:w="895" w:type="dxa"/>
                  <w:vAlign w:val="center"/>
                </w:tcPr>
                <w:p w14:paraId="17382530">
                  <w:pPr>
                    <w:adjustRightInd w:val="0"/>
                    <w:snapToGrid w:val="0"/>
                    <w:jc w:val="center"/>
                    <w:rPr>
                      <w:bCs/>
                      <w:color w:val="auto"/>
                      <w:szCs w:val="21"/>
                    </w:rPr>
                  </w:pPr>
                  <w:r>
                    <w:rPr>
                      <w:bCs/>
                      <w:color w:val="auto"/>
                      <w:kern w:val="0"/>
                      <w:szCs w:val="21"/>
                    </w:rPr>
                    <w:t>颗粒物</w:t>
                  </w:r>
                </w:p>
              </w:tc>
              <w:tc>
                <w:tcPr>
                  <w:tcW w:w="909" w:type="dxa"/>
                  <w:vMerge w:val="continue"/>
                  <w:vAlign w:val="center"/>
                </w:tcPr>
                <w:p w14:paraId="17382531">
                  <w:pPr>
                    <w:adjustRightInd w:val="0"/>
                    <w:snapToGrid w:val="0"/>
                    <w:jc w:val="center"/>
                    <w:rPr>
                      <w:bCs/>
                      <w:color w:val="auto"/>
                      <w:kern w:val="0"/>
                      <w:szCs w:val="21"/>
                    </w:rPr>
                  </w:pPr>
                </w:p>
              </w:tc>
              <w:tc>
                <w:tcPr>
                  <w:tcW w:w="1047" w:type="dxa"/>
                  <w:shd w:val="clear" w:color="auto" w:fill="auto"/>
                  <w:vAlign w:val="center"/>
                </w:tcPr>
                <w:p w14:paraId="17382532">
                  <w:pPr>
                    <w:widowControl/>
                    <w:jc w:val="center"/>
                    <w:textAlignment w:val="center"/>
                    <w:rPr>
                      <w:color w:val="auto"/>
                      <w:kern w:val="0"/>
                      <w:szCs w:val="21"/>
                      <w:lang w:bidi="ar"/>
                    </w:rPr>
                  </w:pPr>
                  <w:r>
                    <w:rPr>
                      <w:color w:val="auto"/>
                      <w:kern w:val="0"/>
                      <w:szCs w:val="21"/>
                      <w:lang w:bidi="ar"/>
                    </w:rPr>
                    <w:t xml:space="preserve">0.00004 </w:t>
                  </w:r>
                </w:p>
              </w:tc>
              <w:tc>
                <w:tcPr>
                  <w:tcW w:w="886" w:type="dxa"/>
                  <w:vAlign w:val="center"/>
                </w:tcPr>
                <w:p w14:paraId="17382533">
                  <w:pPr>
                    <w:widowControl/>
                    <w:jc w:val="center"/>
                    <w:textAlignment w:val="center"/>
                    <w:rPr>
                      <w:color w:val="auto"/>
                      <w:kern w:val="0"/>
                      <w:szCs w:val="21"/>
                      <w:lang w:bidi="ar"/>
                    </w:rPr>
                  </w:pPr>
                  <w:r>
                    <w:rPr>
                      <w:color w:val="auto"/>
                      <w:kern w:val="0"/>
                      <w:szCs w:val="21"/>
                      <w:lang w:bidi="ar"/>
                    </w:rPr>
                    <w:t xml:space="preserve">0.0001 </w:t>
                  </w:r>
                </w:p>
              </w:tc>
              <w:tc>
                <w:tcPr>
                  <w:tcW w:w="1048" w:type="dxa"/>
                  <w:shd w:val="clear" w:color="auto" w:fill="auto"/>
                  <w:vAlign w:val="center"/>
                </w:tcPr>
                <w:p w14:paraId="17382534">
                  <w:pPr>
                    <w:widowControl/>
                    <w:adjustRightInd w:val="0"/>
                    <w:snapToGrid w:val="0"/>
                    <w:jc w:val="center"/>
                    <w:textAlignment w:val="center"/>
                    <w:rPr>
                      <w:bCs/>
                      <w:color w:val="auto"/>
                      <w:kern w:val="0"/>
                      <w:szCs w:val="21"/>
                      <w:lang w:bidi="ar"/>
                    </w:rPr>
                  </w:pPr>
                  <w:r>
                    <w:rPr>
                      <w:rFonts w:hint="eastAsia"/>
                      <w:bCs/>
                      <w:color w:val="auto"/>
                      <w:kern w:val="0"/>
                      <w:szCs w:val="21"/>
                      <w:lang w:bidi="ar"/>
                    </w:rPr>
                    <w:t>/</w:t>
                  </w:r>
                </w:p>
              </w:tc>
              <w:tc>
                <w:tcPr>
                  <w:tcW w:w="717" w:type="dxa"/>
                  <w:vAlign w:val="center"/>
                </w:tcPr>
                <w:p w14:paraId="17382535">
                  <w:pPr>
                    <w:widowControl/>
                    <w:adjustRightInd w:val="0"/>
                    <w:snapToGrid w:val="0"/>
                    <w:jc w:val="center"/>
                    <w:textAlignment w:val="center"/>
                    <w:rPr>
                      <w:bCs/>
                      <w:color w:val="auto"/>
                      <w:kern w:val="0"/>
                      <w:szCs w:val="21"/>
                    </w:rPr>
                  </w:pPr>
                  <w:r>
                    <w:rPr>
                      <w:rFonts w:hint="eastAsia"/>
                      <w:bCs/>
                      <w:color w:val="auto"/>
                      <w:kern w:val="0"/>
                      <w:szCs w:val="21"/>
                      <w:lang w:bidi="ar"/>
                    </w:rPr>
                    <w:t>/</w:t>
                  </w:r>
                </w:p>
              </w:tc>
              <w:tc>
                <w:tcPr>
                  <w:tcW w:w="815" w:type="dxa"/>
                  <w:vMerge w:val="continue"/>
                  <w:vAlign w:val="center"/>
                </w:tcPr>
                <w:p w14:paraId="17382536">
                  <w:pPr>
                    <w:widowControl/>
                    <w:adjustRightInd w:val="0"/>
                    <w:snapToGrid w:val="0"/>
                    <w:jc w:val="center"/>
                    <w:rPr>
                      <w:bCs/>
                      <w:color w:val="auto"/>
                      <w:kern w:val="0"/>
                      <w:szCs w:val="21"/>
                    </w:rPr>
                  </w:pPr>
                </w:p>
              </w:tc>
              <w:tc>
                <w:tcPr>
                  <w:tcW w:w="964" w:type="dxa"/>
                  <w:vAlign w:val="center"/>
                </w:tcPr>
                <w:p w14:paraId="17382537">
                  <w:pPr>
                    <w:widowControl/>
                    <w:jc w:val="center"/>
                    <w:textAlignment w:val="center"/>
                    <w:rPr>
                      <w:bCs/>
                      <w:color w:val="auto"/>
                      <w:kern w:val="0"/>
                      <w:szCs w:val="21"/>
                    </w:rPr>
                  </w:pPr>
                  <w:r>
                    <w:rPr>
                      <w:color w:val="auto"/>
                      <w:kern w:val="0"/>
                      <w:szCs w:val="21"/>
                      <w:lang w:bidi="ar"/>
                    </w:rPr>
                    <w:t xml:space="preserve">0.00004 </w:t>
                  </w:r>
                </w:p>
              </w:tc>
              <w:tc>
                <w:tcPr>
                  <w:tcW w:w="967" w:type="dxa"/>
                  <w:vAlign w:val="center"/>
                </w:tcPr>
                <w:p w14:paraId="17382538">
                  <w:pPr>
                    <w:widowControl/>
                    <w:jc w:val="center"/>
                    <w:textAlignment w:val="center"/>
                    <w:rPr>
                      <w:bCs/>
                      <w:color w:val="auto"/>
                      <w:kern w:val="0"/>
                      <w:szCs w:val="21"/>
                    </w:rPr>
                  </w:pPr>
                  <w:r>
                    <w:rPr>
                      <w:color w:val="auto"/>
                      <w:kern w:val="0"/>
                      <w:szCs w:val="21"/>
                      <w:lang w:bidi="ar"/>
                    </w:rPr>
                    <w:t xml:space="preserve">0.0001 </w:t>
                  </w:r>
                </w:p>
              </w:tc>
              <w:tc>
                <w:tcPr>
                  <w:tcW w:w="751" w:type="dxa"/>
                  <w:vMerge w:val="continue"/>
                  <w:vAlign w:val="center"/>
                </w:tcPr>
                <w:p w14:paraId="17382539">
                  <w:pPr>
                    <w:widowControl/>
                    <w:adjustRightInd w:val="0"/>
                    <w:snapToGrid w:val="0"/>
                    <w:jc w:val="center"/>
                    <w:rPr>
                      <w:bCs/>
                      <w:color w:val="auto"/>
                      <w:kern w:val="0"/>
                      <w:szCs w:val="21"/>
                    </w:rPr>
                  </w:pPr>
                </w:p>
              </w:tc>
              <w:tc>
                <w:tcPr>
                  <w:tcW w:w="855" w:type="dxa"/>
                  <w:vMerge w:val="restart"/>
                  <w:vAlign w:val="center"/>
                </w:tcPr>
                <w:p w14:paraId="1738253A">
                  <w:pPr>
                    <w:widowControl/>
                    <w:adjustRightInd w:val="0"/>
                    <w:snapToGrid w:val="0"/>
                    <w:jc w:val="center"/>
                    <w:rPr>
                      <w:bCs/>
                      <w:color w:val="auto"/>
                      <w:kern w:val="0"/>
                      <w:szCs w:val="21"/>
                    </w:rPr>
                  </w:pPr>
                  <w:r>
                    <w:rPr>
                      <w:rFonts w:hint="eastAsia"/>
                      <w:bCs/>
                      <w:color w:val="auto"/>
                      <w:kern w:val="0"/>
                      <w:szCs w:val="21"/>
                    </w:rPr>
                    <w:t>/</w:t>
                  </w:r>
                </w:p>
              </w:tc>
            </w:tr>
            <w:tr w14:paraId="1738254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53C">
                  <w:pPr>
                    <w:adjustRightInd w:val="0"/>
                    <w:snapToGrid w:val="0"/>
                    <w:jc w:val="center"/>
                    <w:rPr>
                      <w:bCs/>
                      <w:color w:val="auto"/>
                      <w:szCs w:val="21"/>
                    </w:rPr>
                  </w:pPr>
                </w:p>
              </w:tc>
              <w:tc>
                <w:tcPr>
                  <w:tcW w:w="1002" w:type="dxa"/>
                  <w:vMerge w:val="continue"/>
                  <w:vAlign w:val="center"/>
                </w:tcPr>
                <w:p w14:paraId="1738253D">
                  <w:pPr>
                    <w:adjustRightInd w:val="0"/>
                    <w:snapToGrid w:val="0"/>
                    <w:jc w:val="center"/>
                    <w:rPr>
                      <w:bCs/>
                      <w:color w:val="auto"/>
                      <w:szCs w:val="21"/>
                    </w:rPr>
                  </w:pPr>
                </w:p>
              </w:tc>
              <w:tc>
                <w:tcPr>
                  <w:tcW w:w="976" w:type="dxa"/>
                  <w:vMerge w:val="continue"/>
                  <w:vAlign w:val="center"/>
                </w:tcPr>
                <w:p w14:paraId="1738253E">
                  <w:pPr>
                    <w:adjustRightInd w:val="0"/>
                    <w:snapToGrid w:val="0"/>
                    <w:jc w:val="center"/>
                    <w:rPr>
                      <w:bCs/>
                      <w:color w:val="auto"/>
                      <w:szCs w:val="21"/>
                    </w:rPr>
                  </w:pPr>
                </w:p>
              </w:tc>
              <w:tc>
                <w:tcPr>
                  <w:tcW w:w="895" w:type="dxa"/>
                  <w:vAlign w:val="center"/>
                </w:tcPr>
                <w:p w14:paraId="1738253F">
                  <w:pPr>
                    <w:adjustRightInd w:val="0"/>
                    <w:snapToGrid w:val="0"/>
                    <w:jc w:val="center"/>
                    <w:rPr>
                      <w:bCs/>
                      <w:color w:val="auto"/>
                      <w:szCs w:val="21"/>
                    </w:rPr>
                  </w:pPr>
                  <w:r>
                    <w:rPr>
                      <w:rFonts w:hint="eastAsia"/>
                      <w:bCs/>
                      <w:color w:val="auto"/>
                      <w:szCs w:val="21"/>
                    </w:rPr>
                    <w:t>非甲烷总烃</w:t>
                  </w:r>
                </w:p>
              </w:tc>
              <w:tc>
                <w:tcPr>
                  <w:tcW w:w="909" w:type="dxa"/>
                  <w:vMerge w:val="continue"/>
                  <w:vAlign w:val="center"/>
                </w:tcPr>
                <w:p w14:paraId="17382540">
                  <w:pPr>
                    <w:adjustRightInd w:val="0"/>
                    <w:snapToGrid w:val="0"/>
                    <w:jc w:val="center"/>
                    <w:rPr>
                      <w:bCs/>
                      <w:color w:val="auto"/>
                      <w:kern w:val="0"/>
                      <w:szCs w:val="21"/>
                    </w:rPr>
                  </w:pPr>
                </w:p>
              </w:tc>
              <w:tc>
                <w:tcPr>
                  <w:tcW w:w="1047" w:type="dxa"/>
                  <w:vAlign w:val="center"/>
                </w:tcPr>
                <w:p w14:paraId="17382541">
                  <w:pPr>
                    <w:widowControl/>
                    <w:jc w:val="center"/>
                    <w:textAlignment w:val="center"/>
                    <w:rPr>
                      <w:color w:val="auto"/>
                      <w:kern w:val="0"/>
                      <w:szCs w:val="21"/>
                      <w:lang w:bidi="ar"/>
                    </w:rPr>
                  </w:pPr>
                  <w:r>
                    <w:rPr>
                      <w:color w:val="auto"/>
                      <w:kern w:val="0"/>
                      <w:szCs w:val="21"/>
                      <w:lang w:bidi="ar"/>
                    </w:rPr>
                    <w:t xml:space="preserve">0.0011 </w:t>
                  </w:r>
                </w:p>
              </w:tc>
              <w:tc>
                <w:tcPr>
                  <w:tcW w:w="886" w:type="dxa"/>
                  <w:vAlign w:val="center"/>
                </w:tcPr>
                <w:p w14:paraId="17382542">
                  <w:pPr>
                    <w:widowControl/>
                    <w:jc w:val="center"/>
                    <w:textAlignment w:val="center"/>
                    <w:rPr>
                      <w:color w:val="auto"/>
                      <w:kern w:val="0"/>
                      <w:szCs w:val="21"/>
                      <w:lang w:bidi="ar"/>
                    </w:rPr>
                  </w:pPr>
                  <w:r>
                    <w:rPr>
                      <w:color w:val="auto"/>
                      <w:kern w:val="0"/>
                      <w:szCs w:val="21"/>
                      <w:lang w:bidi="ar"/>
                    </w:rPr>
                    <w:t xml:space="preserve">0.0026 </w:t>
                  </w:r>
                </w:p>
              </w:tc>
              <w:tc>
                <w:tcPr>
                  <w:tcW w:w="1048" w:type="dxa"/>
                  <w:shd w:val="clear" w:color="auto" w:fill="auto"/>
                  <w:vAlign w:val="center"/>
                </w:tcPr>
                <w:p w14:paraId="17382543">
                  <w:pPr>
                    <w:widowControl/>
                    <w:adjustRightInd w:val="0"/>
                    <w:snapToGrid w:val="0"/>
                    <w:jc w:val="center"/>
                    <w:textAlignment w:val="center"/>
                    <w:rPr>
                      <w:bCs/>
                      <w:color w:val="auto"/>
                      <w:kern w:val="0"/>
                      <w:szCs w:val="21"/>
                      <w:lang w:bidi="ar"/>
                    </w:rPr>
                  </w:pPr>
                  <w:r>
                    <w:rPr>
                      <w:rFonts w:hint="eastAsia"/>
                      <w:bCs/>
                      <w:color w:val="auto"/>
                      <w:kern w:val="0"/>
                      <w:szCs w:val="21"/>
                      <w:lang w:bidi="ar"/>
                    </w:rPr>
                    <w:t>/</w:t>
                  </w:r>
                </w:p>
              </w:tc>
              <w:tc>
                <w:tcPr>
                  <w:tcW w:w="717" w:type="dxa"/>
                  <w:vAlign w:val="center"/>
                </w:tcPr>
                <w:p w14:paraId="17382544">
                  <w:pPr>
                    <w:widowControl/>
                    <w:adjustRightInd w:val="0"/>
                    <w:snapToGrid w:val="0"/>
                    <w:jc w:val="center"/>
                    <w:textAlignment w:val="center"/>
                    <w:rPr>
                      <w:bCs/>
                      <w:color w:val="auto"/>
                      <w:kern w:val="0"/>
                      <w:szCs w:val="21"/>
                    </w:rPr>
                  </w:pPr>
                  <w:r>
                    <w:rPr>
                      <w:rFonts w:hint="eastAsia"/>
                      <w:bCs/>
                      <w:color w:val="auto"/>
                      <w:kern w:val="0"/>
                      <w:szCs w:val="21"/>
                      <w:lang w:bidi="ar"/>
                    </w:rPr>
                    <w:t>/</w:t>
                  </w:r>
                </w:p>
              </w:tc>
              <w:tc>
                <w:tcPr>
                  <w:tcW w:w="815" w:type="dxa"/>
                  <w:vMerge w:val="continue"/>
                  <w:vAlign w:val="center"/>
                </w:tcPr>
                <w:p w14:paraId="17382545">
                  <w:pPr>
                    <w:widowControl/>
                    <w:adjustRightInd w:val="0"/>
                    <w:snapToGrid w:val="0"/>
                    <w:jc w:val="center"/>
                    <w:rPr>
                      <w:bCs/>
                      <w:color w:val="auto"/>
                      <w:kern w:val="0"/>
                      <w:szCs w:val="21"/>
                    </w:rPr>
                  </w:pPr>
                </w:p>
              </w:tc>
              <w:tc>
                <w:tcPr>
                  <w:tcW w:w="964" w:type="dxa"/>
                  <w:vAlign w:val="center"/>
                </w:tcPr>
                <w:p w14:paraId="17382546">
                  <w:pPr>
                    <w:widowControl/>
                    <w:jc w:val="center"/>
                    <w:textAlignment w:val="center"/>
                    <w:rPr>
                      <w:bCs/>
                      <w:color w:val="auto"/>
                      <w:kern w:val="0"/>
                      <w:szCs w:val="21"/>
                    </w:rPr>
                  </w:pPr>
                  <w:r>
                    <w:rPr>
                      <w:color w:val="auto"/>
                      <w:kern w:val="0"/>
                      <w:szCs w:val="21"/>
                      <w:lang w:bidi="ar"/>
                    </w:rPr>
                    <w:t xml:space="preserve">0.0011 </w:t>
                  </w:r>
                </w:p>
              </w:tc>
              <w:tc>
                <w:tcPr>
                  <w:tcW w:w="967" w:type="dxa"/>
                  <w:vAlign w:val="center"/>
                </w:tcPr>
                <w:p w14:paraId="17382547">
                  <w:pPr>
                    <w:widowControl/>
                    <w:jc w:val="center"/>
                    <w:textAlignment w:val="center"/>
                    <w:rPr>
                      <w:bCs/>
                      <w:color w:val="auto"/>
                      <w:kern w:val="0"/>
                      <w:szCs w:val="21"/>
                    </w:rPr>
                  </w:pPr>
                  <w:r>
                    <w:rPr>
                      <w:color w:val="auto"/>
                      <w:kern w:val="0"/>
                      <w:szCs w:val="21"/>
                      <w:lang w:bidi="ar"/>
                    </w:rPr>
                    <w:t xml:space="preserve">0.0026 </w:t>
                  </w:r>
                </w:p>
              </w:tc>
              <w:tc>
                <w:tcPr>
                  <w:tcW w:w="751" w:type="dxa"/>
                  <w:vMerge w:val="continue"/>
                  <w:vAlign w:val="center"/>
                </w:tcPr>
                <w:p w14:paraId="17382548">
                  <w:pPr>
                    <w:widowControl/>
                    <w:adjustRightInd w:val="0"/>
                    <w:snapToGrid w:val="0"/>
                    <w:jc w:val="center"/>
                    <w:rPr>
                      <w:bCs/>
                      <w:color w:val="auto"/>
                      <w:kern w:val="0"/>
                      <w:szCs w:val="21"/>
                    </w:rPr>
                  </w:pPr>
                </w:p>
              </w:tc>
              <w:tc>
                <w:tcPr>
                  <w:tcW w:w="855" w:type="dxa"/>
                  <w:vMerge w:val="continue"/>
                  <w:vAlign w:val="center"/>
                </w:tcPr>
                <w:p w14:paraId="17382549">
                  <w:pPr>
                    <w:widowControl/>
                    <w:adjustRightInd w:val="0"/>
                    <w:snapToGrid w:val="0"/>
                    <w:jc w:val="center"/>
                    <w:rPr>
                      <w:bCs/>
                      <w:color w:val="auto"/>
                      <w:kern w:val="0"/>
                      <w:szCs w:val="21"/>
                    </w:rPr>
                  </w:pPr>
                </w:p>
              </w:tc>
            </w:tr>
            <w:tr w14:paraId="1738255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54B">
                  <w:pPr>
                    <w:adjustRightInd w:val="0"/>
                    <w:snapToGrid w:val="0"/>
                    <w:jc w:val="center"/>
                    <w:rPr>
                      <w:bCs/>
                      <w:color w:val="auto"/>
                      <w:szCs w:val="21"/>
                    </w:rPr>
                  </w:pPr>
                </w:p>
              </w:tc>
              <w:tc>
                <w:tcPr>
                  <w:tcW w:w="1002" w:type="dxa"/>
                  <w:vMerge w:val="continue"/>
                  <w:vAlign w:val="center"/>
                </w:tcPr>
                <w:p w14:paraId="1738254C">
                  <w:pPr>
                    <w:adjustRightInd w:val="0"/>
                    <w:snapToGrid w:val="0"/>
                    <w:jc w:val="center"/>
                    <w:rPr>
                      <w:bCs/>
                      <w:color w:val="auto"/>
                      <w:szCs w:val="21"/>
                    </w:rPr>
                  </w:pPr>
                </w:p>
              </w:tc>
              <w:tc>
                <w:tcPr>
                  <w:tcW w:w="976" w:type="dxa"/>
                  <w:vMerge w:val="continue"/>
                  <w:vAlign w:val="center"/>
                </w:tcPr>
                <w:p w14:paraId="1738254D">
                  <w:pPr>
                    <w:adjustRightInd w:val="0"/>
                    <w:snapToGrid w:val="0"/>
                    <w:jc w:val="center"/>
                    <w:rPr>
                      <w:bCs/>
                      <w:color w:val="auto"/>
                      <w:szCs w:val="21"/>
                    </w:rPr>
                  </w:pPr>
                </w:p>
              </w:tc>
              <w:tc>
                <w:tcPr>
                  <w:tcW w:w="895" w:type="dxa"/>
                  <w:vAlign w:val="center"/>
                </w:tcPr>
                <w:p w14:paraId="1738254E">
                  <w:pPr>
                    <w:adjustRightInd w:val="0"/>
                    <w:snapToGrid w:val="0"/>
                    <w:jc w:val="center"/>
                    <w:rPr>
                      <w:bCs/>
                      <w:color w:val="auto"/>
                      <w:szCs w:val="21"/>
                    </w:rPr>
                  </w:pPr>
                  <w:r>
                    <w:rPr>
                      <w:rFonts w:hint="eastAsia"/>
                      <w:bCs/>
                      <w:color w:val="auto"/>
                      <w:szCs w:val="21"/>
                    </w:rPr>
                    <w:t>苯乙烯</w:t>
                  </w:r>
                </w:p>
              </w:tc>
              <w:tc>
                <w:tcPr>
                  <w:tcW w:w="909" w:type="dxa"/>
                  <w:vMerge w:val="continue"/>
                  <w:vAlign w:val="center"/>
                </w:tcPr>
                <w:p w14:paraId="1738254F">
                  <w:pPr>
                    <w:adjustRightInd w:val="0"/>
                    <w:snapToGrid w:val="0"/>
                    <w:jc w:val="center"/>
                    <w:rPr>
                      <w:bCs/>
                      <w:color w:val="auto"/>
                      <w:kern w:val="0"/>
                      <w:szCs w:val="21"/>
                    </w:rPr>
                  </w:pPr>
                </w:p>
              </w:tc>
              <w:tc>
                <w:tcPr>
                  <w:tcW w:w="1047" w:type="dxa"/>
                  <w:vAlign w:val="center"/>
                </w:tcPr>
                <w:p w14:paraId="17382550">
                  <w:pPr>
                    <w:widowControl/>
                    <w:jc w:val="center"/>
                    <w:textAlignment w:val="center"/>
                    <w:rPr>
                      <w:color w:val="auto"/>
                      <w:kern w:val="0"/>
                      <w:szCs w:val="21"/>
                      <w:lang w:bidi="ar"/>
                    </w:rPr>
                  </w:pPr>
                  <w:r>
                    <w:rPr>
                      <w:color w:val="auto"/>
                      <w:kern w:val="0"/>
                      <w:szCs w:val="21"/>
                      <w:lang w:bidi="ar"/>
                    </w:rPr>
                    <w:t xml:space="preserve">0.0010 </w:t>
                  </w:r>
                </w:p>
              </w:tc>
              <w:tc>
                <w:tcPr>
                  <w:tcW w:w="886" w:type="dxa"/>
                  <w:vAlign w:val="center"/>
                </w:tcPr>
                <w:p w14:paraId="17382551">
                  <w:pPr>
                    <w:widowControl/>
                    <w:jc w:val="center"/>
                    <w:textAlignment w:val="center"/>
                    <w:rPr>
                      <w:color w:val="auto"/>
                      <w:kern w:val="0"/>
                      <w:szCs w:val="21"/>
                      <w:lang w:bidi="ar"/>
                    </w:rPr>
                  </w:pPr>
                  <w:r>
                    <w:rPr>
                      <w:color w:val="auto"/>
                      <w:kern w:val="0"/>
                      <w:szCs w:val="21"/>
                      <w:lang w:bidi="ar"/>
                    </w:rPr>
                    <w:t xml:space="preserve">0.0024 </w:t>
                  </w:r>
                </w:p>
              </w:tc>
              <w:tc>
                <w:tcPr>
                  <w:tcW w:w="1048" w:type="dxa"/>
                  <w:shd w:val="clear" w:color="auto" w:fill="auto"/>
                  <w:vAlign w:val="center"/>
                </w:tcPr>
                <w:p w14:paraId="17382552">
                  <w:pPr>
                    <w:widowControl/>
                    <w:adjustRightInd w:val="0"/>
                    <w:snapToGrid w:val="0"/>
                    <w:jc w:val="center"/>
                    <w:textAlignment w:val="center"/>
                    <w:rPr>
                      <w:bCs/>
                      <w:color w:val="auto"/>
                      <w:kern w:val="0"/>
                      <w:szCs w:val="21"/>
                      <w:lang w:bidi="ar"/>
                    </w:rPr>
                  </w:pPr>
                  <w:r>
                    <w:rPr>
                      <w:rFonts w:hint="eastAsia"/>
                      <w:bCs/>
                      <w:color w:val="auto"/>
                      <w:kern w:val="0"/>
                      <w:szCs w:val="21"/>
                      <w:lang w:bidi="ar"/>
                    </w:rPr>
                    <w:t>/</w:t>
                  </w:r>
                </w:p>
              </w:tc>
              <w:tc>
                <w:tcPr>
                  <w:tcW w:w="717" w:type="dxa"/>
                  <w:vAlign w:val="center"/>
                </w:tcPr>
                <w:p w14:paraId="17382553">
                  <w:pPr>
                    <w:widowControl/>
                    <w:adjustRightInd w:val="0"/>
                    <w:snapToGrid w:val="0"/>
                    <w:jc w:val="center"/>
                    <w:textAlignment w:val="center"/>
                    <w:rPr>
                      <w:bCs/>
                      <w:color w:val="auto"/>
                      <w:kern w:val="0"/>
                      <w:szCs w:val="21"/>
                    </w:rPr>
                  </w:pPr>
                  <w:r>
                    <w:rPr>
                      <w:rFonts w:hint="eastAsia"/>
                      <w:bCs/>
                      <w:color w:val="auto"/>
                      <w:kern w:val="0"/>
                      <w:szCs w:val="21"/>
                      <w:lang w:bidi="ar"/>
                    </w:rPr>
                    <w:t>/</w:t>
                  </w:r>
                </w:p>
              </w:tc>
              <w:tc>
                <w:tcPr>
                  <w:tcW w:w="815" w:type="dxa"/>
                  <w:vMerge w:val="continue"/>
                  <w:vAlign w:val="center"/>
                </w:tcPr>
                <w:p w14:paraId="17382554">
                  <w:pPr>
                    <w:widowControl/>
                    <w:adjustRightInd w:val="0"/>
                    <w:snapToGrid w:val="0"/>
                    <w:jc w:val="center"/>
                    <w:rPr>
                      <w:bCs/>
                      <w:color w:val="auto"/>
                      <w:kern w:val="0"/>
                      <w:szCs w:val="21"/>
                    </w:rPr>
                  </w:pPr>
                </w:p>
              </w:tc>
              <w:tc>
                <w:tcPr>
                  <w:tcW w:w="964" w:type="dxa"/>
                  <w:vAlign w:val="center"/>
                </w:tcPr>
                <w:p w14:paraId="17382555">
                  <w:pPr>
                    <w:widowControl/>
                    <w:jc w:val="center"/>
                    <w:textAlignment w:val="center"/>
                    <w:rPr>
                      <w:bCs/>
                      <w:color w:val="auto"/>
                      <w:kern w:val="0"/>
                      <w:szCs w:val="21"/>
                    </w:rPr>
                  </w:pPr>
                  <w:r>
                    <w:rPr>
                      <w:color w:val="auto"/>
                      <w:kern w:val="0"/>
                      <w:szCs w:val="21"/>
                      <w:lang w:bidi="ar"/>
                    </w:rPr>
                    <w:t xml:space="preserve">0.0010 </w:t>
                  </w:r>
                </w:p>
              </w:tc>
              <w:tc>
                <w:tcPr>
                  <w:tcW w:w="967" w:type="dxa"/>
                  <w:vAlign w:val="center"/>
                </w:tcPr>
                <w:p w14:paraId="17382556">
                  <w:pPr>
                    <w:widowControl/>
                    <w:jc w:val="center"/>
                    <w:textAlignment w:val="center"/>
                    <w:rPr>
                      <w:bCs/>
                      <w:color w:val="auto"/>
                      <w:kern w:val="0"/>
                      <w:szCs w:val="21"/>
                    </w:rPr>
                  </w:pPr>
                  <w:r>
                    <w:rPr>
                      <w:color w:val="auto"/>
                      <w:kern w:val="0"/>
                      <w:szCs w:val="21"/>
                      <w:lang w:bidi="ar"/>
                    </w:rPr>
                    <w:t xml:space="preserve">0.0024 </w:t>
                  </w:r>
                </w:p>
              </w:tc>
              <w:tc>
                <w:tcPr>
                  <w:tcW w:w="751" w:type="dxa"/>
                  <w:vMerge w:val="continue"/>
                  <w:vAlign w:val="center"/>
                </w:tcPr>
                <w:p w14:paraId="17382557">
                  <w:pPr>
                    <w:widowControl/>
                    <w:adjustRightInd w:val="0"/>
                    <w:snapToGrid w:val="0"/>
                    <w:jc w:val="center"/>
                    <w:rPr>
                      <w:bCs/>
                      <w:color w:val="auto"/>
                      <w:kern w:val="0"/>
                      <w:szCs w:val="21"/>
                    </w:rPr>
                  </w:pPr>
                </w:p>
              </w:tc>
              <w:tc>
                <w:tcPr>
                  <w:tcW w:w="855" w:type="dxa"/>
                  <w:vMerge w:val="continue"/>
                  <w:vAlign w:val="center"/>
                </w:tcPr>
                <w:p w14:paraId="17382558">
                  <w:pPr>
                    <w:widowControl/>
                    <w:adjustRightInd w:val="0"/>
                    <w:snapToGrid w:val="0"/>
                    <w:jc w:val="center"/>
                    <w:rPr>
                      <w:bCs/>
                      <w:color w:val="auto"/>
                      <w:kern w:val="0"/>
                      <w:szCs w:val="21"/>
                    </w:rPr>
                  </w:pPr>
                </w:p>
              </w:tc>
            </w:tr>
            <w:tr w14:paraId="1738256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restart"/>
                  <w:vAlign w:val="center"/>
                </w:tcPr>
                <w:p w14:paraId="1738255A">
                  <w:pPr>
                    <w:adjustRightInd w:val="0"/>
                    <w:snapToGrid w:val="0"/>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注塑</w:t>
                  </w:r>
                </w:p>
              </w:tc>
              <w:tc>
                <w:tcPr>
                  <w:tcW w:w="1002" w:type="dxa"/>
                  <w:vMerge w:val="restart"/>
                  <w:vAlign w:val="center"/>
                </w:tcPr>
                <w:p w14:paraId="1738255B">
                  <w:pPr>
                    <w:adjustRightInd w:val="0"/>
                    <w:snapToGrid w:val="0"/>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注塑机</w:t>
                  </w:r>
                </w:p>
              </w:tc>
              <w:tc>
                <w:tcPr>
                  <w:tcW w:w="976" w:type="dxa"/>
                  <w:vAlign w:val="center"/>
                </w:tcPr>
                <w:p w14:paraId="1738255C">
                  <w:pPr>
                    <w:adjustRightInd w:val="0"/>
                    <w:snapToGrid w:val="0"/>
                    <w:jc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bCs/>
                      <w:color w:val="auto"/>
                      <w:kern w:val="0"/>
                      <w:szCs w:val="21"/>
                    </w:rPr>
                    <w:t>有组织</w:t>
                  </w:r>
                </w:p>
              </w:tc>
              <w:tc>
                <w:tcPr>
                  <w:tcW w:w="895" w:type="dxa"/>
                  <w:vAlign w:val="center"/>
                </w:tcPr>
                <w:p w14:paraId="1738255D">
                  <w:pPr>
                    <w:adjustRightInd w:val="0"/>
                    <w:snapToGrid w:val="0"/>
                    <w:jc w:val="center"/>
                    <w:rPr>
                      <w:rFonts w:hint="default" w:ascii="Times New Roman" w:hAnsi="Times New Roman" w:eastAsia="宋体" w:cs="Times New Roman"/>
                      <w:color w:val="auto"/>
                      <w:szCs w:val="21"/>
                    </w:rPr>
                  </w:pPr>
                  <w:r>
                    <w:rPr>
                      <w:rFonts w:hint="default" w:ascii="Times New Roman" w:hAnsi="Times New Roman" w:eastAsia="宋体" w:cs="Times New Roman"/>
                      <w:bCs/>
                      <w:color w:val="auto"/>
                      <w:szCs w:val="21"/>
                    </w:rPr>
                    <w:t>非甲烷总烃</w:t>
                  </w:r>
                </w:p>
              </w:tc>
              <w:tc>
                <w:tcPr>
                  <w:tcW w:w="909" w:type="dxa"/>
                  <w:vMerge w:val="restart"/>
                  <w:vAlign w:val="center"/>
                </w:tcPr>
                <w:p w14:paraId="1738255E">
                  <w:pPr>
                    <w:adjustRightInd w:val="0"/>
                    <w:snapToGrid w:val="0"/>
                    <w:jc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bCs/>
                      <w:color w:val="auto"/>
                      <w:kern w:val="0"/>
                      <w:szCs w:val="21"/>
                    </w:rPr>
                    <w:t>产污系数法</w:t>
                  </w:r>
                </w:p>
              </w:tc>
              <w:tc>
                <w:tcPr>
                  <w:tcW w:w="1047" w:type="dxa"/>
                  <w:vAlign w:val="center"/>
                </w:tcPr>
                <w:p w14:paraId="1738255F">
                  <w:pPr>
                    <w:keepNext w:val="0"/>
                    <w:keepLines w:val="0"/>
                    <w:widowControl/>
                    <w:suppressLineNumbers w:val="0"/>
                    <w:jc w:val="center"/>
                    <w:textAlignment w:val="center"/>
                    <w:rPr>
                      <w:rFonts w:hint="default" w:ascii="Times New Roman" w:hAnsi="Times New Roman" w:eastAsia="宋体" w:cs="Times New Roman"/>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0.0534 </w:t>
                  </w:r>
                </w:p>
              </w:tc>
              <w:tc>
                <w:tcPr>
                  <w:tcW w:w="886" w:type="dxa"/>
                  <w:shd w:val="clear" w:color="auto" w:fill="auto"/>
                  <w:vAlign w:val="center"/>
                </w:tcPr>
                <w:p w14:paraId="17382560">
                  <w:pPr>
                    <w:keepNext w:val="0"/>
                    <w:keepLines w:val="0"/>
                    <w:widowControl/>
                    <w:suppressLineNumbers w:val="0"/>
                    <w:jc w:val="center"/>
                    <w:textAlignment w:val="center"/>
                    <w:rPr>
                      <w:rFonts w:hint="default" w:ascii="Times New Roman" w:hAnsi="Times New Roman" w:eastAsia="宋体" w:cs="Times New Roman"/>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0.1283 </w:t>
                  </w:r>
                </w:p>
              </w:tc>
              <w:tc>
                <w:tcPr>
                  <w:tcW w:w="1048" w:type="dxa"/>
                  <w:vAlign w:val="center"/>
                </w:tcPr>
                <w:p w14:paraId="17382561">
                  <w:pPr>
                    <w:adjustRightInd w:val="0"/>
                    <w:snapToGrid w:val="0"/>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二级</w:t>
                  </w:r>
                </w:p>
                <w:p w14:paraId="17382562">
                  <w:pPr>
                    <w:adjustRightInd w:val="0"/>
                    <w:snapToGrid w:val="0"/>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活性炭</w:t>
                  </w:r>
                </w:p>
              </w:tc>
              <w:tc>
                <w:tcPr>
                  <w:tcW w:w="717" w:type="dxa"/>
                  <w:vAlign w:val="center"/>
                </w:tcPr>
                <w:p w14:paraId="17382563">
                  <w:pPr>
                    <w:widowControl/>
                    <w:adjustRightInd w:val="0"/>
                    <w:snapToGrid w:val="0"/>
                    <w:jc w:val="center"/>
                    <w:textAlignment w:val="center"/>
                    <w:rPr>
                      <w:rFonts w:hint="default" w:ascii="Times New Roman" w:hAnsi="Times New Roman" w:eastAsia="宋体" w:cs="Times New Roman"/>
                      <w:bCs/>
                      <w:color w:val="auto"/>
                      <w:kern w:val="0"/>
                      <w:szCs w:val="21"/>
                      <w:lang w:bidi="ar"/>
                    </w:rPr>
                  </w:pPr>
                  <w:r>
                    <w:rPr>
                      <w:rFonts w:hint="default" w:ascii="Times New Roman" w:hAnsi="Times New Roman" w:eastAsia="宋体" w:cs="Times New Roman"/>
                      <w:bCs/>
                      <w:color w:val="auto"/>
                      <w:kern w:val="0"/>
                      <w:szCs w:val="21"/>
                    </w:rPr>
                    <w:t>90%</w:t>
                  </w:r>
                </w:p>
              </w:tc>
              <w:tc>
                <w:tcPr>
                  <w:tcW w:w="815" w:type="dxa"/>
                  <w:vMerge w:val="restart"/>
                  <w:vAlign w:val="center"/>
                </w:tcPr>
                <w:p w14:paraId="17382564">
                  <w:pPr>
                    <w:adjustRightInd w:val="0"/>
                    <w:snapToGrid w:val="0"/>
                    <w:jc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bCs/>
                      <w:color w:val="auto"/>
                      <w:kern w:val="0"/>
                      <w:szCs w:val="21"/>
                    </w:rPr>
                    <w:t>产污系数法</w:t>
                  </w:r>
                </w:p>
              </w:tc>
              <w:tc>
                <w:tcPr>
                  <w:tcW w:w="964" w:type="dxa"/>
                  <w:vAlign w:val="center"/>
                </w:tcPr>
                <w:p w14:paraId="17382565">
                  <w:pPr>
                    <w:keepNext w:val="0"/>
                    <w:keepLines w:val="0"/>
                    <w:widowControl/>
                    <w:suppressLineNumbers w:val="0"/>
                    <w:jc w:val="center"/>
                    <w:textAlignment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i w:val="0"/>
                      <w:iCs w:val="0"/>
                      <w:color w:val="auto"/>
                      <w:kern w:val="0"/>
                      <w:sz w:val="21"/>
                      <w:szCs w:val="21"/>
                      <w:u w:val="none"/>
                      <w:lang w:val="en-US" w:eastAsia="zh-CN" w:bidi="ar"/>
                    </w:rPr>
                    <w:t xml:space="preserve">0.0053 </w:t>
                  </w:r>
                </w:p>
              </w:tc>
              <w:tc>
                <w:tcPr>
                  <w:tcW w:w="967" w:type="dxa"/>
                  <w:shd w:val="clear" w:color="auto" w:fill="auto"/>
                  <w:vAlign w:val="center"/>
                </w:tcPr>
                <w:p w14:paraId="17382566">
                  <w:pPr>
                    <w:keepNext w:val="0"/>
                    <w:keepLines w:val="0"/>
                    <w:widowControl/>
                    <w:suppressLineNumbers w:val="0"/>
                    <w:jc w:val="center"/>
                    <w:textAlignment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i w:val="0"/>
                      <w:iCs w:val="0"/>
                      <w:color w:val="auto"/>
                      <w:kern w:val="0"/>
                      <w:sz w:val="21"/>
                      <w:szCs w:val="21"/>
                      <w:u w:val="none"/>
                      <w:lang w:val="en-US" w:eastAsia="zh-CN" w:bidi="ar"/>
                    </w:rPr>
                    <w:t xml:space="preserve">0.0128 </w:t>
                  </w:r>
                </w:p>
              </w:tc>
              <w:tc>
                <w:tcPr>
                  <w:tcW w:w="751" w:type="dxa"/>
                  <w:vMerge w:val="restart"/>
                  <w:vAlign w:val="center"/>
                </w:tcPr>
                <w:p w14:paraId="17382567">
                  <w:pPr>
                    <w:widowControl/>
                    <w:adjustRightInd w:val="0"/>
                    <w:snapToGrid w:val="0"/>
                    <w:jc w:val="center"/>
                    <w:rPr>
                      <w:rFonts w:hint="default" w:ascii="Times New Roman" w:hAnsi="Times New Roman" w:eastAsia="宋体" w:cs="Times New Roman"/>
                      <w:bCs/>
                      <w:color w:val="auto"/>
                      <w:kern w:val="0"/>
                      <w:szCs w:val="21"/>
                      <w:lang w:bidi="ar"/>
                    </w:rPr>
                  </w:pPr>
                  <w:r>
                    <w:rPr>
                      <w:rFonts w:hint="default" w:ascii="Times New Roman" w:hAnsi="Times New Roman" w:eastAsia="宋体" w:cs="Times New Roman"/>
                      <w:bCs/>
                      <w:color w:val="auto"/>
                      <w:kern w:val="0"/>
                      <w:szCs w:val="21"/>
                      <w:lang w:bidi="ar"/>
                    </w:rPr>
                    <w:t>2400</w:t>
                  </w:r>
                </w:p>
              </w:tc>
              <w:tc>
                <w:tcPr>
                  <w:tcW w:w="855" w:type="dxa"/>
                  <w:vAlign w:val="center"/>
                </w:tcPr>
                <w:p w14:paraId="17382568">
                  <w:pPr>
                    <w:widowControl/>
                    <w:adjustRightInd w:val="0"/>
                    <w:snapToGrid w:val="0"/>
                    <w:jc w:val="center"/>
                    <w:rPr>
                      <w:rFonts w:hint="default" w:ascii="Times New Roman" w:hAnsi="Times New Roman" w:eastAsia="宋体" w:cs="Times New Roman"/>
                      <w:bCs/>
                      <w:color w:val="auto"/>
                      <w:kern w:val="0"/>
                      <w:szCs w:val="21"/>
                      <w:lang w:bidi="ar"/>
                    </w:rPr>
                  </w:pPr>
                  <w:r>
                    <w:rPr>
                      <w:rFonts w:hint="default" w:ascii="Times New Roman" w:hAnsi="Times New Roman" w:eastAsia="宋体" w:cs="Times New Roman"/>
                      <w:bCs/>
                      <w:color w:val="auto"/>
                      <w:kern w:val="0"/>
                      <w:szCs w:val="21"/>
                      <w:lang w:bidi="ar"/>
                    </w:rPr>
                    <w:t>DA001</w:t>
                  </w:r>
                </w:p>
              </w:tc>
            </w:tr>
            <w:tr w14:paraId="1738257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56A">
                  <w:pPr>
                    <w:adjustRightInd w:val="0"/>
                    <w:snapToGrid w:val="0"/>
                    <w:jc w:val="center"/>
                    <w:rPr>
                      <w:rFonts w:hint="default" w:ascii="Times New Roman" w:hAnsi="Times New Roman" w:eastAsia="宋体" w:cs="Times New Roman"/>
                      <w:bCs/>
                      <w:color w:val="auto"/>
                      <w:szCs w:val="21"/>
                    </w:rPr>
                  </w:pPr>
                </w:p>
              </w:tc>
              <w:tc>
                <w:tcPr>
                  <w:tcW w:w="1002" w:type="dxa"/>
                  <w:vMerge w:val="continue"/>
                  <w:vAlign w:val="center"/>
                </w:tcPr>
                <w:p w14:paraId="1738256B">
                  <w:pPr>
                    <w:adjustRightInd w:val="0"/>
                    <w:snapToGrid w:val="0"/>
                    <w:jc w:val="center"/>
                    <w:rPr>
                      <w:rFonts w:hint="default" w:ascii="Times New Roman" w:hAnsi="Times New Roman" w:eastAsia="宋体" w:cs="Times New Roman"/>
                      <w:bCs/>
                      <w:color w:val="auto"/>
                      <w:szCs w:val="21"/>
                    </w:rPr>
                  </w:pPr>
                </w:p>
              </w:tc>
              <w:tc>
                <w:tcPr>
                  <w:tcW w:w="976" w:type="dxa"/>
                  <w:vAlign w:val="center"/>
                </w:tcPr>
                <w:p w14:paraId="1738256C">
                  <w:pPr>
                    <w:adjustRightInd w:val="0"/>
                    <w:snapToGrid w:val="0"/>
                    <w:jc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bCs/>
                      <w:color w:val="auto"/>
                      <w:kern w:val="0"/>
                      <w:szCs w:val="21"/>
                    </w:rPr>
                    <w:t>无组织</w:t>
                  </w:r>
                </w:p>
              </w:tc>
              <w:tc>
                <w:tcPr>
                  <w:tcW w:w="895" w:type="dxa"/>
                  <w:vAlign w:val="center"/>
                </w:tcPr>
                <w:p w14:paraId="1738256D">
                  <w:pPr>
                    <w:adjustRightInd w:val="0"/>
                    <w:snapToGrid w:val="0"/>
                    <w:jc w:val="center"/>
                    <w:rPr>
                      <w:rFonts w:hint="default" w:ascii="Times New Roman" w:hAnsi="Times New Roman" w:eastAsia="宋体" w:cs="Times New Roman"/>
                      <w:color w:val="auto"/>
                      <w:szCs w:val="21"/>
                    </w:rPr>
                  </w:pPr>
                  <w:r>
                    <w:rPr>
                      <w:rFonts w:hint="default" w:ascii="Times New Roman" w:hAnsi="Times New Roman" w:eastAsia="宋体" w:cs="Times New Roman"/>
                      <w:bCs/>
                      <w:color w:val="auto"/>
                      <w:szCs w:val="21"/>
                    </w:rPr>
                    <w:t>非甲烷总烃</w:t>
                  </w:r>
                </w:p>
              </w:tc>
              <w:tc>
                <w:tcPr>
                  <w:tcW w:w="909" w:type="dxa"/>
                  <w:vMerge w:val="continue"/>
                  <w:vAlign w:val="center"/>
                </w:tcPr>
                <w:p w14:paraId="1738256E">
                  <w:pPr>
                    <w:adjustRightInd w:val="0"/>
                    <w:snapToGrid w:val="0"/>
                    <w:jc w:val="center"/>
                    <w:rPr>
                      <w:rFonts w:hint="default" w:ascii="Times New Roman" w:hAnsi="Times New Roman" w:eastAsia="宋体" w:cs="Times New Roman"/>
                      <w:bCs/>
                      <w:color w:val="auto"/>
                      <w:kern w:val="0"/>
                      <w:szCs w:val="21"/>
                    </w:rPr>
                  </w:pPr>
                </w:p>
              </w:tc>
              <w:tc>
                <w:tcPr>
                  <w:tcW w:w="1047" w:type="dxa"/>
                  <w:vAlign w:val="center"/>
                </w:tcPr>
                <w:p w14:paraId="1738256F">
                  <w:pPr>
                    <w:keepNext w:val="0"/>
                    <w:keepLines w:val="0"/>
                    <w:widowControl/>
                    <w:suppressLineNumbers w:val="0"/>
                    <w:jc w:val="center"/>
                    <w:textAlignment w:val="center"/>
                    <w:rPr>
                      <w:rFonts w:hint="default" w:ascii="Times New Roman" w:hAnsi="Times New Roman" w:eastAsia="宋体" w:cs="Times New Roman"/>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0.0028 </w:t>
                  </w:r>
                </w:p>
              </w:tc>
              <w:tc>
                <w:tcPr>
                  <w:tcW w:w="886" w:type="dxa"/>
                  <w:shd w:val="clear" w:color="auto" w:fill="auto"/>
                  <w:vAlign w:val="center"/>
                </w:tcPr>
                <w:p w14:paraId="17382570">
                  <w:pPr>
                    <w:keepNext w:val="0"/>
                    <w:keepLines w:val="0"/>
                    <w:widowControl/>
                    <w:suppressLineNumbers w:val="0"/>
                    <w:jc w:val="center"/>
                    <w:textAlignment w:val="center"/>
                    <w:rPr>
                      <w:rFonts w:hint="default" w:ascii="Times New Roman" w:hAnsi="Times New Roman" w:eastAsia="宋体" w:cs="Times New Roman"/>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0.0067 </w:t>
                  </w:r>
                </w:p>
              </w:tc>
              <w:tc>
                <w:tcPr>
                  <w:tcW w:w="1048" w:type="dxa"/>
                  <w:vAlign w:val="center"/>
                </w:tcPr>
                <w:p w14:paraId="17382571">
                  <w:pPr>
                    <w:adjustRightInd w:val="0"/>
                    <w:snapToGrid w:val="0"/>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kern w:val="0"/>
                      <w:szCs w:val="21"/>
                      <w:lang w:bidi="ar"/>
                    </w:rPr>
                    <w:t>/</w:t>
                  </w:r>
                </w:p>
              </w:tc>
              <w:tc>
                <w:tcPr>
                  <w:tcW w:w="717" w:type="dxa"/>
                  <w:vAlign w:val="center"/>
                </w:tcPr>
                <w:p w14:paraId="17382572">
                  <w:pPr>
                    <w:widowControl/>
                    <w:adjustRightInd w:val="0"/>
                    <w:snapToGrid w:val="0"/>
                    <w:jc w:val="center"/>
                    <w:textAlignment w:val="center"/>
                    <w:rPr>
                      <w:rFonts w:hint="default" w:ascii="Times New Roman" w:hAnsi="Times New Roman" w:eastAsia="宋体" w:cs="Times New Roman"/>
                      <w:bCs/>
                      <w:color w:val="auto"/>
                      <w:kern w:val="0"/>
                      <w:szCs w:val="21"/>
                      <w:lang w:bidi="ar"/>
                    </w:rPr>
                  </w:pPr>
                  <w:r>
                    <w:rPr>
                      <w:rFonts w:hint="default" w:ascii="Times New Roman" w:hAnsi="Times New Roman" w:eastAsia="宋体" w:cs="Times New Roman"/>
                      <w:bCs/>
                      <w:color w:val="auto"/>
                      <w:kern w:val="0"/>
                      <w:szCs w:val="21"/>
                      <w:lang w:bidi="ar"/>
                    </w:rPr>
                    <w:t>/</w:t>
                  </w:r>
                </w:p>
              </w:tc>
              <w:tc>
                <w:tcPr>
                  <w:tcW w:w="815" w:type="dxa"/>
                  <w:vMerge w:val="continue"/>
                  <w:vAlign w:val="center"/>
                </w:tcPr>
                <w:p w14:paraId="17382573">
                  <w:pPr>
                    <w:adjustRightInd w:val="0"/>
                    <w:snapToGrid w:val="0"/>
                    <w:jc w:val="center"/>
                    <w:rPr>
                      <w:rFonts w:hint="default" w:ascii="Times New Roman" w:hAnsi="Times New Roman" w:eastAsia="宋体" w:cs="Times New Roman"/>
                      <w:bCs/>
                      <w:color w:val="auto"/>
                      <w:kern w:val="0"/>
                      <w:szCs w:val="21"/>
                    </w:rPr>
                  </w:pPr>
                </w:p>
              </w:tc>
              <w:tc>
                <w:tcPr>
                  <w:tcW w:w="964" w:type="dxa"/>
                  <w:vAlign w:val="center"/>
                </w:tcPr>
                <w:p w14:paraId="17382574">
                  <w:pPr>
                    <w:keepNext w:val="0"/>
                    <w:keepLines w:val="0"/>
                    <w:widowControl/>
                    <w:suppressLineNumbers w:val="0"/>
                    <w:jc w:val="center"/>
                    <w:textAlignment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i w:val="0"/>
                      <w:iCs w:val="0"/>
                      <w:color w:val="auto"/>
                      <w:kern w:val="0"/>
                      <w:sz w:val="21"/>
                      <w:szCs w:val="21"/>
                      <w:u w:val="none"/>
                      <w:lang w:val="en-US" w:eastAsia="zh-CN" w:bidi="ar"/>
                    </w:rPr>
                    <w:t xml:space="preserve">0.0028 </w:t>
                  </w:r>
                </w:p>
              </w:tc>
              <w:tc>
                <w:tcPr>
                  <w:tcW w:w="967" w:type="dxa"/>
                  <w:vAlign w:val="center"/>
                </w:tcPr>
                <w:p w14:paraId="17382575">
                  <w:pPr>
                    <w:keepNext w:val="0"/>
                    <w:keepLines w:val="0"/>
                    <w:widowControl/>
                    <w:suppressLineNumbers w:val="0"/>
                    <w:jc w:val="center"/>
                    <w:textAlignment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i w:val="0"/>
                      <w:iCs w:val="0"/>
                      <w:color w:val="auto"/>
                      <w:kern w:val="0"/>
                      <w:sz w:val="21"/>
                      <w:szCs w:val="21"/>
                      <w:u w:val="none"/>
                      <w:lang w:val="en-US" w:eastAsia="zh-CN" w:bidi="ar"/>
                    </w:rPr>
                    <w:t xml:space="preserve">0.0067 </w:t>
                  </w:r>
                </w:p>
              </w:tc>
              <w:tc>
                <w:tcPr>
                  <w:tcW w:w="751" w:type="dxa"/>
                  <w:vMerge w:val="continue"/>
                  <w:vAlign w:val="center"/>
                </w:tcPr>
                <w:p w14:paraId="17382576">
                  <w:pPr>
                    <w:widowControl/>
                    <w:adjustRightInd w:val="0"/>
                    <w:snapToGrid w:val="0"/>
                    <w:jc w:val="center"/>
                    <w:rPr>
                      <w:rFonts w:hint="default" w:ascii="Times New Roman" w:hAnsi="Times New Roman" w:eastAsia="宋体" w:cs="Times New Roman"/>
                      <w:bCs/>
                      <w:color w:val="auto"/>
                      <w:kern w:val="0"/>
                      <w:szCs w:val="21"/>
                      <w:lang w:bidi="ar"/>
                    </w:rPr>
                  </w:pPr>
                </w:p>
              </w:tc>
              <w:tc>
                <w:tcPr>
                  <w:tcW w:w="855" w:type="dxa"/>
                  <w:vAlign w:val="center"/>
                </w:tcPr>
                <w:p w14:paraId="17382577">
                  <w:pPr>
                    <w:widowControl/>
                    <w:adjustRightInd w:val="0"/>
                    <w:snapToGrid w:val="0"/>
                    <w:jc w:val="center"/>
                    <w:rPr>
                      <w:rFonts w:hint="default" w:ascii="Times New Roman" w:hAnsi="Times New Roman" w:eastAsia="宋体" w:cs="Times New Roman"/>
                      <w:bCs/>
                      <w:color w:val="auto"/>
                      <w:kern w:val="0"/>
                      <w:szCs w:val="21"/>
                      <w:lang w:bidi="ar"/>
                    </w:rPr>
                  </w:pPr>
                  <w:r>
                    <w:rPr>
                      <w:rFonts w:hint="default" w:ascii="Times New Roman" w:hAnsi="Times New Roman" w:eastAsia="宋体" w:cs="Times New Roman"/>
                      <w:bCs/>
                      <w:color w:val="auto"/>
                      <w:kern w:val="0"/>
                      <w:szCs w:val="21"/>
                      <w:lang w:bidi="ar"/>
                    </w:rPr>
                    <w:t>/</w:t>
                  </w:r>
                </w:p>
              </w:tc>
            </w:tr>
            <w:tr w14:paraId="1738258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restart"/>
                  <w:vAlign w:val="center"/>
                </w:tcPr>
                <w:p w14:paraId="17382579">
                  <w:pPr>
                    <w:adjustRightInd w:val="0"/>
                    <w:snapToGrid w:val="0"/>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固化</w:t>
                  </w:r>
                </w:p>
              </w:tc>
              <w:tc>
                <w:tcPr>
                  <w:tcW w:w="1002" w:type="dxa"/>
                  <w:vMerge w:val="restart"/>
                  <w:vAlign w:val="center"/>
                </w:tcPr>
                <w:p w14:paraId="1738257A">
                  <w:pPr>
                    <w:adjustRightInd w:val="0"/>
                    <w:snapToGrid w:val="0"/>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电烘箱</w:t>
                  </w:r>
                </w:p>
              </w:tc>
              <w:tc>
                <w:tcPr>
                  <w:tcW w:w="976" w:type="dxa"/>
                  <w:vAlign w:val="center"/>
                </w:tcPr>
                <w:p w14:paraId="1738257B">
                  <w:pPr>
                    <w:adjustRightInd w:val="0"/>
                    <w:snapToGrid w:val="0"/>
                    <w:jc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bCs/>
                      <w:color w:val="auto"/>
                      <w:kern w:val="0"/>
                      <w:szCs w:val="21"/>
                    </w:rPr>
                    <w:t>有组织</w:t>
                  </w:r>
                </w:p>
              </w:tc>
              <w:tc>
                <w:tcPr>
                  <w:tcW w:w="895" w:type="dxa"/>
                  <w:vAlign w:val="center"/>
                </w:tcPr>
                <w:p w14:paraId="1738257C">
                  <w:pPr>
                    <w:adjustRightInd w:val="0"/>
                    <w:snapToGrid w:val="0"/>
                    <w:jc w:val="center"/>
                    <w:rPr>
                      <w:rFonts w:hint="default" w:ascii="Times New Roman" w:hAnsi="Times New Roman" w:eastAsia="宋体" w:cs="Times New Roman"/>
                      <w:color w:val="auto"/>
                      <w:szCs w:val="21"/>
                    </w:rPr>
                  </w:pPr>
                  <w:r>
                    <w:rPr>
                      <w:rFonts w:hint="default" w:ascii="Times New Roman" w:hAnsi="Times New Roman" w:eastAsia="宋体" w:cs="Times New Roman"/>
                      <w:bCs/>
                      <w:color w:val="auto"/>
                      <w:szCs w:val="21"/>
                    </w:rPr>
                    <w:t>非甲烷总烃</w:t>
                  </w:r>
                </w:p>
              </w:tc>
              <w:tc>
                <w:tcPr>
                  <w:tcW w:w="909" w:type="dxa"/>
                  <w:vMerge w:val="restart"/>
                  <w:vAlign w:val="center"/>
                </w:tcPr>
                <w:p w14:paraId="1738257D">
                  <w:pPr>
                    <w:adjustRightInd w:val="0"/>
                    <w:snapToGrid w:val="0"/>
                    <w:jc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bCs/>
                      <w:color w:val="auto"/>
                      <w:kern w:val="0"/>
                      <w:szCs w:val="21"/>
                    </w:rPr>
                    <w:t>产污系数法</w:t>
                  </w:r>
                </w:p>
              </w:tc>
              <w:tc>
                <w:tcPr>
                  <w:tcW w:w="1047" w:type="dxa"/>
                  <w:vAlign w:val="center"/>
                </w:tcPr>
                <w:p w14:paraId="1738257E">
                  <w:pPr>
                    <w:keepNext w:val="0"/>
                    <w:keepLines w:val="0"/>
                    <w:widowControl/>
                    <w:suppressLineNumbers w:val="0"/>
                    <w:jc w:val="center"/>
                    <w:textAlignment w:val="center"/>
                    <w:rPr>
                      <w:rFonts w:hint="default" w:ascii="Times New Roman" w:hAnsi="Times New Roman" w:eastAsia="宋体" w:cs="Times New Roman"/>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0.0021 </w:t>
                  </w:r>
                </w:p>
              </w:tc>
              <w:tc>
                <w:tcPr>
                  <w:tcW w:w="886" w:type="dxa"/>
                  <w:shd w:val="clear" w:color="auto" w:fill="auto"/>
                  <w:vAlign w:val="center"/>
                </w:tcPr>
                <w:p w14:paraId="1738257F">
                  <w:pPr>
                    <w:keepNext w:val="0"/>
                    <w:keepLines w:val="0"/>
                    <w:widowControl/>
                    <w:suppressLineNumbers w:val="0"/>
                    <w:jc w:val="center"/>
                    <w:textAlignment w:val="center"/>
                    <w:rPr>
                      <w:rFonts w:hint="default" w:ascii="Times New Roman" w:hAnsi="Times New Roman" w:eastAsia="宋体" w:cs="Times New Roman"/>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0.0051 </w:t>
                  </w:r>
                </w:p>
              </w:tc>
              <w:tc>
                <w:tcPr>
                  <w:tcW w:w="1048" w:type="dxa"/>
                  <w:vAlign w:val="center"/>
                </w:tcPr>
                <w:p w14:paraId="17382580">
                  <w:pPr>
                    <w:adjustRightInd w:val="0"/>
                    <w:snapToGrid w:val="0"/>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二级</w:t>
                  </w:r>
                </w:p>
                <w:p w14:paraId="17382581">
                  <w:pPr>
                    <w:adjustRightInd w:val="0"/>
                    <w:snapToGrid w:val="0"/>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szCs w:val="21"/>
                    </w:rPr>
                    <w:t>活性炭</w:t>
                  </w:r>
                </w:p>
              </w:tc>
              <w:tc>
                <w:tcPr>
                  <w:tcW w:w="717" w:type="dxa"/>
                  <w:vAlign w:val="center"/>
                </w:tcPr>
                <w:p w14:paraId="17382582">
                  <w:pPr>
                    <w:widowControl/>
                    <w:adjustRightInd w:val="0"/>
                    <w:snapToGrid w:val="0"/>
                    <w:jc w:val="center"/>
                    <w:textAlignment w:val="center"/>
                    <w:rPr>
                      <w:rFonts w:hint="default" w:ascii="Times New Roman" w:hAnsi="Times New Roman" w:eastAsia="宋体" w:cs="Times New Roman"/>
                      <w:bCs/>
                      <w:color w:val="auto"/>
                      <w:kern w:val="0"/>
                      <w:szCs w:val="21"/>
                      <w:lang w:bidi="ar"/>
                    </w:rPr>
                  </w:pPr>
                  <w:r>
                    <w:rPr>
                      <w:rFonts w:hint="default" w:ascii="Times New Roman" w:hAnsi="Times New Roman" w:eastAsia="宋体" w:cs="Times New Roman"/>
                      <w:bCs/>
                      <w:color w:val="auto"/>
                      <w:kern w:val="0"/>
                      <w:szCs w:val="21"/>
                    </w:rPr>
                    <w:t>90%</w:t>
                  </w:r>
                </w:p>
              </w:tc>
              <w:tc>
                <w:tcPr>
                  <w:tcW w:w="815" w:type="dxa"/>
                  <w:vMerge w:val="restart"/>
                  <w:vAlign w:val="center"/>
                </w:tcPr>
                <w:p w14:paraId="17382583">
                  <w:pPr>
                    <w:adjustRightInd w:val="0"/>
                    <w:snapToGrid w:val="0"/>
                    <w:jc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bCs/>
                      <w:color w:val="auto"/>
                      <w:kern w:val="0"/>
                      <w:szCs w:val="21"/>
                    </w:rPr>
                    <w:t>产污系数法</w:t>
                  </w:r>
                </w:p>
              </w:tc>
              <w:tc>
                <w:tcPr>
                  <w:tcW w:w="964" w:type="dxa"/>
                  <w:vAlign w:val="center"/>
                </w:tcPr>
                <w:p w14:paraId="17382584">
                  <w:pPr>
                    <w:keepNext w:val="0"/>
                    <w:keepLines w:val="0"/>
                    <w:widowControl/>
                    <w:suppressLineNumbers w:val="0"/>
                    <w:jc w:val="center"/>
                    <w:textAlignment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i w:val="0"/>
                      <w:iCs w:val="0"/>
                      <w:color w:val="auto"/>
                      <w:kern w:val="0"/>
                      <w:sz w:val="21"/>
                      <w:szCs w:val="21"/>
                      <w:u w:val="none"/>
                      <w:lang w:val="en-US" w:eastAsia="zh-CN" w:bidi="ar"/>
                    </w:rPr>
                    <w:t xml:space="preserve">0.0002 </w:t>
                  </w:r>
                </w:p>
              </w:tc>
              <w:tc>
                <w:tcPr>
                  <w:tcW w:w="967" w:type="dxa"/>
                  <w:vAlign w:val="center"/>
                </w:tcPr>
                <w:p w14:paraId="17382585">
                  <w:pPr>
                    <w:keepNext w:val="0"/>
                    <w:keepLines w:val="0"/>
                    <w:widowControl/>
                    <w:suppressLineNumbers w:val="0"/>
                    <w:jc w:val="center"/>
                    <w:textAlignment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i w:val="0"/>
                      <w:iCs w:val="0"/>
                      <w:color w:val="auto"/>
                      <w:kern w:val="0"/>
                      <w:sz w:val="21"/>
                      <w:szCs w:val="21"/>
                      <w:u w:val="none"/>
                      <w:lang w:val="en-US" w:eastAsia="zh-CN" w:bidi="ar"/>
                    </w:rPr>
                    <w:t xml:space="preserve">0.0005 </w:t>
                  </w:r>
                </w:p>
              </w:tc>
              <w:tc>
                <w:tcPr>
                  <w:tcW w:w="751" w:type="dxa"/>
                  <w:vMerge w:val="restart"/>
                  <w:vAlign w:val="center"/>
                </w:tcPr>
                <w:p w14:paraId="17382586">
                  <w:pPr>
                    <w:widowControl/>
                    <w:adjustRightInd w:val="0"/>
                    <w:snapToGrid w:val="0"/>
                    <w:jc w:val="center"/>
                    <w:rPr>
                      <w:rFonts w:hint="default" w:ascii="Times New Roman" w:hAnsi="Times New Roman" w:eastAsia="宋体" w:cs="Times New Roman"/>
                      <w:bCs/>
                      <w:color w:val="auto"/>
                      <w:kern w:val="0"/>
                      <w:szCs w:val="21"/>
                      <w:lang w:bidi="ar"/>
                    </w:rPr>
                  </w:pPr>
                  <w:r>
                    <w:rPr>
                      <w:rFonts w:hint="default" w:ascii="Times New Roman" w:hAnsi="Times New Roman" w:eastAsia="宋体" w:cs="Times New Roman"/>
                      <w:bCs/>
                      <w:color w:val="auto"/>
                      <w:kern w:val="0"/>
                      <w:szCs w:val="21"/>
                      <w:lang w:bidi="ar"/>
                    </w:rPr>
                    <w:t>2400</w:t>
                  </w:r>
                </w:p>
              </w:tc>
              <w:tc>
                <w:tcPr>
                  <w:tcW w:w="855" w:type="dxa"/>
                  <w:vAlign w:val="center"/>
                </w:tcPr>
                <w:p w14:paraId="17382587">
                  <w:pPr>
                    <w:widowControl/>
                    <w:adjustRightInd w:val="0"/>
                    <w:snapToGrid w:val="0"/>
                    <w:jc w:val="center"/>
                    <w:rPr>
                      <w:rFonts w:hint="default" w:ascii="Times New Roman" w:hAnsi="Times New Roman" w:eastAsia="宋体" w:cs="Times New Roman"/>
                      <w:bCs/>
                      <w:color w:val="auto"/>
                      <w:kern w:val="0"/>
                      <w:szCs w:val="21"/>
                      <w:lang w:bidi="ar"/>
                    </w:rPr>
                  </w:pPr>
                  <w:r>
                    <w:rPr>
                      <w:rFonts w:hint="default" w:ascii="Times New Roman" w:hAnsi="Times New Roman" w:eastAsia="宋体" w:cs="Times New Roman"/>
                      <w:bCs/>
                      <w:color w:val="auto"/>
                      <w:kern w:val="0"/>
                      <w:szCs w:val="21"/>
                      <w:lang w:bidi="ar"/>
                    </w:rPr>
                    <w:t>DA001</w:t>
                  </w:r>
                </w:p>
              </w:tc>
            </w:tr>
            <w:tr w14:paraId="1738259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589">
                  <w:pPr>
                    <w:adjustRightInd w:val="0"/>
                    <w:snapToGrid w:val="0"/>
                    <w:jc w:val="center"/>
                    <w:rPr>
                      <w:rFonts w:hint="default" w:ascii="Times New Roman" w:hAnsi="Times New Roman" w:eastAsia="宋体" w:cs="Times New Roman"/>
                      <w:bCs/>
                      <w:color w:val="auto"/>
                      <w:szCs w:val="21"/>
                    </w:rPr>
                  </w:pPr>
                </w:p>
              </w:tc>
              <w:tc>
                <w:tcPr>
                  <w:tcW w:w="1002" w:type="dxa"/>
                  <w:vMerge w:val="continue"/>
                  <w:vAlign w:val="center"/>
                </w:tcPr>
                <w:p w14:paraId="1738258A">
                  <w:pPr>
                    <w:adjustRightInd w:val="0"/>
                    <w:snapToGrid w:val="0"/>
                    <w:jc w:val="center"/>
                    <w:rPr>
                      <w:rFonts w:hint="default" w:ascii="Times New Roman" w:hAnsi="Times New Roman" w:eastAsia="宋体" w:cs="Times New Roman"/>
                      <w:bCs/>
                      <w:color w:val="auto"/>
                      <w:szCs w:val="21"/>
                    </w:rPr>
                  </w:pPr>
                </w:p>
              </w:tc>
              <w:tc>
                <w:tcPr>
                  <w:tcW w:w="976" w:type="dxa"/>
                  <w:vAlign w:val="center"/>
                </w:tcPr>
                <w:p w14:paraId="1738258B">
                  <w:pPr>
                    <w:adjustRightInd w:val="0"/>
                    <w:snapToGrid w:val="0"/>
                    <w:jc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bCs/>
                      <w:color w:val="auto"/>
                      <w:kern w:val="0"/>
                      <w:szCs w:val="21"/>
                    </w:rPr>
                    <w:t>无组织</w:t>
                  </w:r>
                </w:p>
              </w:tc>
              <w:tc>
                <w:tcPr>
                  <w:tcW w:w="895" w:type="dxa"/>
                  <w:vAlign w:val="center"/>
                </w:tcPr>
                <w:p w14:paraId="1738258C">
                  <w:pPr>
                    <w:adjustRightInd w:val="0"/>
                    <w:snapToGrid w:val="0"/>
                    <w:jc w:val="center"/>
                    <w:rPr>
                      <w:rFonts w:hint="default" w:ascii="Times New Roman" w:hAnsi="Times New Roman" w:eastAsia="宋体" w:cs="Times New Roman"/>
                      <w:color w:val="auto"/>
                      <w:szCs w:val="21"/>
                    </w:rPr>
                  </w:pPr>
                  <w:r>
                    <w:rPr>
                      <w:rFonts w:hint="default" w:ascii="Times New Roman" w:hAnsi="Times New Roman" w:eastAsia="宋体" w:cs="Times New Roman"/>
                      <w:bCs/>
                      <w:color w:val="auto"/>
                      <w:szCs w:val="21"/>
                    </w:rPr>
                    <w:t>非甲烷总烃</w:t>
                  </w:r>
                </w:p>
              </w:tc>
              <w:tc>
                <w:tcPr>
                  <w:tcW w:w="909" w:type="dxa"/>
                  <w:vMerge w:val="continue"/>
                  <w:vAlign w:val="center"/>
                </w:tcPr>
                <w:p w14:paraId="1738258D">
                  <w:pPr>
                    <w:adjustRightInd w:val="0"/>
                    <w:snapToGrid w:val="0"/>
                    <w:jc w:val="center"/>
                    <w:rPr>
                      <w:rFonts w:hint="default" w:ascii="Times New Roman" w:hAnsi="Times New Roman" w:eastAsia="宋体" w:cs="Times New Roman"/>
                      <w:bCs/>
                      <w:color w:val="auto"/>
                      <w:kern w:val="0"/>
                      <w:szCs w:val="21"/>
                    </w:rPr>
                  </w:pPr>
                </w:p>
              </w:tc>
              <w:tc>
                <w:tcPr>
                  <w:tcW w:w="1047" w:type="dxa"/>
                  <w:vAlign w:val="center"/>
                </w:tcPr>
                <w:p w14:paraId="1738258E">
                  <w:pPr>
                    <w:keepNext w:val="0"/>
                    <w:keepLines w:val="0"/>
                    <w:widowControl/>
                    <w:suppressLineNumbers w:val="0"/>
                    <w:jc w:val="center"/>
                    <w:textAlignment w:val="center"/>
                    <w:rPr>
                      <w:rFonts w:hint="default" w:ascii="Times New Roman" w:hAnsi="Times New Roman" w:eastAsia="宋体" w:cs="Times New Roman"/>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0.0001 </w:t>
                  </w:r>
                </w:p>
              </w:tc>
              <w:tc>
                <w:tcPr>
                  <w:tcW w:w="886" w:type="dxa"/>
                  <w:shd w:val="clear" w:color="auto" w:fill="auto"/>
                  <w:vAlign w:val="center"/>
                </w:tcPr>
                <w:p w14:paraId="1738258F">
                  <w:pPr>
                    <w:keepNext w:val="0"/>
                    <w:keepLines w:val="0"/>
                    <w:widowControl/>
                    <w:suppressLineNumbers w:val="0"/>
                    <w:jc w:val="center"/>
                    <w:textAlignment w:val="center"/>
                    <w:rPr>
                      <w:rFonts w:hint="default" w:ascii="Times New Roman" w:hAnsi="Times New Roman" w:eastAsia="宋体" w:cs="Times New Roman"/>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0.0003 </w:t>
                  </w:r>
                </w:p>
              </w:tc>
              <w:tc>
                <w:tcPr>
                  <w:tcW w:w="1048" w:type="dxa"/>
                  <w:vAlign w:val="center"/>
                </w:tcPr>
                <w:p w14:paraId="17382590">
                  <w:pPr>
                    <w:adjustRightInd w:val="0"/>
                    <w:snapToGrid w:val="0"/>
                    <w:jc w:val="center"/>
                    <w:rPr>
                      <w:rFonts w:hint="default" w:ascii="Times New Roman" w:hAnsi="Times New Roman" w:eastAsia="宋体" w:cs="Times New Roman"/>
                      <w:bCs/>
                      <w:color w:val="auto"/>
                      <w:szCs w:val="21"/>
                    </w:rPr>
                  </w:pPr>
                  <w:r>
                    <w:rPr>
                      <w:rFonts w:hint="default" w:ascii="Times New Roman" w:hAnsi="Times New Roman" w:eastAsia="宋体" w:cs="Times New Roman"/>
                      <w:bCs/>
                      <w:color w:val="auto"/>
                      <w:kern w:val="0"/>
                      <w:szCs w:val="21"/>
                      <w:lang w:bidi="ar"/>
                    </w:rPr>
                    <w:t>/</w:t>
                  </w:r>
                </w:p>
              </w:tc>
              <w:tc>
                <w:tcPr>
                  <w:tcW w:w="717" w:type="dxa"/>
                  <w:vAlign w:val="center"/>
                </w:tcPr>
                <w:p w14:paraId="17382591">
                  <w:pPr>
                    <w:widowControl/>
                    <w:adjustRightInd w:val="0"/>
                    <w:snapToGrid w:val="0"/>
                    <w:jc w:val="center"/>
                    <w:textAlignment w:val="center"/>
                    <w:rPr>
                      <w:rFonts w:hint="default" w:ascii="Times New Roman" w:hAnsi="Times New Roman" w:eastAsia="宋体" w:cs="Times New Roman"/>
                      <w:bCs/>
                      <w:color w:val="auto"/>
                      <w:kern w:val="0"/>
                      <w:szCs w:val="21"/>
                      <w:lang w:bidi="ar"/>
                    </w:rPr>
                  </w:pPr>
                  <w:r>
                    <w:rPr>
                      <w:rFonts w:hint="default" w:ascii="Times New Roman" w:hAnsi="Times New Roman" w:eastAsia="宋体" w:cs="Times New Roman"/>
                      <w:bCs/>
                      <w:color w:val="auto"/>
                      <w:kern w:val="0"/>
                      <w:szCs w:val="21"/>
                      <w:lang w:bidi="ar"/>
                    </w:rPr>
                    <w:t>/</w:t>
                  </w:r>
                </w:p>
              </w:tc>
              <w:tc>
                <w:tcPr>
                  <w:tcW w:w="815" w:type="dxa"/>
                  <w:vMerge w:val="continue"/>
                  <w:vAlign w:val="center"/>
                </w:tcPr>
                <w:p w14:paraId="17382592">
                  <w:pPr>
                    <w:adjustRightInd w:val="0"/>
                    <w:snapToGrid w:val="0"/>
                    <w:jc w:val="center"/>
                    <w:rPr>
                      <w:rFonts w:hint="default" w:ascii="Times New Roman" w:hAnsi="Times New Roman" w:eastAsia="宋体" w:cs="Times New Roman"/>
                      <w:bCs/>
                      <w:color w:val="auto"/>
                      <w:kern w:val="0"/>
                      <w:szCs w:val="21"/>
                    </w:rPr>
                  </w:pPr>
                </w:p>
              </w:tc>
              <w:tc>
                <w:tcPr>
                  <w:tcW w:w="964" w:type="dxa"/>
                  <w:vAlign w:val="center"/>
                </w:tcPr>
                <w:p w14:paraId="17382593">
                  <w:pPr>
                    <w:keepNext w:val="0"/>
                    <w:keepLines w:val="0"/>
                    <w:widowControl/>
                    <w:suppressLineNumbers w:val="0"/>
                    <w:jc w:val="center"/>
                    <w:textAlignment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i w:val="0"/>
                      <w:iCs w:val="0"/>
                      <w:color w:val="auto"/>
                      <w:kern w:val="0"/>
                      <w:sz w:val="21"/>
                      <w:szCs w:val="21"/>
                      <w:u w:val="none"/>
                      <w:lang w:val="en-US" w:eastAsia="zh-CN" w:bidi="ar"/>
                    </w:rPr>
                    <w:t xml:space="preserve">0.0001 </w:t>
                  </w:r>
                </w:p>
              </w:tc>
              <w:tc>
                <w:tcPr>
                  <w:tcW w:w="967" w:type="dxa"/>
                  <w:vAlign w:val="center"/>
                </w:tcPr>
                <w:p w14:paraId="17382594">
                  <w:pPr>
                    <w:keepNext w:val="0"/>
                    <w:keepLines w:val="0"/>
                    <w:widowControl/>
                    <w:suppressLineNumbers w:val="0"/>
                    <w:jc w:val="center"/>
                    <w:textAlignment w:val="center"/>
                    <w:rPr>
                      <w:rFonts w:hint="default" w:ascii="Times New Roman" w:hAnsi="Times New Roman" w:eastAsia="宋体" w:cs="Times New Roman"/>
                      <w:bCs/>
                      <w:color w:val="auto"/>
                      <w:kern w:val="0"/>
                      <w:szCs w:val="21"/>
                    </w:rPr>
                  </w:pPr>
                  <w:r>
                    <w:rPr>
                      <w:rFonts w:hint="default" w:ascii="Times New Roman" w:hAnsi="Times New Roman" w:eastAsia="宋体" w:cs="Times New Roman"/>
                      <w:i w:val="0"/>
                      <w:iCs w:val="0"/>
                      <w:color w:val="auto"/>
                      <w:kern w:val="0"/>
                      <w:sz w:val="21"/>
                      <w:szCs w:val="21"/>
                      <w:u w:val="none"/>
                      <w:lang w:val="en-US" w:eastAsia="zh-CN" w:bidi="ar"/>
                    </w:rPr>
                    <w:t xml:space="preserve">0.0003 </w:t>
                  </w:r>
                </w:p>
              </w:tc>
              <w:tc>
                <w:tcPr>
                  <w:tcW w:w="751" w:type="dxa"/>
                  <w:vMerge w:val="continue"/>
                  <w:vAlign w:val="center"/>
                </w:tcPr>
                <w:p w14:paraId="17382595">
                  <w:pPr>
                    <w:widowControl/>
                    <w:adjustRightInd w:val="0"/>
                    <w:snapToGrid w:val="0"/>
                    <w:jc w:val="center"/>
                    <w:rPr>
                      <w:rFonts w:hint="default" w:ascii="Times New Roman" w:hAnsi="Times New Roman" w:eastAsia="宋体" w:cs="Times New Roman"/>
                      <w:bCs/>
                      <w:color w:val="auto"/>
                      <w:kern w:val="0"/>
                      <w:szCs w:val="21"/>
                      <w:lang w:bidi="ar"/>
                    </w:rPr>
                  </w:pPr>
                </w:p>
              </w:tc>
              <w:tc>
                <w:tcPr>
                  <w:tcW w:w="855" w:type="dxa"/>
                  <w:vAlign w:val="center"/>
                </w:tcPr>
                <w:p w14:paraId="17382596">
                  <w:pPr>
                    <w:widowControl/>
                    <w:adjustRightInd w:val="0"/>
                    <w:snapToGrid w:val="0"/>
                    <w:jc w:val="center"/>
                    <w:rPr>
                      <w:rFonts w:hint="default" w:ascii="Times New Roman" w:hAnsi="Times New Roman" w:eastAsia="宋体" w:cs="Times New Roman"/>
                      <w:bCs/>
                      <w:color w:val="auto"/>
                      <w:kern w:val="0"/>
                      <w:szCs w:val="21"/>
                      <w:lang w:bidi="ar"/>
                    </w:rPr>
                  </w:pPr>
                  <w:r>
                    <w:rPr>
                      <w:rFonts w:hint="default" w:ascii="Times New Roman" w:hAnsi="Times New Roman" w:eastAsia="宋体" w:cs="Times New Roman"/>
                      <w:bCs/>
                      <w:color w:val="auto"/>
                      <w:kern w:val="0"/>
                      <w:szCs w:val="21"/>
                      <w:lang w:bidi="ar"/>
                    </w:rPr>
                    <w:t>/</w:t>
                  </w:r>
                </w:p>
              </w:tc>
            </w:tr>
            <w:tr w14:paraId="173825A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restart"/>
                  <w:vAlign w:val="center"/>
                </w:tcPr>
                <w:p w14:paraId="17382598">
                  <w:pPr>
                    <w:adjustRightInd w:val="0"/>
                    <w:snapToGrid w:val="0"/>
                    <w:jc w:val="center"/>
                    <w:rPr>
                      <w:bCs/>
                      <w:color w:val="auto"/>
                      <w:szCs w:val="21"/>
                    </w:rPr>
                  </w:pPr>
                  <w:r>
                    <w:rPr>
                      <w:rFonts w:hint="eastAsia"/>
                      <w:bCs/>
                      <w:color w:val="auto"/>
                      <w:szCs w:val="21"/>
                    </w:rPr>
                    <w:t>抛丸</w:t>
                  </w:r>
                </w:p>
              </w:tc>
              <w:tc>
                <w:tcPr>
                  <w:tcW w:w="1002" w:type="dxa"/>
                  <w:vMerge w:val="restart"/>
                  <w:vAlign w:val="center"/>
                </w:tcPr>
                <w:p w14:paraId="17382599">
                  <w:pPr>
                    <w:adjustRightInd w:val="0"/>
                    <w:snapToGrid w:val="0"/>
                    <w:jc w:val="center"/>
                    <w:rPr>
                      <w:bCs/>
                      <w:color w:val="auto"/>
                      <w:szCs w:val="21"/>
                    </w:rPr>
                  </w:pPr>
                  <w:r>
                    <w:rPr>
                      <w:rFonts w:hint="eastAsia"/>
                      <w:bCs/>
                      <w:color w:val="auto"/>
                      <w:szCs w:val="21"/>
                    </w:rPr>
                    <w:t>抛丸机</w:t>
                  </w:r>
                </w:p>
              </w:tc>
              <w:tc>
                <w:tcPr>
                  <w:tcW w:w="976" w:type="dxa"/>
                  <w:shd w:val="clear" w:color="auto" w:fill="auto"/>
                  <w:vAlign w:val="center"/>
                </w:tcPr>
                <w:p w14:paraId="1738259A">
                  <w:pPr>
                    <w:adjustRightInd w:val="0"/>
                    <w:snapToGrid w:val="0"/>
                    <w:jc w:val="center"/>
                    <w:rPr>
                      <w:bCs/>
                      <w:color w:val="auto"/>
                      <w:kern w:val="0"/>
                      <w:szCs w:val="21"/>
                    </w:rPr>
                  </w:pPr>
                  <w:r>
                    <w:rPr>
                      <w:rFonts w:hint="eastAsia"/>
                      <w:bCs/>
                      <w:color w:val="auto"/>
                      <w:kern w:val="0"/>
                      <w:szCs w:val="21"/>
                    </w:rPr>
                    <w:t>有组织</w:t>
                  </w:r>
                </w:p>
              </w:tc>
              <w:tc>
                <w:tcPr>
                  <w:tcW w:w="895" w:type="dxa"/>
                  <w:vAlign w:val="center"/>
                </w:tcPr>
                <w:p w14:paraId="1738259B">
                  <w:pPr>
                    <w:adjustRightInd w:val="0"/>
                    <w:snapToGrid w:val="0"/>
                    <w:jc w:val="center"/>
                    <w:rPr>
                      <w:color w:val="auto"/>
                      <w:szCs w:val="21"/>
                    </w:rPr>
                  </w:pPr>
                  <w:r>
                    <w:rPr>
                      <w:rFonts w:hint="eastAsia"/>
                      <w:color w:val="auto"/>
                      <w:szCs w:val="21"/>
                    </w:rPr>
                    <w:t>颗粒物</w:t>
                  </w:r>
                </w:p>
              </w:tc>
              <w:tc>
                <w:tcPr>
                  <w:tcW w:w="909" w:type="dxa"/>
                  <w:vMerge w:val="restart"/>
                  <w:vAlign w:val="center"/>
                </w:tcPr>
                <w:p w14:paraId="1738259C">
                  <w:pPr>
                    <w:adjustRightInd w:val="0"/>
                    <w:snapToGrid w:val="0"/>
                    <w:jc w:val="center"/>
                    <w:rPr>
                      <w:bCs/>
                      <w:color w:val="auto"/>
                      <w:kern w:val="0"/>
                      <w:szCs w:val="21"/>
                    </w:rPr>
                  </w:pPr>
                  <w:r>
                    <w:rPr>
                      <w:bCs/>
                      <w:color w:val="auto"/>
                      <w:kern w:val="0"/>
                      <w:szCs w:val="21"/>
                    </w:rPr>
                    <w:t>产污系数法</w:t>
                  </w:r>
                </w:p>
              </w:tc>
              <w:tc>
                <w:tcPr>
                  <w:tcW w:w="1047" w:type="dxa"/>
                  <w:vAlign w:val="center"/>
                </w:tcPr>
                <w:p w14:paraId="1738259D">
                  <w:pPr>
                    <w:widowControl/>
                    <w:jc w:val="center"/>
                    <w:textAlignment w:val="center"/>
                    <w:rPr>
                      <w:color w:val="auto"/>
                      <w:kern w:val="0"/>
                      <w:szCs w:val="21"/>
                      <w:lang w:bidi="ar"/>
                    </w:rPr>
                  </w:pPr>
                  <w:r>
                    <w:rPr>
                      <w:color w:val="auto"/>
                      <w:kern w:val="0"/>
                      <w:szCs w:val="21"/>
                      <w:lang w:bidi="ar"/>
                    </w:rPr>
                    <w:t xml:space="preserve">0.4339 </w:t>
                  </w:r>
                </w:p>
              </w:tc>
              <w:tc>
                <w:tcPr>
                  <w:tcW w:w="886" w:type="dxa"/>
                  <w:shd w:val="clear" w:color="auto" w:fill="auto"/>
                  <w:vAlign w:val="center"/>
                </w:tcPr>
                <w:p w14:paraId="1738259E">
                  <w:pPr>
                    <w:widowControl/>
                    <w:jc w:val="center"/>
                    <w:textAlignment w:val="center"/>
                    <w:rPr>
                      <w:color w:val="auto"/>
                      <w:kern w:val="0"/>
                      <w:szCs w:val="21"/>
                      <w:lang w:bidi="ar"/>
                    </w:rPr>
                  </w:pPr>
                  <w:r>
                    <w:rPr>
                      <w:color w:val="auto"/>
                      <w:kern w:val="0"/>
                      <w:szCs w:val="21"/>
                      <w:lang w:bidi="ar"/>
                    </w:rPr>
                    <w:t xml:space="preserve">1.0413 </w:t>
                  </w:r>
                </w:p>
              </w:tc>
              <w:tc>
                <w:tcPr>
                  <w:tcW w:w="1048" w:type="dxa"/>
                  <w:vAlign w:val="center"/>
                </w:tcPr>
                <w:p w14:paraId="1738259F">
                  <w:pPr>
                    <w:widowControl/>
                    <w:adjustRightInd w:val="0"/>
                    <w:snapToGrid w:val="0"/>
                    <w:jc w:val="center"/>
                    <w:textAlignment w:val="center"/>
                    <w:rPr>
                      <w:bCs/>
                      <w:color w:val="auto"/>
                      <w:kern w:val="0"/>
                      <w:szCs w:val="21"/>
                      <w:lang w:bidi="ar"/>
                    </w:rPr>
                  </w:pPr>
                  <w:r>
                    <w:rPr>
                      <w:rFonts w:hint="eastAsia"/>
                      <w:bCs/>
                      <w:color w:val="auto"/>
                      <w:kern w:val="0"/>
                      <w:szCs w:val="21"/>
                      <w:lang w:bidi="ar"/>
                    </w:rPr>
                    <w:t>布袋除尘器（系统自带）</w:t>
                  </w:r>
                </w:p>
              </w:tc>
              <w:tc>
                <w:tcPr>
                  <w:tcW w:w="717" w:type="dxa"/>
                  <w:vAlign w:val="center"/>
                </w:tcPr>
                <w:p w14:paraId="173825A0">
                  <w:pPr>
                    <w:widowControl/>
                    <w:adjustRightInd w:val="0"/>
                    <w:snapToGrid w:val="0"/>
                    <w:jc w:val="center"/>
                    <w:textAlignment w:val="center"/>
                    <w:rPr>
                      <w:bCs/>
                      <w:color w:val="auto"/>
                      <w:kern w:val="0"/>
                      <w:szCs w:val="21"/>
                      <w:lang w:bidi="ar"/>
                    </w:rPr>
                  </w:pPr>
                  <w:r>
                    <w:rPr>
                      <w:rFonts w:hint="eastAsia"/>
                      <w:bCs/>
                      <w:color w:val="auto"/>
                      <w:kern w:val="0"/>
                      <w:szCs w:val="21"/>
                      <w:lang w:bidi="ar"/>
                    </w:rPr>
                    <w:t>95%</w:t>
                  </w:r>
                </w:p>
              </w:tc>
              <w:tc>
                <w:tcPr>
                  <w:tcW w:w="815" w:type="dxa"/>
                  <w:vMerge w:val="restart"/>
                  <w:vAlign w:val="center"/>
                </w:tcPr>
                <w:p w14:paraId="173825A1">
                  <w:pPr>
                    <w:adjustRightInd w:val="0"/>
                    <w:snapToGrid w:val="0"/>
                    <w:jc w:val="center"/>
                    <w:rPr>
                      <w:bCs/>
                      <w:color w:val="auto"/>
                      <w:kern w:val="0"/>
                      <w:szCs w:val="21"/>
                    </w:rPr>
                  </w:pPr>
                  <w:r>
                    <w:rPr>
                      <w:rFonts w:hint="eastAsia"/>
                      <w:bCs/>
                      <w:color w:val="auto"/>
                      <w:kern w:val="0"/>
                      <w:szCs w:val="21"/>
                    </w:rPr>
                    <w:t>产污系数法</w:t>
                  </w:r>
                </w:p>
              </w:tc>
              <w:tc>
                <w:tcPr>
                  <w:tcW w:w="964" w:type="dxa"/>
                  <w:vAlign w:val="center"/>
                </w:tcPr>
                <w:p w14:paraId="173825A2">
                  <w:pPr>
                    <w:widowControl/>
                    <w:jc w:val="center"/>
                    <w:textAlignment w:val="center"/>
                    <w:rPr>
                      <w:bCs/>
                      <w:color w:val="auto"/>
                      <w:kern w:val="0"/>
                      <w:szCs w:val="21"/>
                    </w:rPr>
                  </w:pPr>
                  <w:r>
                    <w:rPr>
                      <w:color w:val="auto"/>
                      <w:kern w:val="0"/>
                      <w:szCs w:val="21"/>
                      <w:lang w:bidi="ar"/>
                    </w:rPr>
                    <w:t xml:space="preserve">0.0217 </w:t>
                  </w:r>
                </w:p>
              </w:tc>
              <w:tc>
                <w:tcPr>
                  <w:tcW w:w="967" w:type="dxa"/>
                  <w:shd w:val="clear" w:color="auto" w:fill="auto"/>
                  <w:vAlign w:val="center"/>
                </w:tcPr>
                <w:p w14:paraId="173825A3">
                  <w:pPr>
                    <w:widowControl/>
                    <w:jc w:val="center"/>
                    <w:textAlignment w:val="center"/>
                    <w:rPr>
                      <w:bCs/>
                      <w:color w:val="auto"/>
                      <w:kern w:val="0"/>
                      <w:szCs w:val="21"/>
                      <w:lang w:bidi="ar"/>
                    </w:rPr>
                  </w:pPr>
                  <w:r>
                    <w:rPr>
                      <w:color w:val="auto"/>
                      <w:kern w:val="0"/>
                      <w:szCs w:val="21"/>
                      <w:lang w:bidi="ar"/>
                    </w:rPr>
                    <w:t xml:space="preserve">0.0521 </w:t>
                  </w:r>
                </w:p>
              </w:tc>
              <w:tc>
                <w:tcPr>
                  <w:tcW w:w="751" w:type="dxa"/>
                  <w:vMerge w:val="restart"/>
                  <w:vAlign w:val="center"/>
                </w:tcPr>
                <w:p w14:paraId="173825A4">
                  <w:pPr>
                    <w:widowControl/>
                    <w:adjustRightInd w:val="0"/>
                    <w:snapToGrid w:val="0"/>
                    <w:jc w:val="center"/>
                    <w:rPr>
                      <w:bCs/>
                      <w:color w:val="auto"/>
                      <w:kern w:val="0"/>
                      <w:szCs w:val="21"/>
                      <w:lang w:bidi="ar"/>
                    </w:rPr>
                  </w:pPr>
                  <w:r>
                    <w:rPr>
                      <w:rFonts w:hint="eastAsia"/>
                      <w:bCs/>
                      <w:color w:val="auto"/>
                      <w:kern w:val="0"/>
                      <w:szCs w:val="21"/>
                      <w:lang w:bidi="ar"/>
                    </w:rPr>
                    <w:t>2400</w:t>
                  </w:r>
                </w:p>
              </w:tc>
              <w:tc>
                <w:tcPr>
                  <w:tcW w:w="855" w:type="dxa"/>
                  <w:vAlign w:val="center"/>
                </w:tcPr>
                <w:p w14:paraId="173825A5">
                  <w:pPr>
                    <w:widowControl/>
                    <w:adjustRightInd w:val="0"/>
                    <w:snapToGrid w:val="0"/>
                    <w:jc w:val="center"/>
                    <w:rPr>
                      <w:bCs/>
                      <w:color w:val="auto"/>
                      <w:kern w:val="0"/>
                      <w:szCs w:val="21"/>
                      <w:lang w:bidi="ar"/>
                    </w:rPr>
                  </w:pPr>
                  <w:r>
                    <w:rPr>
                      <w:rFonts w:hint="eastAsia"/>
                      <w:bCs/>
                      <w:color w:val="auto"/>
                      <w:kern w:val="0"/>
                      <w:szCs w:val="21"/>
                      <w:lang w:bidi="ar"/>
                    </w:rPr>
                    <w:t>DA002</w:t>
                  </w:r>
                </w:p>
              </w:tc>
            </w:tr>
            <w:tr w14:paraId="173825B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5A7">
                  <w:pPr>
                    <w:adjustRightInd w:val="0"/>
                    <w:snapToGrid w:val="0"/>
                    <w:jc w:val="center"/>
                    <w:rPr>
                      <w:bCs/>
                      <w:color w:val="auto"/>
                      <w:szCs w:val="21"/>
                    </w:rPr>
                  </w:pPr>
                </w:p>
              </w:tc>
              <w:tc>
                <w:tcPr>
                  <w:tcW w:w="1002" w:type="dxa"/>
                  <w:vMerge w:val="continue"/>
                  <w:vAlign w:val="center"/>
                </w:tcPr>
                <w:p w14:paraId="173825A8">
                  <w:pPr>
                    <w:adjustRightInd w:val="0"/>
                    <w:snapToGrid w:val="0"/>
                    <w:jc w:val="center"/>
                    <w:rPr>
                      <w:bCs/>
                      <w:color w:val="auto"/>
                      <w:szCs w:val="21"/>
                    </w:rPr>
                  </w:pPr>
                </w:p>
              </w:tc>
              <w:tc>
                <w:tcPr>
                  <w:tcW w:w="976" w:type="dxa"/>
                  <w:shd w:val="clear" w:color="auto" w:fill="auto"/>
                  <w:vAlign w:val="center"/>
                </w:tcPr>
                <w:p w14:paraId="173825A9">
                  <w:pPr>
                    <w:adjustRightInd w:val="0"/>
                    <w:snapToGrid w:val="0"/>
                    <w:jc w:val="center"/>
                    <w:rPr>
                      <w:bCs/>
                      <w:color w:val="auto"/>
                      <w:kern w:val="0"/>
                      <w:szCs w:val="21"/>
                    </w:rPr>
                  </w:pPr>
                  <w:r>
                    <w:rPr>
                      <w:rFonts w:hint="eastAsia"/>
                      <w:bCs/>
                      <w:color w:val="auto"/>
                      <w:kern w:val="0"/>
                      <w:szCs w:val="21"/>
                    </w:rPr>
                    <w:t>无组织</w:t>
                  </w:r>
                </w:p>
              </w:tc>
              <w:tc>
                <w:tcPr>
                  <w:tcW w:w="895" w:type="dxa"/>
                  <w:vAlign w:val="center"/>
                </w:tcPr>
                <w:p w14:paraId="173825AA">
                  <w:pPr>
                    <w:adjustRightInd w:val="0"/>
                    <w:snapToGrid w:val="0"/>
                    <w:jc w:val="center"/>
                    <w:rPr>
                      <w:color w:val="auto"/>
                      <w:szCs w:val="21"/>
                    </w:rPr>
                  </w:pPr>
                  <w:r>
                    <w:rPr>
                      <w:rFonts w:hint="eastAsia"/>
                      <w:bCs/>
                      <w:color w:val="auto"/>
                      <w:kern w:val="0"/>
                      <w:szCs w:val="21"/>
                    </w:rPr>
                    <w:t>颗粒物</w:t>
                  </w:r>
                </w:p>
              </w:tc>
              <w:tc>
                <w:tcPr>
                  <w:tcW w:w="909" w:type="dxa"/>
                  <w:vMerge w:val="continue"/>
                  <w:vAlign w:val="center"/>
                </w:tcPr>
                <w:p w14:paraId="173825AB">
                  <w:pPr>
                    <w:adjustRightInd w:val="0"/>
                    <w:snapToGrid w:val="0"/>
                    <w:jc w:val="center"/>
                    <w:rPr>
                      <w:bCs/>
                      <w:color w:val="auto"/>
                      <w:kern w:val="0"/>
                      <w:szCs w:val="21"/>
                    </w:rPr>
                  </w:pPr>
                </w:p>
              </w:tc>
              <w:tc>
                <w:tcPr>
                  <w:tcW w:w="1047" w:type="dxa"/>
                  <w:vAlign w:val="center"/>
                </w:tcPr>
                <w:p w14:paraId="173825AC">
                  <w:pPr>
                    <w:widowControl/>
                    <w:jc w:val="center"/>
                    <w:textAlignment w:val="center"/>
                    <w:rPr>
                      <w:color w:val="auto"/>
                      <w:kern w:val="0"/>
                      <w:szCs w:val="21"/>
                      <w:lang w:bidi="ar"/>
                    </w:rPr>
                  </w:pPr>
                  <w:r>
                    <w:rPr>
                      <w:color w:val="auto"/>
                      <w:kern w:val="0"/>
                      <w:szCs w:val="21"/>
                      <w:lang w:bidi="ar"/>
                    </w:rPr>
                    <w:t xml:space="preserve">0.0228 </w:t>
                  </w:r>
                </w:p>
              </w:tc>
              <w:tc>
                <w:tcPr>
                  <w:tcW w:w="886" w:type="dxa"/>
                  <w:shd w:val="clear" w:color="auto" w:fill="auto"/>
                  <w:vAlign w:val="center"/>
                </w:tcPr>
                <w:p w14:paraId="173825AD">
                  <w:pPr>
                    <w:widowControl/>
                    <w:jc w:val="center"/>
                    <w:textAlignment w:val="center"/>
                    <w:rPr>
                      <w:color w:val="auto"/>
                      <w:kern w:val="0"/>
                      <w:szCs w:val="21"/>
                      <w:lang w:bidi="ar"/>
                    </w:rPr>
                  </w:pPr>
                  <w:r>
                    <w:rPr>
                      <w:color w:val="auto"/>
                      <w:kern w:val="0"/>
                      <w:szCs w:val="21"/>
                      <w:lang w:bidi="ar"/>
                    </w:rPr>
                    <w:t xml:space="preserve">0.0548 </w:t>
                  </w:r>
                </w:p>
              </w:tc>
              <w:tc>
                <w:tcPr>
                  <w:tcW w:w="1048" w:type="dxa"/>
                  <w:vAlign w:val="center"/>
                </w:tcPr>
                <w:p w14:paraId="173825AE">
                  <w:pPr>
                    <w:widowControl/>
                    <w:adjustRightInd w:val="0"/>
                    <w:snapToGrid w:val="0"/>
                    <w:jc w:val="center"/>
                    <w:textAlignment w:val="center"/>
                    <w:rPr>
                      <w:bCs/>
                      <w:color w:val="auto"/>
                      <w:kern w:val="0"/>
                      <w:szCs w:val="21"/>
                      <w:lang w:bidi="ar"/>
                    </w:rPr>
                  </w:pPr>
                  <w:r>
                    <w:rPr>
                      <w:rFonts w:hint="eastAsia"/>
                      <w:bCs/>
                      <w:color w:val="auto"/>
                      <w:kern w:val="0"/>
                      <w:szCs w:val="21"/>
                      <w:lang w:bidi="ar"/>
                    </w:rPr>
                    <w:t>/</w:t>
                  </w:r>
                </w:p>
              </w:tc>
              <w:tc>
                <w:tcPr>
                  <w:tcW w:w="717" w:type="dxa"/>
                  <w:vAlign w:val="center"/>
                </w:tcPr>
                <w:p w14:paraId="173825AF">
                  <w:pPr>
                    <w:widowControl/>
                    <w:adjustRightInd w:val="0"/>
                    <w:snapToGrid w:val="0"/>
                    <w:jc w:val="center"/>
                    <w:textAlignment w:val="center"/>
                    <w:rPr>
                      <w:bCs/>
                      <w:color w:val="auto"/>
                      <w:kern w:val="0"/>
                      <w:szCs w:val="21"/>
                      <w:lang w:bidi="ar"/>
                    </w:rPr>
                  </w:pPr>
                  <w:r>
                    <w:rPr>
                      <w:rFonts w:hint="eastAsia"/>
                      <w:bCs/>
                      <w:color w:val="auto"/>
                      <w:kern w:val="0"/>
                      <w:szCs w:val="21"/>
                      <w:lang w:bidi="ar"/>
                    </w:rPr>
                    <w:t>/</w:t>
                  </w:r>
                </w:p>
              </w:tc>
              <w:tc>
                <w:tcPr>
                  <w:tcW w:w="815" w:type="dxa"/>
                  <w:vMerge w:val="continue"/>
                  <w:vAlign w:val="center"/>
                </w:tcPr>
                <w:p w14:paraId="173825B0">
                  <w:pPr>
                    <w:adjustRightInd w:val="0"/>
                    <w:snapToGrid w:val="0"/>
                    <w:jc w:val="center"/>
                    <w:rPr>
                      <w:bCs/>
                      <w:color w:val="auto"/>
                      <w:kern w:val="0"/>
                      <w:szCs w:val="21"/>
                    </w:rPr>
                  </w:pPr>
                </w:p>
              </w:tc>
              <w:tc>
                <w:tcPr>
                  <w:tcW w:w="964" w:type="dxa"/>
                  <w:vAlign w:val="center"/>
                </w:tcPr>
                <w:p w14:paraId="173825B1">
                  <w:pPr>
                    <w:widowControl/>
                    <w:jc w:val="center"/>
                    <w:textAlignment w:val="center"/>
                    <w:rPr>
                      <w:bCs/>
                      <w:color w:val="auto"/>
                      <w:kern w:val="0"/>
                      <w:szCs w:val="21"/>
                    </w:rPr>
                  </w:pPr>
                  <w:r>
                    <w:rPr>
                      <w:color w:val="auto"/>
                      <w:kern w:val="0"/>
                      <w:szCs w:val="21"/>
                      <w:lang w:bidi="ar"/>
                    </w:rPr>
                    <w:t xml:space="preserve">0.0228 </w:t>
                  </w:r>
                </w:p>
              </w:tc>
              <w:tc>
                <w:tcPr>
                  <w:tcW w:w="967" w:type="dxa"/>
                  <w:vAlign w:val="center"/>
                </w:tcPr>
                <w:p w14:paraId="173825B2">
                  <w:pPr>
                    <w:widowControl/>
                    <w:jc w:val="center"/>
                    <w:textAlignment w:val="center"/>
                    <w:rPr>
                      <w:bCs/>
                      <w:color w:val="auto"/>
                      <w:kern w:val="0"/>
                      <w:szCs w:val="21"/>
                      <w:lang w:bidi="ar"/>
                    </w:rPr>
                  </w:pPr>
                  <w:r>
                    <w:rPr>
                      <w:color w:val="auto"/>
                      <w:kern w:val="0"/>
                      <w:szCs w:val="21"/>
                      <w:lang w:bidi="ar"/>
                    </w:rPr>
                    <w:t xml:space="preserve">0.0548 </w:t>
                  </w:r>
                </w:p>
              </w:tc>
              <w:tc>
                <w:tcPr>
                  <w:tcW w:w="751" w:type="dxa"/>
                  <w:vMerge w:val="continue"/>
                  <w:vAlign w:val="center"/>
                </w:tcPr>
                <w:p w14:paraId="173825B3">
                  <w:pPr>
                    <w:widowControl/>
                    <w:adjustRightInd w:val="0"/>
                    <w:snapToGrid w:val="0"/>
                    <w:jc w:val="center"/>
                    <w:rPr>
                      <w:bCs/>
                      <w:color w:val="auto"/>
                      <w:kern w:val="0"/>
                      <w:szCs w:val="21"/>
                      <w:lang w:bidi="ar"/>
                    </w:rPr>
                  </w:pPr>
                </w:p>
              </w:tc>
              <w:tc>
                <w:tcPr>
                  <w:tcW w:w="855" w:type="dxa"/>
                  <w:vAlign w:val="center"/>
                </w:tcPr>
                <w:p w14:paraId="173825B4">
                  <w:pPr>
                    <w:widowControl/>
                    <w:adjustRightInd w:val="0"/>
                    <w:snapToGrid w:val="0"/>
                    <w:jc w:val="center"/>
                    <w:rPr>
                      <w:bCs/>
                      <w:color w:val="auto"/>
                      <w:kern w:val="0"/>
                      <w:szCs w:val="21"/>
                      <w:lang w:bidi="ar"/>
                    </w:rPr>
                  </w:pPr>
                  <w:r>
                    <w:rPr>
                      <w:rFonts w:hint="eastAsia"/>
                      <w:bCs/>
                      <w:color w:val="auto"/>
                      <w:kern w:val="0"/>
                      <w:szCs w:val="21"/>
                      <w:lang w:bidi="ar"/>
                    </w:rPr>
                    <w:t>/</w:t>
                  </w:r>
                </w:p>
              </w:tc>
            </w:tr>
            <w:tr w14:paraId="173825C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restart"/>
                  <w:vAlign w:val="center"/>
                </w:tcPr>
                <w:p w14:paraId="173825B6">
                  <w:pPr>
                    <w:adjustRightInd w:val="0"/>
                    <w:snapToGrid w:val="0"/>
                    <w:jc w:val="center"/>
                    <w:rPr>
                      <w:bCs/>
                      <w:color w:val="auto"/>
                      <w:szCs w:val="21"/>
                    </w:rPr>
                  </w:pPr>
                  <w:r>
                    <w:rPr>
                      <w:rFonts w:hint="eastAsia"/>
                      <w:bCs/>
                      <w:color w:val="auto"/>
                      <w:szCs w:val="21"/>
                    </w:rPr>
                    <w:t>喷塑</w:t>
                  </w:r>
                </w:p>
              </w:tc>
              <w:tc>
                <w:tcPr>
                  <w:tcW w:w="1002" w:type="dxa"/>
                  <w:vMerge w:val="restart"/>
                  <w:vAlign w:val="center"/>
                </w:tcPr>
                <w:p w14:paraId="173825B7">
                  <w:pPr>
                    <w:adjustRightInd w:val="0"/>
                    <w:snapToGrid w:val="0"/>
                    <w:jc w:val="center"/>
                    <w:rPr>
                      <w:bCs/>
                      <w:color w:val="auto"/>
                      <w:szCs w:val="21"/>
                    </w:rPr>
                  </w:pPr>
                  <w:r>
                    <w:rPr>
                      <w:rFonts w:hint="eastAsia"/>
                      <w:bCs/>
                      <w:color w:val="auto"/>
                      <w:szCs w:val="21"/>
                    </w:rPr>
                    <w:t>静电喷塑设备</w:t>
                  </w:r>
                </w:p>
              </w:tc>
              <w:tc>
                <w:tcPr>
                  <w:tcW w:w="976" w:type="dxa"/>
                  <w:vAlign w:val="center"/>
                </w:tcPr>
                <w:p w14:paraId="173825B8">
                  <w:pPr>
                    <w:adjustRightInd w:val="0"/>
                    <w:snapToGrid w:val="0"/>
                    <w:jc w:val="center"/>
                    <w:rPr>
                      <w:bCs/>
                      <w:color w:val="auto"/>
                      <w:kern w:val="0"/>
                      <w:szCs w:val="21"/>
                    </w:rPr>
                  </w:pPr>
                  <w:r>
                    <w:rPr>
                      <w:rFonts w:hint="eastAsia"/>
                      <w:bCs/>
                      <w:color w:val="auto"/>
                      <w:kern w:val="0"/>
                      <w:szCs w:val="21"/>
                    </w:rPr>
                    <w:t>有组织</w:t>
                  </w:r>
                </w:p>
              </w:tc>
              <w:tc>
                <w:tcPr>
                  <w:tcW w:w="895" w:type="dxa"/>
                  <w:vAlign w:val="center"/>
                </w:tcPr>
                <w:p w14:paraId="173825B9">
                  <w:pPr>
                    <w:adjustRightInd w:val="0"/>
                    <w:snapToGrid w:val="0"/>
                    <w:jc w:val="center"/>
                    <w:rPr>
                      <w:color w:val="auto"/>
                      <w:szCs w:val="21"/>
                    </w:rPr>
                  </w:pPr>
                  <w:r>
                    <w:rPr>
                      <w:rFonts w:hint="eastAsia"/>
                      <w:color w:val="auto"/>
                      <w:szCs w:val="21"/>
                    </w:rPr>
                    <w:t>颗粒物</w:t>
                  </w:r>
                </w:p>
              </w:tc>
              <w:tc>
                <w:tcPr>
                  <w:tcW w:w="909" w:type="dxa"/>
                  <w:vMerge w:val="restart"/>
                  <w:vAlign w:val="center"/>
                </w:tcPr>
                <w:p w14:paraId="173825BA">
                  <w:pPr>
                    <w:adjustRightInd w:val="0"/>
                    <w:snapToGrid w:val="0"/>
                    <w:jc w:val="center"/>
                    <w:rPr>
                      <w:bCs/>
                      <w:color w:val="auto"/>
                      <w:kern w:val="0"/>
                      <w:szCs w:val="21"/>
                    </w:rPr>
                  </w:pPr>
                  <w:r>
                    <w:rPr>
                      <w:bCs/>
                      <w:color w:val="auto"/>
                      <w:kern w:val="0"/>
                      <w:szCs w:val="21"/>
                    </w:rPr>
                    <w:t>产污系数法</w:t>
                  </w:r>
                </w:p>
              </w:tc>
              <w:tc>
                <w:tcPr>
                  <w:tcW w:w="1047" w:type="dxa"/>
                  <w:vAlign w:val="center"/>
                </w:tcPr>
                <w:p w14:paraId="173825BB">
                  <w:pPr>
                    <w:widowControl/>
                    <w:jc w:val="center"/>
                    <w:textAlignment w:val="center"/>
                    <w:rPr>
                      <w:color w:val="auto"/>
                      <w:kern w:val="0"/>
                      <w:szCs w:val="21"/>
                      <w:lang w:bidi="ar"/>
                    </w:rPr>
                  </w:pPr>
                  <w:r>
                    <w:rPr>
                      <w:color w:val="auto"/>
                      <w:kern w:val="0"/>
                      <w:szCs w:val="21"/>
                      <w:lang w:bidi="ar"/>
                    </w:rPr>
                    <w:t xml:space="preserve">0.5344 </w:t>
                  </w:r>
                </w:p>
              </w:tc>
              <w:tc>
                <w:tcPr>
                  <w:tcW w:w="886" w:type="dxa"/>
                  <w:shd w:val="clear" w:color="auto" w:fill="auto"/>
                  <w:vAlign w:val="center"/>
                </w:tcPr>
                <w:p w14:paraId="173825BC">
                  <w:pPr>
                    <w:widowControl/>
                    <w:jc w:val="center"/>
                    <w:textAlignment w:val="center"/>
                    <w:rPr>
                      <w:color w:val="auto"/>
                      <w:kern w:val="0"/>
                      <w:szCs w:val="21"/>
                      <w:lang w:bidi="ar"/>
                    </w:rPr>
                  </w:pPr>
                  <w:r>
                    <w:rPr>
                      <w:color w:val="auto"/>
                      <w:kern w:val="0"/>
                      <w:szCs w:val="21"/>
                      <w:lang w:bidi="ar"/>
                    </w:rPr>
                    <w:t xml:space="preserve">1.2825 </w:t>
                  </w:r>
                </w:p>
              </w:tc>
              <w:tc>
                <w:tcPr>
                  <w:tcW w:w="1048" w:type="dxa"/>
                  <w:vAlign w:val="center"/>
                </w:tcPr>
                <w:p w14:paraId="173825BD">
                  <w:pPr>
                    <w:adjustRightInd w:val="0"/>
                    <w:snapToGrid w:val="0"/>
                    <w:jc w:val="center"/>
                    <w:rPr>
                      <w:bCs/>
                      <w:color w:val="auto"/>
                      <w:szCs w:val="21"/>
                    </w:rPr>
                  </w:pPr>
                  <w:r>
                    <w:rPr>
                      <w:rFonts w:hint="eastAsia"/>
                      <w:bCs/>
                      <w:color w:val="auto"/>
                      <w:szCs w:val="21"/>
                    </w:rPr>
                    <w:t>旋风+脉冲滤芯除尘器（系统自带）</w:t>
                  </w:r>
                </w:p>
              </w:tc>
              <w:tc>
                <w:tcPr>
                  <w:tcW w:w="717" w:type="dxa"/>
                  <w:vAlign w:val="center"/>
                </w:tcPr>
                <w:p w14:paraId="173825BE">
                  <w:pPr>
                    <w:widowControl/>
                    <w:adjustRightInd w:val="0"/>
                    <w:snapToGrid w:val="0"/>
                    <w:jc w:val="center"/>
                    <w:textAlignment w:val="center"/>
                    <w:rPr>
                      <w:bCs/>
                      <w:color w:val="auto"/>
                      <w:kern w:val="0"/>
                      <w:szCs w:val="21"/>
                      <w:lang w:bidi="ar"/>
                    </w:rPr>
                  </w:pPr>
                  <w:r>
                    <w:rPr>
                      <w:rFonts w:hint="eastAsia"/>
                      <w:bCs/>
                      <w:color w:val="auto"/>
                      <w:kern w:val="0"/>
                      <w:szCs w:val="21"/>
                      <w:lang w:bidi="ar"/>
                    </w:rPr>
                    <w:t>98%</w:t>
                  </w:r>
                </w:p>
              </w:tc>
              <w:tc>
                <w:tcPr>
                  <w:tcW w:w="815" w:type="dxa"/>
                  <w:vMerge w:val="restart"/>
                  <w:vAlign w:val="center"/>
                </w:tcPr>
                <w:p w14:paraId="173825BF">
                  <w:pPr>
                    <w:adjustRightInd w:val="0"/>
                    <w:snapToGrid w:val="0"/>
                    <w:jc w:val="center"/>
                    <w:rPr>
                      <w:bCs/>
                      <w:color w:val="auto"/>
                      <w:kern w:val="0"/>
                      <w:szCs w:val="21"/>
                    </w:rPr>
                  </w:pPr>
                  <w:r>
                    <w:rPr>
                      <w:rFonts w:hint="eastAsia"/>
                      <w:bCs/>
                      <w:color w:val="auto"/>
                      <w:kern w:val="0"/>
                      <w:szCs w:val="21"/>
                    </w:rPr>
                    <w:t>产污系数法</w:t>
                  </w:r>
                </w:p>
              </w:tc>
              <w:tc>
                <w:tcPr>
                  <w:tcW w:w="964" w:type="dxa"/>
                  <w:vAlign w:val="center"/>
                </w:tcPr>
                <w:p w14:paraId="173825C0">
                  <w:pPr>
                    <w:widowControl/>
                    <w:jc w:val="center"/>
                    <w:textAlignment w:val="center"/>
                    <w:rPr>
                      <w:bCs/>
                      <w:color w:val="auto"/>
                      <w:kern w:val="0"/>
                      <w:szCs w:val="21"/>
                    </w:rPr>
                  </w:pPr>
                  <w:r>
                    <w:rPr>
                      <w:color w:val="auto"/>
                      <w:kern w:val="0"/>
                      <w:szCs w:val="21"/>
                      <w:lang w:bidi="ar"/>
                    </w:rPr>
                    <w:t xml:space="preserve">0.0107 </w:t>
                  </w:r>
                </w:p>
              </w:tc>
              <w:tc>
                <w:tcPr>
                  <w:tcW w:w="967" w:type="dxa"/>
                  <w:shd w:val="clear" w:color="auto" w:fill="auto"/>
                  <w:vAlign w:val="center"/>
                </w:tcPr>
                <w:p w14:paraId="173825C1">
                  <w:pPr>
                    <w:widowControl/>
                    <w:jc w:val="center"/>
                    <w:textAlignment w:val="center"/>
                    <w:rPr>
                      <w:bCs/>
                      <w:color w:val="auto"/>
                      <w:kern w:val="0"/>
                      <w:szCs w:val="21"/>
                      <w:lang w:bidi="ar"/>
                    </w:rPr>
                  </w:pPr>
                  <w:r>
                    <w:rPr>
                      <w:color w:val="auto"/>
                      <w:kern w:val="0"/>
                      <w:szCs w:val="21"/>
                      <w:lang w:bidi="ar"/>
                    </w:rPr>
                    <w:t xml:space="preserve">0.0257 </w:t>
                  </w:r>
                </w:p>
              </w:tc>
              <w:tc>
                <w:tcPr>
                  <w:tcW w:w="751" w:type="dxa"/>
                  <w:vMerge w:val="restart"/>
                  <w:vAlign w:val="center"/>
                </w:tcPr>
                <w:p w14:paraId="173825C2">
                  <w:pPr>
                    <w:widowControl/>
                    <w:adjustRightInd w:val="0"/>
                    <w:snapToGrid w:val="0"/>
                    <w:jc w:val="center"/>
                    <w:rPr>
                      <w:bCs/>
                      <w:color w:val="auto"/>
                      <w:kern w:val="0"/>
                      <w:szCs w:val="21"/>
                      <w:lang w:bidi="ar"/>
                    </w:rPr>
                  </w:pPr>
                  <w:r>
                    <w:rPr>
                      <w:rFonts w:hint="eastAsia"/>
                      <w:bCs/>
                      <w:color w:val="auto"/>
                      <w:kern w:val="0"/>
                      <w:szCs w:val="21"/>
                      <w:lang w:bidi="ar"/>
                    </w:rPr>
                    <w:t>2400</w:t>
                  </w:r>
                </w:p>
              </w:tc>
              <w:tc>
                <w:tcPr>
                  <w:tcW w:w="855" w:type="dxa"/>
                  <w:vAlign w:val="center"/>
                </w:tcPr>
                <w:p w14:paraId="173825C3">
                  <w:pPr>
                    <w:widowControl/>
                    <w:adjustRightInd w:val="0"/>
                    <w:snapToGrid w:val="0"/>
                    <w:jc w:val="center"/>
                    <w:rPr>
                      <w:bCs/>
                      <w:color w:val="auto"/>
                      <w:kern w:val="0"/>
                      <w:szCs w:val="21"/>
                      <w:lang w:bidi="ar"/>
                    </w:rPr>
                  </w:pPr>
                  <w:r>
                    <w:rPr>
                      <w:rFonts w:hint="eastAsia"/>
                      <w:bCs/>
                      <w:color w:val="auto"/>
                      <w:kern w:val="0"/>
                      <w:szCs w:val="21"/>
                      <w:lang w:bidi="ar"/>
                    </w:rPr>
                    <w:t>DA002</w:t>
                  </w:r>
                </w:p>
              </w:tc>
            </w:tr>
            <w:tr w14:paraId="173825D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5C5">
                  <w:pPr>
                    <w:adjustRightInd w:val="0"/>
                    <w:snapToGrid w:val="0"/>
                    <w:jc w:val="center"/>
                    <w:rPr>
                      <w:bCs/>
                      <w:color w:val="auto"/>
                      <w:szCs w:val="21"/>
                    </w:rPr>
                  </w:pPr>
                </w:p>
              </w:tc>
              <w:tc>
                <w:tcPr>
                  <w:tcW w:w="1002" w:type="dxa"/>
                  <w:vMerge w:val="continue"/>
                  <w:vAlign w:val="center"/>
                </w:tcPr>
                <w:p w14:paraId="173825C6">
                  <w:pPr>
                    <w:adjustRightInd w:val="0"/>
                    <w:snapToGrid w:val="0"/>
                    <w:jc w:val="center"/>
                    <w:rPr>
                      <w:bCs/>
                      <w:color w:val="auto"/>
                      <w:szCs w:val="21"/>
                    </w:rPr>
                  </w:pPr>
                </w:p>
              </w:tc>
              <w:tc>
                <w:tcPr>
                  <w:tcW w:w="976" w:type="dxa"/>
                  <w:vAlign w:val="center"/>
                </w:tcPr>
                <w:p w14:paraId="173825C7">
                  <w:pPr>
                    <w:adjustRightInd w:val="0"/>
                    <w:snapToGrid w:val="0"/>
                    <w:jc w:val="center"/>
                    <w:rPr>
                      <w:bCs/>
                      <w:color w:val="auto"/>
                      <w:kern w:val="0"/>
                      <w:szCs w:val="21"/>
                    </w:rPr>
                  </w:pPr>
                  <w:r>
                    <w:rPr>
                      <w:rFonts w:hint="eastAsia"/>
                      <w:bCs/>
                      <w:color w:val="auto"/>
                      <w:kern w:val="0"/>
                      <w:szCs w:val="21"/>
                    </w:rPr>
                    <w:t>无组织</w:t>
                  </w:r>
                </w:p>
              </w:tc>
              <w:tc>
                <w:tcPr>
                  <w:tcW w:w="895" w:type="dxa"/>
                  <w:vAlign w:val="center"/>
                </w:tcPr>
                <w:p w14:paraId="173825C8">
                  <w:pPr>
                    <w:adjustRightInd w:val="0"/>
                    <w:snapToGrid w:val="0"/>
                    <w:jc w:val="center"/>
                    <w:rPr>
                      <w:color w:val="auto"/>
                      <w:szCs w:val="21"/>
                    </w:rPr>
                  </w:pPr>
                  <w:r>
                    <w:rPr>
                      <w:rFonts w:hint="eastAsia"/>
                      <w:bCs/>
                      <w:color w:val="auto"/>
                      <w:kern w:val="0"/>
                      <w:szCs w:val="21"/>
                    </w:rPr>
                    <w:t>颗粒物</w:t>
                  </w:r>
                </w:p>
              </w:tc>
              <w:tc>
                <w:tcPr>
                  <w:tcW w:w="909" w:type="dxa"/>
                  <w:vMerge w:val="continue"/>
                  <w:vAlign w:val="center"/>
                </w:tcPr>
                <w:p w14:paraId="173825C9">
                  <w:pPr>
                    <w:adjustRightInd w:val="0"/>
                    <w:snapToGrid w:val="0"/>
                    <w:jc w:val="center"/>
                    <w:rPr>
                      <w:bCs/>
                      <w:color w:val="auto"/>
                      <w:kern w:val="0"/>
                      <w:szCs w:val="21"/>
                    </w:rPr>
                  </w:pPr>
                </w:p>
              </w:tc>
              <w:tc>
                <w:tcPr>
                  <w:tcW w:w="1047" w:type="dxa"/>
                  <w:vAlign w:val="center"/>
                </w:tcPr>
                <w:p w14:paraId="173825CA">
                  <w:pPr>
                    <w:widowControl/>
                    <w:jc w:val="center"/>
                    <w:textAlignment w:val="center"/>
                    <w:rPr>
                      <w:color w:val="auto"/>
                      <w:kern w:val="0"/>
                      <w:szCs w:val="21"/>
                      <w:lang w:bidi="ar"/>
                    </w:rPr>
                  </w:pPr>
                  <w:r>
                    <w:rPr>
                      <w:color w:val="auto"/>
                      <w:kern w:val="0"/>
                      <w:szCs w:val="21"/>
                      <w:lang w:bidi="ar"/>
                    </w:rPr>
                    <w:t xml:space="preserve">0.0281 </w:t>
                  </w:r>
                </w:p>
              </w:tc>
              <w:tc>
                <w:tcPr>
                  <w:tcW w:w="886" w:type="dxa"/>
                  <w:shd w:val="clear" w:color="auto" w:fill="auto"/>
                  <w:vAlign w:val="center"/>
                </w:tcPr>
                <w:p w14:paraId="173825CB">
                  <w:pPr>
                    <w:widowControl/>
                    <w:jc w:val="center"/>
                    <w:textAlignment w:val="center"/>
                    <w:rPr>
                      <w:color w:val="auto"/>
                      <w:kern w:val="0"/>
                      <w:szCs w:val="21"/>
                      <w:lang w:bidi="ar"/>
                    </w:rPr>
                  </w:pPr>
                  <w:r>
                    <w:rPr>
                      <w:color w:val="auto"/>
                      <w:kern w:val="0"/>
                      <w:szCs w:val="21"/>
                      <w:lang w:bidi="ar"/>
                    </w:rPr>
                    <w:t xml:space="preserve">0.0675 </w:t>
                  </w:r>
                </w:p>
              </w:tc>
              <w:tc>
                <w:tcPr>
                  <w:tcW w:w="1048" w:type="dxa"/>
                  <w:vAlign w:val="center"/>
                </w:tcPr>
                <w:p w14:paraId="173825CC">
                  <w:pPr>
                    <w:adjustRightInd w:val="0"/>
                    <w:snapToGrid w:val="0"/>
                    <w:jc w:val="center"/>
                    <w:rPr>
                      <w:bCs/>
                      <w:color w:val="auto"/>
                      <w:szCs w:val="21"/>
                    </w:rPr>
                  </w:pPr>
                  <w:r>
                    <w:rPr>
                      <w:rFonts w:hint="eastAsia"/>
                      <w:bCs/>
                      <w:color w:val="auto"/>
                      <w:szCs w:val="21"/>
                    </w:rPr>
                    <w:t>自身重力沉降</w:t>
                  </w:r>
                </w:p>
              </w:tc>
              <w:tc>
                <w:tcPr>
                  <w:tcW w:w="717" w:type="dxa"/>
                  <w:vAlign w:val="center"/>
                </w:tcPr>
                <w:p w14:paraId="173825CD">
                  <w:pPr>
                    <w:widowControl/>
                    <w:adjustRightInd w:val="0"/>
                    <w:snapToGrid w:val="0"/>
                    <w:jc w:val="center"/>
                    <w:textAlignment w:val="center"/>
                    <w:rPr>
                      <w:bCs/>
                      <w:color w:val="auto"/>
                      <w:kern w:val="0"/>
                      <w:szCs w:val="21"/>
                      <w:lang w:bidi="ar"/>
                    </w:rPr>
                  </w:pPr>
                  <w:r>
                    <w:rPr>
                      <w:rFonts w:hint="eastAsia"/>
                      <w:bCs/>
                      <w:color w:val="auto"/>
                      <w:kern w:val="0"/>
                      <w:szCs w:val="21"/>
                      <w:lang w:bidi="ar"/>
                    </w:rPr>
                    <w:t>90%</w:t>
                  </w:r>
                </w:p>
              </w:tc>
              <w:tc>
                <w:tcPr>
                  <w:tcW w:w="815" w:type="dxa"/>
                  <w:vMerge w:val="continue"/>
                  <w:vAlign w:val="center"/>
                </w:tcPr>
                <w:p w14:paraId="173825CE">
                  <w:pPr>
                    <w:adjustRightInd w:val="0"/>
                    <w:snapToGrid w:val="0"/>
                    <w:jc w:val="center"/>
                    <w:rPr>
                      <w:bCs/>
                      <w:color w:val="auto"/>
                      <w:kern w:val="0"/>
                      <w:szCs w:val="21"/>
                    </w:rPr>
                  </w:pPr>
                </w:p>
              </w:tc>
              <w:tc>
                <w:tcPr>
                  <w:tcW w:w="964" w:type="dxa"/>
                  <w:vAlign w:val="center"/>
                </w:tcPr>
                <w:p w14:paraId="173825CF">
                  <w:pPr>
                    <w:widowControl/>
                    <w:jc w:val="center"/>
                    <w:textAlignment w:val="center"/>
                    <w:rPr>
                      <w:bCs/>
                      <w:color w:val="auto"/>
                      <w:kern w:val="0"/>
                      <w:szCs w:val="21"/>
                    </w:rPr>
                  </w:pPr>
                  <w:r>
                    <w:rPr>
                      <w:color w:val="auto"/>
                      <w:kern w:val="0"/>
                      <w:szCs w:val="21"/>
                      <w:lang w:bidi="ar"/>
                    </w:rPr>
                    <w:t xml:space="preserve">0.0028 </w:t>
                  </w:r>
                </w:p>
              </w:tc>
              <w:tc>
                <w:tcPr>
                  <w:tcW w:w="967" w:type="dxa"/>
                  <w:shd w:val="clear" w:color="auto" w:fill="auto"/>
                  <w:vAlign w:val="center"/>
                </w:tcPr>
                <w:p w14:paraId="173825D0">
                  <w:pPr>
                    <w:widowControl/>
                    <w:jc w:val="center"/>
                    <w:textAlignment w:val="center"/>
                    <w:rPr>
                      <w:bCs/>
                      <w:color w:val="auto"/>
                      <w:kern w:val="0"/>
                      <w:szCs w:val="21"/>
                      <w:lang w:bidi="ar"/>
                    </w:rPr>
                  </w:pPr>
                  <w:r>
                    <w:rPr>
                      <w:color w:val="auto"/>
                      <w:kern w:val="0"/>
                      <w:szCs w:val="21"/>
                      <w:lang w:bidi="ar"/>
                    </w:rPr>
                    <w:t xml:space="preserve">0.0068 </w:t>
                  </w:r>
                </w:p>
              </w:tc>
              <w:tc>
                <w:tcPr>
                  <w:tcW w:w="751" w:type="dxa"/>
                  <w:vMerge w:val="continue"/>
                  <w:vAlign w:val="center"/>
                </w:tcPr>
                <w:p w14:paraId="173825D1">
                  <w:pPr>
                    <w:widowControl/>
                    <w:adjustRightInd w:val="0"/>
                    <w:snapToGrid w:val="0"/>
                    <w:jc w:val="center"/>
                    <w:rPr>
                      <w:bCs/>
                      <w:color w:val="auto"/>
                      <w:kern w:val="0"/>
                      <w:szCs w:val="21"/>
                      <w:lang w:bidi="ar"/>
                    </w:rPr>
                  </w:pPr>
                </w:p>
              </w:tc>
              <w:tc>
                <w:tcPr>
                  <w:tcW w:w="855" w:type="dxa"/>
                  <w:vAlign w:val="center"/>
                </w:tcPr>
                <w:p w14:paraId="173825D2">
                  <w:pPr>
                    <w:widowControl/>
                    <w:adjustRightInd w:val="0"/>
                    <w:snapToGrid w:val="0"/>
                    <w:jc w:val="center"/>
                    <w:rPr>
                      <w:bCs/>
                      <w:color w:val="auto"/>
                      <w:kern w:val="0"/>
                      <w:szCs w:val="21"/>
                      <w:lang w:bidi="ar"/>
                    </w:rPr>
                  </w:pPr>
                  <w:r>
                    <w:rPr>
                      <w:rFonts w:hint="eastAsia"/>
                      <w:bCs/>
                      <w:color w:val="auto"/>
                      <w:kern w:val="0"/>
                      <w:szCs w:val="21"/>
                      <w:lang w:bidi="ar"/>
                    </w:rPr>
                    <w:t>/</w:t>
                  </w:r>
                </w:p>
              </w:tc>
            </w:tr>
            <w:tr w14:paraId="173825E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restart"/>
                  <w:vAlign w:val="center"/>
                </w:tcPr>
                <w:p w14:paraId="173825D4">
                  <w:pPr>
                    <w:adjustRightInd w:val="0"/>
                    <w:snapToGrid w:val="0"/>
                    <w:jc w:val="center"/>
                    <w:rPr>
                      <w:bCs/>
                      <w:color w:val="auto"/>
                      <w:szCs w:val="21"/>
                    </w:rPr>
                  </w:pPr>
                  <w:r>
                    <w:rPr>
                      <w:rFonts w:hint="eastAsia"/>
                      <w:bCs/>
                      <w:color w:val="auto"/>
                      <w:szCs w:val="21"/>
                    </w:rPr>
                    <w:t>抛光</w:t>
                  </w:r>
                </w:p>
              </w:tc>
              <w:tc>
                <w:tcPr>
                  <w:tcW w:w="1002" w:type="dxa"/>
                  <w:vMerge w:val="restart"/>
                  <w:vAlign w:val="center"/>
                </w:tcPr>
                <w:p w14:paraId="173825D5">
                  <w:pPr>
                    <w:adjustRightInd w:val="0"/>
                    <w:snapToGrid w:val="0"/>
                    <w:jc w:val="center"/>
                    <w:rPr>
                      <w:bCs/>
                      <w:color w:val="auto"/>
                      <w:szCs w:val="21"/>
                    </w:rPr>
                  </w:pPr>
                  <w:r>
                    <w:rPr>
                      <w:rFonts w:hint="eastAsia"/>
                      <w:bCs/>
                      <w:color w:val="auto"/>
                      <w:szCs w:val="21"/>
                    </w:rPr>
                    <w:t>抛光机</w:t>
                  </w:r>
                </w:p>
              </w:tc>
              <w:tc>
                <w:tcPr>
                  <w:tcW w:w="976" w:type="dxa"/>
                  <w:vAlign w:val="center"/>
                </w:tcPr>
                <w:p w14:paraId="173825D6">
                  <w:pPr>
                    <w:adjustRightInd w:val="0"/>
                    <w:snapToGrid w:val="0"/>
                    <w:jc w:val="center"/>
                    <w:rPr>
                      <w:bCs/>
                      <w:color w:val="auto"/>
                      <w:kern w:val="0"/>
                      <w:szCs w:val="21"/>
                    </w:rPr>
                  </w:pPr>
                  <w:r>
                    <w:rPr>
                      <w:rFonts w:hint="eastAsia"/>
                      <w:bCs/>
                      <w:color w:val="auto"/>
                      <w:kern w:val="0"/>
                      <w:szCs w:val="21"/>
                    </w:rPr>
                    <w:t>有组织</w:t>
                  </w:r>
                </w:p>
              </w:tc>
              <w:tc>
                <w:tcPr>
                  <w:tcW w:w="895" w:type="dxa"/>
                  <w:vAlign w:val="center"/>
                </w:tcPr>
                <w:p w14:paraId="173825D7">
                  <w:pPr>
                    <w:adjustRightInd w:val="0"/>
                    <w:snapToGrid w:val="0"/>
                    <w:jc w:val="center"/>
                    <w:rPr>
                      <w:color w:val="auto"/>
                      <w:szCs w:val="21"/>
                    </w:rPr>
                  </w:pPr>
                  <w:r>
                    <w:rPr>
                      <w:rFonts w:hint="eastAsia"/>
                      <w:color w:val="auto"/>
                      <w:szCs w:val="21"/>
                    </w:rPr>
                    <w:t>颗粒物</w:t>
                  </w:r>
                </w:p>
              </w:tc>
              <w:tc>
                <w:tcPr>
                  <w:tcW w:w="909" w:type="dxa"/>
                  <w:vMerge w:val="restart"/>
                  <w:vAlign w:val="center"/>
                </w:tcPr>
                <w:p w14:paraId="173825D8">
                  <w:pPr>
                    <w:adjustRightInd w:val="0"/>
                    <w:snapToGrid w:val="0"/>
                    <w:jc w:val="center"/>
                    <w:rPr>
                      <w:bCs/>
                      <w:color w:val="auto"/>
                      <w:kern w:val="0"/>
                      <w:szCs w:val="21"/>
                    </w:rPr>
                  </w:pPr>
                  <w:r>
                    <w:rPr>
                      <w:bCs/>
                      <w:color w:val="auto"/>
                      <w:kern w:val="0"/>
                      <w:szCs w:val="21"/>
                    </w:rPr>
                    <w:t>产污系数法</w:t>
                  </w:r>
                </w:p>
              </w:tc>
              <w:tc>
                <w:tcPr>
                  <w:tcW w:w="1047" w:type="dxa"/>
                  <w:vAlign w:val="center"/>
                </w:tcPr>
                <w:p w14:paraId="173825D9">
                  <w:pPr>
                    <w:widowControl/>
                    <w:jc w:val="center"/>
                    <w:textAlignment w:val="center"/>
                    <w:rPr>
                      <w:color w:val="auto"/>
                      <w:kern w:val="0"/>
                      <w:szCs w:val="21"/>
                      <w:lang w:bidi="ar"/>
                    </w:rPr>
                  </w:pPr>
                  <w:r>
                    <w:rPr>
                      <w:color w:val="auto"/>
                      <w:kern w:val="0"/>
                      <w:szCs w:val="21"/>
                      <w:lang w:bidi="ar"/>
                    </w:rPr>
                    <w:t xml:space="preserve">0.4106 </w:t>
                  </w:r>
                </w:p>
              </w:tc>
              <w:tc>
                <w:tcPr>
                  <w:tcW w:w="886" w:type="dxa"/>
                  <w:shd w:val="clear" w:color="auto" w:fill="auto"/>
                  <w:vAlign w:val="center"/>
                </w:tcPr>
                <w:p w14:paraId="173825DA">
                  <w:pPr>
                    <w:widowControl/>
                    <w:jc w:val="center"/>
                    <w:textAlignment w:val="center"/>
                    <w:rPr>
                      <w:color w:val="auto"/>
                      <w:kern w:val="0"/>
                      <w:szCs w:val="21"/>
                      <w:lang w:bidi="ar"/>
                    </w:rPr>
                  </w:pPr>
                  <w:r>
                    <w:rPr>
                      <w:color w:val="auto"/>
                      <w:kern w:val="0"/>
                      <w:szCs w:val="21"/>
                      <w:lang w:bidi="ar"/>
                    </w:rPr>
                    <w:t xml:space="preserve">0.9855 </w:t>
                  </w:r>
                </w:p>
              </w:tc>
              <w:tc>
                <w:tcPr>
                  <w:tcW w:w="1048" w:type="dxa"/>
                  <w:vAlign w:val="center"/>
                </w:tcPr>
                <w:p w14:paraId="173825DB">
                  <w:pPr>
                    <w:widowControl/>
                    <w:adjustRightInd w:val="0"/>
                    <w:snapToGrid w:val="0"/>
                    <w:jc w:val="center"/>
                    <w:textAlignment w:val="center"/>
                    <w:rPr>
                      <w:bCs/>
                      <w:color w:val="auto"/>
                      <w:kern w:val="0"/>
                      <w:szCs w:val="21"/>
                      <w:lang w:bidi="ar"/>
                    </w:rPr>
                  </w:pPr>
                  <w:r>
                    <w:rPr>
                      <w:rFonts w:hint="eastAsia"/>
                      <w:bCs/>
                      <w:color w:val="auto"/>
                      <w:kern w:val="0"/>
                      <w:szCs w:val="21"/>
                      <w:lang w:bidi="ar"/>
                    </w:rPr>
                    <w:t>布袋除尘器</w:t>
                  </w:r>
                </w:p>
              </w:tc>
              <w:tc>
                <w:tcPr>
                  <w:tcW w:w="717" w:type="dxa"/>
                  <w:vAlign w:val="center"/>
                </w:tcPr>
                <w:p w14:paraId="173825DC">
                  <w:pPr>
                    <w:widowControl/>
                    <w:adjustRightInd w:val="0"/>
                    <w:snapToGrid w:val="0"/>
                    <w:jc w:val="center"/>
                    <w:textAlignment w:val="center"/>
                    <w:rPr>
                      <w:bCs/>
                      <w:color w:val="auto"/>
                      <w:kern w:val="0"/>
                      <w:szCs w:val="21"/>
                      <w:lang w:bidi="ar"/>
                    </w:rPr>
                  </w:pPr>
                  <w:r>
                    <w:rPr>
                      <w:rFonts w:hint="eastAsia"/>
                      <w:bCs/>
                      <w:color w:val="auto"/>
                      <w:kern w:val="0"/>
                      <w:szCs w:val="21"/>
                      <w:lang w:bidi="ar"/>
                    </w:rPr>
                    <w:t>95%</w:t>
                  </w:r>
                </w:p>
              </w:tc>
              <w:tc>
                <w:tcPr>
                  <w:tcW w:w="815" w:type="dxa"/>
                  <w:vMerge w:val="restart"/>
                  <w:vAlign w:val="center"/>
                </w:tcPr>
                <w:p w14:paraId="173825DD">
                  <w:pPr>
                    <w:adjustRightInd w:val="0"/>
                    <w:snapToGrid w:val="0"/>
                    <w:jc w:val="center"/>
                    <w:rPr>
                      <w:bCs/>
                      <w:color w:val="auto"/>
                      <w:kern w:val="0"/>
                      <w:szCs w:val="21"/>
                    </w:rPr>
                  </w:pPr>
                  <w:r>
                    <w:rPr>
                      <w:rFonts w:hint="eastAsia"/>
                      <w:bCs/>
                      <w:color w:val="auto"/>
                      <w:kern w:val="0"/>
                      <w:szCs w:val="21"/>
                    </w:rPr>
                    <w:t>产污系数法</w:t>
                  </w:r>
                </w:p>
              </w:tc>
              <w:tc>
                <w:tcPr>
                  <w:tcW w:w="964" w:type="dxa"/>
                  <w:vAlign w:val="center"/>
                </w:tcPr>
                <w:p w14:paraId="173825DE">
                  <w:pPr>
                    <w:widowControl/>
                    <w:jc w:val="center"/>
                    <w:textAlignment w:val="center"/>
                    <w:rPr>
                      <w:bCs/>
                      <w:color w:val="auto"/>
                      <w:kern w:val="0"/>
                      <w:szCs w:val="21"/>
                    </w:rPr>
                  </w:pPr>
                  <w:r>
                    <w:rPr>
                      <w:color w:val="auto"/>
                      <w:kern w:val="0"/>
                      <w:szCs w:val="21"/>
                      <w:lang w:bidi="ar"/>
                    </w:rPr>
                    <w:t xml:space="preserve">0.0205 </w:t>
                  </w:r>
                </w:p>
              </w:tc>
              <w:tc>
                <w:tcPr>
                  <w:tcW w:w="967" w:type="dxa"/>
                  <w:shd w:val="clear" w:color="auto" w:fill="auto"/>
                  <w:vAlign w:val="center"/>
                </w:tcPr>
                <w:p w14:paraId="173825DF">
                  <w:pPr>
                    <w:widowControl/>
                    <w:jc w:val="center"/>
                    <w:textAlignment w:val="center"/>
                    <w:rPr>
                      <w:bCs/>
                      <w:color w:val="auto"/>
                      <w:kern w:val="0"/>
                      <w:szCs w:val="21"/>
                      <w:lang w:bidi="ar"/>
                    </w:rPr>
                  </w:pPr>
                  <w:r>
                    <w:rPr>
                      <w:color w:val="auto"/>
                      <w:kern w:val="0"/>
                      <w:szCs w:val="21"/>
                      <w:lang w:bidi="ar"/>
                    </w:rPr>
                    <w:t xml:space="preserve">0.0493 </w:t>
                  </w:r>
                </w:p>
              </w:tc>
              <w:tc>
                <w:tcPr>
                  <w:tcW w:w="751" w:type="dxa"/>
                  <w:vMerge w:val="restart"/>
                  <w:vAlign w:val="center"/>
                </w:tcPr>
                <w:p w14:paraId="173825E0">
                  <w:pPr>
                    <w:widowControl/>
                    <w:adjustRightInd w:val="0"/>
                    <w:snapToGrid w:val="0"/>
                    <w:jc w:val="center"/>
                    <w:rPr>
                      <w:bCs/>
                      <w:color w:val="auto"/>
                      <w:kern w:val="0"/>
                      <w:szCs w:val="21"/>
                      <w:lang w:bidi="ar"/>
                    </w:rPr>
                  </w:pPr>
                  <w:r>
                    <w:rPr>
                      <w:rFonts w:hint="eastAsia"/>
                      <w:bCs/>
                      <w:color w:val="auto"/>
                      <w:kern w:val="0"/>
                      <w:szCs w:val="21"/>
                      <w:lang w:bidi="ar"/>
                    </w:rPr>
                    <w:t>2400</w:t>
                  </w:r>
                </w:p>
              </w:tc>
              <w:tc>
                <w:tcPr>
                  <w:tcW w:w="855" w:type="dxa"/>
                  <w:vAlign w:val="center"/>
                </w:tcPr>
                <w:p w14:paraId="173825E1">
                  <w:pPr>
                    <w:widowControl/>
                    <w:adjustRightInd w:val="0"/>
                    <w:snapToGrid w:val="0"/>
                    <w:jc w:val="center"/>
                    <w:rPr>
                      <w:bCs/>
                      <w:color w:val="auto"/>
                      <w:kern w:val="0"/>
                      <w:szCs w:val="21"/>
                      <w:lang w:bidi="ar"/>
                    </w:rPr>
                  </w:pPr>
                  <w:r>
                    <w:rPr>
                      <w:rFonts w:hint="eastAsia"/>
                      <w:bCs/>
                      <w:color w:val="auto"/>
                      <w:kern w:val="0"/>
                      <w:szCs w:val="21"/>
                      <w:lang w:bidi="ar"/>
                    </w:rPr>
                    <w:t>DA003</w:t>
                  </w:r>
                </w:p>
              </w:tc>
            </w:tr>
            <w:tr w14:paraId="173825F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54" w:hRule="atLeast"/>
                <w:tblHeader/>
                <w:jc w:val="center"/>
              </w:trPr>
              <w:tc>
                <w:tcPr>
                  <w:tcW w:w="1123" w:type="dxa"/>
                  <w:vMerge w:val="continue"/>
                  <w:vAlign w:val="center"/>
                </w:tcPr>
                <w:p w14:paraId="173825E3">
                  <w:pPr>
                    <w:adjustRightInd w:val="0"/>
                    <w:snapToGrid w:val="0"/>
                    <w:jc w:val="center"/>
                    <w:rPr>
                      <w:bCs/>
                      <w:color w:val="auto"/>
                      <w:szCs w:val="21"/>
                    </w:rPr>
                  </w:pPr>
                </w:p>
              </w:tc>
              <w:tc>
                <w:tcPr>
                  <w:tcW w:w="1002" w:type="dxa"/>
                  <w:vMerge w:val="continue"/>
                  <w:vAlign w:val="center"/>
                </w:tcPr>
                <w:p w14:paraId="173825E4">
                  <w:pPr>
                    <w:adjustRightInd w:val="0"/>
                    <w:snapToGrid w:val="0"/>
                    <w:jc w:val="center"/>
                    <w:rPr>
                      <w:bCs/>
                      <w:color w:val="auto"/>
                      <w:szCs w:val="21"/>
                    </w:rPr>
                  </w:pPr>
                </w:p>
              </w:tc>
              <w:tc>
                <w:tcPr>
                  <w:tcW w:w="976" w:type="dxa"/>
                  <w:vAlign w:val="center"/>
                </w:tcPr>
                <w:p w14:paraId="173825E5">
                  <w:pPr>
                    <w:adjustRightInd w:val="0"/>
                    <w:snapToGrid w:val="0"/>
                    <w:jc w:val="center"/>
                    <w:rPr>
                      <w:bCs/>
                      <w:color w:val="auto"/>
                      <w:kern w:val="0"/>
                      <w:szCs w:val="21"/>
                    </w:rPr>
                  </w:pPr>
                  <w:r>
                    <w:rPr>
                      <w:rFonts w:hint="eastAsia"/>
                      <w:bCs/>
                      <w:color w:val="auto"/>
                      <w:kern w:val="0"/>
                      <w:szCs w:val="21"/>
                    </w:rPr>
                    <w:t>无组织</w:t>
                  </w:r>
                </w:p>
              </w:tc>
              <w:tc>
                <w:tcPr>
                  <w:tcW w:w="895" w:type="dxa"/>
                  <w:vAlign w:val="center"/>
                </w:tcPr>
                <w:p w14:paraId="173825E6">
                  <w:pPr>
                    <w:adjustRightInd w:val="0"/>
                    <w:snapToGrid w:val="0"/>
                    <w:jc w:val="center"/>
                    <w:rPr>
                      <w:color w:val="auto"/>
                      <w:szCs w:val="21"/>
                    </w:rPr>
                  </w:pPr>
                  <w:r>
                    <w:rPr>
                      <w:rFonts w:hint="eastAsia"/>
                      <w:bCs/>
                      <w:color w:val="auto"/>
                      <w:kern w:val="0"/>
                      <w:szCs w:val="21"/>
                    </w:rPr>
                    <w:t>颗粒物</w:t>
                  </w:r>
                </w:p>
              </w:tc>
              <w:tc>
                <w:tcPr>
                  <w:tcW w:w="909" w:type="dxa"/>
                  <w:vMerge w:val="continue"/>
                  <w:vAlign w:val="center"/>
                </w:tcPr>
                <w:p w14:paraId="173825E7">
                  <w:pPr>
                    <w:adjustRightInd w:val="0"/>
                    <w:snapToGrid w:val="0"/>
                    <w:jc w:val="center"/>
                    <w:rPr>
                      <w:bCs/>
                      <w:color w:val="auto"/>
                      <w:kern w:val="0"/>
                      <w:szCs w:val="21"/>
                    </w:rPr>
                  </w:pPr>
                </w:p>
              </w:tc>
              <w:tc>
                <w:tcPr>
                  <w:tcW w:w="1047" w:type="dxa"/>
                  <w:vAlign w:val="center"/>
                </w:tcPr>
                <w:p w14:paraId="173825E8">
                  <w:pPr>
                    <w:widowControl/>
                    <w:jc w:val="center"/>
                    <w:textAlignment w:val="center"/>
                    <w:rPr>
                      <w:color w:val="auto"/>
                      <w:kern w:val="0"/>
                      <w:szCs w:val="21"/>
                      <w:lang w:bidi="ar"/>
                    </w:rPr>
                  </w:pPr>
                  <w:r>
                    <w:rPr>
                      <w:color w:val="auto"/>
                      <w:kern w:val="0"/>
                      <w:szCs w:val="21"/>
                      <w:lang w:bidi="ar"/>
                    </w:rPr>
                    <w:t xml:space="preserve">0.0456 </w:t>
                  </w:r>
                </w:p>
              </w:tc>
              <w:tc>
                <w:tcPr>
                  <w:tcW w:w="886" w:type="dxa"/>
                  <w:shd w:val="clear" w:color="auto" w:fill="auto"/>
                  <w:vAlign w:val="center"/>
                </w:tcPr>
                <w:p w14:paraId="173825E9">
                  <w:pPr>
                    <w:widowControl/>
                    <w:jc w:val="center"/>
                    <w:textAlignment w:val="center"/>
                    <w:rPr>
                      <w:color w:val="auto"/>
                      <w:kern w:val="0"/>
                      <w:szCs w:val="21"/>
                      <w:lang w:bidi="ar"/>
                    </w:rPr>
                  </w:pPr>
                  <w:r>
                    <w:rPr>
                      <w:color w:val="auto"/>
                      <w:kern w:val="0"/>
                      <w:szCs w:val="21"/>
                      <w:lang w:bidi="ar"/>
                    </w:rPr>
                    <w:t xml:space="preserve">0.1095 </w:t>
                  </w:r>
                </w:p>
              </w:tc>
              <w:tc>
                <w:tcPr>
                  <w:tcW w:w="1048" w:type="dxa"/>
                  <w:vAlign w:val="center"/>
                </w:tcPr>
                <w:p w14:paraId="173825EA">
                  <w:pPr>
                    <w:widowControl/>
                    <w:adjustRightInd w:val="0"/>
                    <w:snapToGrid w:val="0"/>
                    <w:jc w:val="center"/>
                    <w:textAlignment w:val="center"/>
                    <w:rPr>
                      <w:bCs/>
                      <w:color w:val="auto"/>
                      <w:kern w:val="0"/>
                      <w:szCs w:val="21"/>
                      <w:lang w:bidi="ar"/>
                    </w:rPr>
                  </w:pPr>
                  <w:r>
                    <w:rPr>
                      <w:rFonts w:hint="eastAsia"/>
                      <w:bCs/>
                      <w:color w:val="auto"/>
                      <w:kern w:val="0"/>
                      <w:szCs w:val="21"/>
                      <w:lang w:bidi="ar"/>
                    </w:rPr>
                    <w:t>/</w:t>
                  </w:r>
                </w:p>
              </w:tc>
              <w:tc>
                <w:tcPr>
                  <w:tcW w:w="717" w:type="dxa"/>
                  <w:vAlign w:val="center"/>
                </w:tcPr>
                <w:p w14:paraId="173825EB">
                  <w:pPr>
                    <w:widowControl/>
                    <w:adjustRightInd w:val="0"/>
                    <w:snapToGrid w:val="0"/>
                    <w:jc w:val="center"/>
                    <w:textAlignment w:val="center"/>
                    <w:rPr>
                      <w:bCs/>
                      <w:color w:val="auto"/>
                      <w:kern w:val="0"/>
                      <w:szCs w:val="21"/>
                      <w:lang w:bidi="ar"/>
                    </w:rPr>
                  </w:pPr>
                  <w:r>
                    <w:rPr>
                      <w:rFonts w:hint="eastAsia"/>
                      <w:bCs/>
                      <w:color w:val="auto"/>
                      <w:kern w:val="0"/>
                      <w:szCs w:val="21"/>
                      <w:lang w:bidi="ar"/>
                    </w:rPr>
                    <w:t>/</w:t>
                  </w:r>
                </w:p>
              </w:tc>
              <w:tc>
                <w:tcPr>
                  <w:tcW w:w="815" w:type="dxa"/>
                  <w:vMerge w:val="continue"/>
                  <w:vAlign w:val="center"/>
                </w:tcPr>
                <w:p w14:paraId="173825EC">
                  <w:pPr>
                    <w:adjustRightInd w:val="0"/>
                    <w:snapToGrid w:val="0"/>
                    <w:jc w:val="center"/>
                    <w:rPr>
                      <w:bCs/>
                      <w:color w:val="auto"/>
                      <w:kern w:val="0"/>
                      <w:szCs w:val="21"/>
                    </w:rPr>
                  </w:pPr>
                </w:p>
              </w:tc>
              <w:tc>
                <w:tcPr>
                  <w:tcW w:w="964" w:type="dxa"/>
                  <w:vAlign w:val="center"/>
                </w:tcPr>
                <w:p w14:paraId="173825ED">
                  <w:pPr>
                    <w:widowControl/>
                    <w:jc w:val="center"/>
                    <w:textAlignment w:val="center"/>
                    <w:rPr>
                      <w:bCs/>
                      <w:color w:val="auto"/>
                      <w:kern w:val="0"/>
                      <w:szCs w:val="21"/>
                    </w:rPr>
                  </w:pPr>
                  <w:r>
                    <w:rPr>
                      <w:color w:val="auto"/>
                      <w:kern w:val="0"/>
                      <w:szCs w:val="21"/>
                      <w:lang w:bidi="ar"/>
                    </w:rPr>
                    <w:t xml:space="preserve">0.0456 </w:t>
                  </w:r>
                </w:p>
              </w:tc>
              <w:tc>
                <w:tcPr>
                  <w:tcW w:w="967" w:type="dxa"/>
                  <w:vAlign w:val="center"/>
                </w:tcPr>
                <w:p w14:paraId="173825EE">
                  <w:pPr>
                    <w:widowControl/>
                    <w:jc w:val="center"/>
                    <w:textAlignment w:val="center"/>
                    <w:rPr>
                      <w:bCs/>
                      <w:color w:val="auto"/>
                      <w:kern w:val="0"/>
                      <w:szCs w:val="21"/>
                      <w:lang w:bidi="ar"/>
                    </w:rPr>
                  </w:pPr>
                  <w:r>
                    <w:rPr>
                      <w:color w:val="auto"/>
                      <w:kern w:val="0"/>
                      <w:szCs w:val="21"/>
                      <w:lang w:bidi="ar"/>
                    </w:rPr>
                    <w:t xml:space="preserve">0.1095 </w:t>
                  </w:r>
                </w:p>
              </w:tc>
              <w:tc>
                <w:tcPr>
                  <w:tcW w:w="751" w:type="dxa"/>
                  <w:vMerge w:val="continue"/>
                  <w:vAlign w:val="center"/>
                </w:tcPr>
                <w:p w14:paraId="173825EF">
                  <w:pPr>
                    <w:widowControl/>
                    <w:adjustRightInd w:val="0"/>
                    <w:snapToGrid w:val="0"/>
                    <w:jc w:val="center"/>
                    <w:rPr>
                      <w:bCs/>
                      <w:color w:val="auto"/>
                      <w:kern w:val="0"/>
                      <w:szCs w:val="21"/>
                      <w:lang w:bidi="ar"/>
                    </w:rPr>
                  </w:pPr>
                </w:p>
              </w:tc>
              <w:tc>
                <w:tcPr>
                  <w:tcW w:w="855" w:type="dxa"/>
                  <w:vAlign w:val="center"/>
                </w:tcPr>
                <w:p w14:paraId="173825F0">
                  <w:pPr>
                    <w:widowControl/>
                    <w:adjustRightInd w:val="0"/>
                    <w:snapToGrid w:val="0"/>
                    <w:jc w:val="center"/>
                    <w:rPr>
                      <w:bCs/>
                      <w:color w:val="auto"/>
                      <w:kern w:val="0"/>
                      <w:szCs w:val="21"/>
                      <w:lang w:bidi="ar"/>
                    </w:rPr>
                  </w:pPr>
                  <w:r>
                    <w:rPr>
                      <w:rFonts w:hint="eastAsia"/>
                      <w:bCs/>
                      <w:color w:val="auto"/>
                      <w:kern w:val="0"/>
                      <w:szCs w:val="21"/>
                      <w:lang w:bidi="ar"/>
                    </w:rPr>
                    <w:t>/</w:t>
                  </w:r>
                </w:p>
              </w:tc>
            </w:tr>
          </w:tbl>
          <w:p w14:paraId="173825F2">
            <w:pPr>
              <w:widowControl/>
              <w:adjustRightInd w:val="0"/>
              <w:snapToGrid w:val="0"/>
              <w:spacing w:before="120" w:beforeLines="50"/>
              <w:jc w:val="center"/>
              <w:rPr>
                <w:b/>
                <w:color w:val="auto"/>
                <w:kern w:val="0"/>
                <w:sz w:val="24"/>
              </w:rPr>
            </w:pPr>
            <w:r>
              <w:rPr>
                <w:b/>
                <w:color w:val="auto"/>
                <w:kern w:val="0"/>
                <w:sz w:val="24"/>
              </w:rPr>
              <w:t>表</w:t>
            </w:r>
            <w:r>
              <w:rPr>
                <w:rFonts w:hint="eastAsia"/>
                <w:b/>
                <w:color w:val="auto"/>
                <w:kern w:val="0"/>
                <w:sz w:val="24"/>
              </w:rPr>
              <w:t>4-2 本项目建成后</w:t>
            </w:r>
            <w:r>
              <w:rPr>
                <w:b/>
                <w:color w:val="auto"/>
                <w:kern w:val="0"/>
                <w:sz w:val="24"/>
              </w:rPr>
              <w:t>有组织废气污染源源强核算结果及相关参数一览表</w:t>
            </w:r>
          </w:p>
          <w:tbl>
            <w:tblPr>
              <w:tblStyle w:val="88"/>
              <w:tblW w:w="13143"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459"/>
              <w:gridCol w:w="725"/>
              <w:gridCol w:w="725"/>
              <w:gridCol w:w="1264"/>
              <w:gridCol w:w="965"/>
              <w:gridCol w:w="846"/>
              <w:gridCol w:w="876"/>
              <w:gridCol w:w="1871"/>
              <w:gridCol w:w="725"/>
              <w:gridCol w:w="965"/>
              <w:gridCol w:w="846"/>
              <w:gridCol w:w="876"/>
              <w:gridCol w:w="785"/>
              <w:gridCol w:w="667"/>
              <w:gridCol w:w="548"/>
            </w:tblGrid>
            <w:tr w14:paraId="1738260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25" w:hRule="atLeast"/>
                <w:jc w:val="center"/>
              </w:trPr>
              <w:tc>
                <w:tcPr>
                  <w:tcW w:w="174" w:type="pct"/>
                  <w:vMerge w:val="restart"/>
                  <w:noWrap/>
                  <w:tcMar>
                    <w:top w:w="0" w:type="dxa"/>
                    <w:left w:w="28" w:type="dxa"/>
                    <w:bottom w:w="0" w:type="dxa"/>
                    <w:right w:w="28" w:type="dxa"/>
                  </w:tcMar>
                  <w:vAlign w:val="center"/>
                </w:tcPr>
                <w:p w14:paraId="173825F3">
                  <w:pPr>
                    <w:widowControl/>
                    <w:adjustRightInd w:val="0"/>
                    <w:snapToGrid w:val="0"/>
                    <w:jc w:val="center"/>
                    <w:rPr>
                      <w:b/>
                      <w:color w:val="auto"/>
                      <w:kern w:val="0"/>
                      <w:szCs w:val="21"/>
                    </w:rPr>
                  </w:pPr>
                  <w:r>
                    <w:rPr>
                      <w:b/>
                      <w:color w:val="auto"/>
                      <w:kern w:val="0"/>
                      <w:szCs w:val="21"/>
                    </w:rPr>
                    <w:t>污染源</w:t>
                  </w:r>
                </w:p>
              </w:tc>
              <w:tc>
                <w:tcPr>
                  <w:tcW w:w="275" w:type="pct"/>
                  <w:vMerge w:val="restart"/>
                  <w:noWrap/>
                  <w:tcMar>
                    <w:top w:w="0" w:type="dxa"/>
                    <w:left w:w="28" w:type="dxa"/>
                    <w:bottom w:w="0" w:type="dxa"/>
                    <w:right w:w="28" w:type="dxa"/>
                  </w:tcMar>
                  <w:vAlign w:val="center"/>
                </w:tcPr>
                <w:p w14:paraId="173825F4">
                  <w:pPr>
                    <w:widowControl/>
                    <w:adjustRightInd w:val="0"/>
                    <w:snapToGrid w:val="0"/>
                    <w:jc w:val="center"/>
                    <w:rPr>
                      <w:b/>
                      <w:color w:val="auto"/>
                      <w:kern w:val="0"/>
                      <w:szCs w:val="21"/>
                    </w:rPr>
                  </w:pPr>
                  <w:r>
                    <w:rPr>
                      <w:b/>
                      <w:color w:val="auto"/>
                      <w:kern w:val="0"/>
                      <w:szCs w:val="21"/>
                    </w:rPr>
                    <w:t>污染物</w:t>
                  </w:r>
                </w:p>
                <w:p w14:paraId="173825F5">
                  <w:pPr>
                    <w:widowControl/>
                    <w:adjustRightInd w:val="0"/>
                    <w:snapToGrid w:val="0"/>
                    <w:jc w:val="center"/>
                    <w:rPr>
                      <w:b/>
                      <w:color w:val="auto"/>
                      <w:kern w:val="0"/>
                      <w:szCs w:val="21"/>
                    </w:rPr>
                  </w:pPr>
                  <w:r>
                    <w:rPr>
                      <w:b/>
                      <w:color w:val="auto"/>
                      <w:kern w:val="0"/>
                      <w:szCs w:val="21"/>
                    </w:rPr>
                    <w:t>名称</w:t>
                  </w:r>
                </w:p>
              </w:tc>
              <w:tc>
                <w:tcPr>
                  <w:tcW w:w="275" w:type="pct"/>
                  <w:vMerge w:val="restart"/>
                  <w:noWrap/>
                  <w:tcMar>
                    <w:top w:w="0" w:type="dxa"/>
                    <w:left w:w="28" w:type="dxa"/>
                    <w:bottom w:w="0" w:type="dxa"/>
                    <w:right w:w="28" w:type="dxa"/>
                  </w:tcMar>
                  <w:vAlign w:val="center"/>
                </w:tcPr>
                <w:p w14:paraId="173825F6">
                  <w:pPr>
                    <w:widowControl/>
                    <w:adjustRightInd w:val="0"/>
                    <w:snapToGrid w:val="0"/>
                    <w:jc w:val="center"/>
                    <w:rPr>
                      <w:b/>
                      <w:color w:val="auto"/>
                      <w:kern w:val="0"/>
                      <w:szCs w:val="21"/>
                    </w:rPr>
                  </w:pPr>
                  <w:r>
                    <w:rPr>
                      <w:b/>
                      <w:color w:val="auto"/>
                      <w:kern w:val="0"/>
                      <w:szCs w:val="21"/>
                    </w:rPr>
                    <w:t>核算</w:t>
                  </w:r>
                </w:p>
                <w:p w14:paraId="173825F7">
                  <w:pPr>
                    <w:widowControl/>
                    <w:adjustRightInd w:val="0"/>
                    <w:snapToGrid w:val="0"/>
                    <w:jc w:val="center"/>
                    <w:rPr>
                      <w:b/>
                      <w:color w:val="auto"/>
                      <w:kern w:val="0"/>
                      <w:szCs w:val="21"/>
                    </w:rPr>
                  </w:pPr>
                  <w:r>
                    <w:rPr>
                      <w:b/>
                      <w:color w:val="auto"/>
                      <w:kern w:val="0"/>
                      <w:szCs w:val="21"/>
                    </w:rPr>
                    <w:t>方法</w:t>
                  </w:r>
                </w:p>
              </w:tc>
              <w:tc>
                <w:tcPr>
                  <w:tcW w:w="480" w:type="pct"/>
                  <w:vMerge w:val="restart"/>
                  <w:noWrap/>
                  <w:tcMar>
                    <w:top w:w="0" w:type="dxa"/>
                    <w:left w:w="28" w:type="dxa"/>
                    <w:bottom w:w="0" w:type="dxa"/>
                    <w:right w:w="28" w:type="dxa"/>
                  </w:tcMar>
                  <w:vAlign w:val="center"/>
                </w:tcPr>
                <w:p w14:paraId="173825F8">
                  <w:pPr>
                    <w:widowControl/>
                    <w:adjustRightInd w:val="0"/>
                    <w:snapToGrid w:val="0"/>
                    <w:jc w:val="center"/>
                    <w:rPr>
                      <w:b/>
                      <w:color w:val="auto"/>
                      <w:kern w:val="0"/>
                      <w:szCs w:val="21"/>
                    </w:rPr>
                  </w:pPr>
                  <w:r>
                    <w:rPr>
                      <w:b/>
                      <w:color w:val="auto"/>
                      <w:kern w:val="0"/>
                      <w:szCs w:val="21"/>
                    </w:rPr>
                    <w:t>废气产生量（m</w:t>
                  </w:r>
                  <w:r>
                    <w:rPr>
                      <w:b/>
                      <w:color w:val="auto"/>
                      <w:kern w:val="0"/>
                      <w:szCs w:val="21"/>
                      <w:vertAlign w:val="superscript"/>
                    </w:rPr>
                    <w:t>3</w:t>
                  </w:r>
                  <w:r>
                    <w:rPr>
                      <w:b/>
                      <w:color w:val="auto"/>
                      <w:kern w:val="0"/>
                      <w:szCs w:val="21"/>
                    </w:rPr>
                    <w:t>/h）</w:t>
                  </w:r>
                </w:p>
              </w:tc>
              <w:tc>
                <w:tcPr>
                  <w:tcW w:w="1022" w:type="pct"/>
                  <w:gridSpan w:val="3"/>
                  <w:noWrap/>
                  <w:tcMar>
                    <w:top w:w="0" w:type="dxa"/>
                    <w:left w:w="28" w:type="dxa"/>
                    <w:bottom w:w="0" w:type="dxa"/>
                    <w:right w:w="28" w:type="dxa"/>
                  </w:tcMar>
                  <w:vAlign w:val="center"/>
                </w:tcPr>
                <w:p w14:paraId="173825F9">
                  <w:pPr>
                    <w:widowControl/>
                    <w:adjustRightInd w:val="0"/>
                    <w:snapToGrid w:val="0"/>
                    <w:jc w:val="center"/>
                    <w:rPr>
                      <w:b/>
                      <w:color w:val="auto"/>
                      <w:kern w:val="0"/>
                      <w:szCs w:val="21"/>
                    </w:rPr>
                  </w:pPr>
                  <w:r>
                    <w:rPr>
                      <w:b/>
                      <w:color w:val="auto"/>
                      <w:kern w:val="0"/>
                      <w:szCs w:val="21"/>
                    </w:rPr>
                    <w:t>产生情况</w:t>
                  </w:r>
                </w:p>
              </w:tc>
              <w:tc>
                <w:tcPr>
                  <w:tcW w:w="711" w:type="pct"/>
                  <w:noWrap/>
                  <w:tcMar>
                    <w:top w:w="0" w:type="dxa"/>
                    <w:left w:w="28" w:type="dxa"/>
                    <w:bottom w:w="0" w:type="dxa"/>
                    <w:right w:w="28" w:type="dxa"/>
                  </w:tcMar>
                  <w:vAlign w:val="center"/>
                </w:tcPr>
                <w:p w14:paraId="173825FA">
                  <w:pPr>
                    <w:widowControl/>
                    <w:adjustRightInd w:val="0"/>
                    <w:snapToGrid w:val="0"/>
                    <w:jc w:val="center"/>
                    <w:rPr>
                      <w:b/>
                      <w:color w:val="auto"/>
                      <w:kern w:val="0"/>
                      <w:szCs w:val="21"/>
                    </w:rPr>
                  </w:pPr>
                  <w:r>
                    <w:rPr>
                      <w:b/>
                      <w:color w:val="auto"/>
                      <w:kern w:val="0"/>
                      <w:szCs w:val="21"/>
                    </w:rPr>
                    <w:t>治理措施</w:t>
                  </w:r>
                </w:p>
              </w:tc>
              <w:tc>
                <w:tcPr>
                  <w:tcW w:w="275" w:type="pct"/>
                  <w:vMerge w:val="restart"/>
                  <w:noWrap/>
                  <w:tcMar>
                    <w:top w:w="0" w:type="dxa"/>
                    <w:left w:w="28" w:type="dxa"/>
                    <w:bottom w:w="0" w:type="dxa"/>
                    <w:right w:w="28" w:type="dxa"/>
                  </w:tcMar>
                  <w:vAlign w:val="center"/>
                </w:tcPr>
                <w:p w14:paraId="173825FB">
                  <w:pPr>
                    <w:widowControl/>
                    <w:adjustRightInd w:val="0"/>
                    <w:snapToGrid w:val="0"/>
                    <w:jc w:val="center"/>
                    <w:rPr>
                      <w:b/>
                      <w:color w:val="auto"/>
                      <w:kern w:val="0"/>
                      <w:szCs w:val="21"/>
                    </w:rPr>
                  </w:pPr>
                  <w:r>
                    <w:rPr>
                      <w:b/>
                      <w:color w:val="auto"/>
                      <w:kern w:val="0"/>
                      <w:szCs w:val="21"/>
                    </w:rPr>
                    <w:t>核算</w:t>
                  </w:r>
                </w:p>
                <w:p w14:paraId="173825FC">
                  <w:pPr>
                    <w:widowControl/>
                    <w:adjustRightInd w:val="0"/>
                    <w:snapToGrid w:val="0"/>
                    <w:jc w:val="center"/>
                    <w:rPr>
                      <w:b/>
                      <w:color w:val="auto"/>
                      <w:kern w:val="0"/>
                      <w:szCs w:val="21"/>
                    </w:rPr>
                  </w:pPr>
                  <w:r>
                    <w:rPr>
                      <w:b/>
                      <w:color w:val="auto"/>
                      <w:kern w:val="0"/>
                      <w:szCs w:val="21"/>
                    </w:rPr>
                    <w:t>方法</w:t>
                  </w:r>
                </w:p>
              </w:tc>
              <w:tc>
                <w:tcPr>
                  <w:tcW w:w="1022" w:type="pct"/>
                  <w:gridSpan w:val="3"/>
                  <w:noWrap/>
                  <w:tcMar>
                    <w:top w:w="0" w:type="dxa"/>
                    <w:left w:w="28" w:type="dxa"/>
                    <w:bottom w:w="0" w:type="dxa"/>
                    <w:right w:w="28" w:type="dxa"/>
                  </w:tcMar>
                  <w:vAlign w:val="center"/>
                </w:tcPr>
                <w:p w14:paraId="173825FD">
                  <w:pPr>
                    <w:widowControl/>
                    <w:adjustRightInd w:val="0"/>
                    <w:snapToGrid w:val="0"/>
                    <w:jc w:val="center"/>
                    <w:rPr>
                      <w:b/>
                      <w:color w:val="auto"/>
                      <w:kern w:val="0"/>
                      <w:szCs w:val="21"/>
                    </w:rPr>
                  </w:pPr>
                  <w:r>
                    <w:rPr>
                      <w:b/>
                      <w:color w:val="auto"/>
                      <w:kern w:val="0"/>
                      <w:szCs w:val="21"/>
                    </w:rPr>
                    <w:t>排放情况</w:t>
                  </w:r>
                </w:p>
              </w:tc>
              <w:tc>
                <w:tcPr>
                  <w:tcW w:w="552" w:type="pct"/>
                  <w:gridSpan w:val="2"/>
                  <w:noWrap/>
                  <w:tcMar>
                    <w:top w:w="0" w:type="dxa"/>
                    <w:left w:w="28" w:type="dxa"/>
                    <w:bottom w:w="0" w:type="dxa"/>
                    <w:right w:w="28" w:type="dxa"/>
                  </w:tcMar>
                  <w:vAlign w:val="center"/>
                </w:tcPr>
                <w:p w14:paraId="173825FE">
                  <w:pPr>
                    <w:widowControl/>
                    <w:adjustRightInd w:val="0"/>
                    <w:snapToGrid w:val="0"/>
                    <w:jc w:val="center"/>
                    <w:rPr>
                      <w:b/>
                      <w:color w:val="auto"/>
                      <w:kern w:val="0"/>
                      <w:szCs w:val="21"/>
                    </w:rPr>
                  </w:pPr>
                  <w:r>
                    <w:rPr>
                      <w:b/>
                      <w:color w:val="auto"/>
                      <w:kern w:val="0"/>
                      <w:szCs w:val="21"/>
                    </w:rPr>
                    <w:t>执行标准</w:t>
                  </w:r>
                </w:p>
              </w:tc>
              <w:tc>
                <w:tcPr>
                  <w:tcW w:w="208" w:type="pct"/>
                  <w:vMerge w:val="restart"/>
                  <w:tcMar>
                    <w:top w:w="0" w:type="dxa"/>
                    <w:left w:w="28" w:type="dxa"/>
                    <w:bottom w:w="0" w:type="dxa"/>
                    <w:right w:w="28" w:type="dxa"/>
                  </w:tcMar>
                  <w:vAlign w:val="center"/>
                </w:tcPr>
                <w:p w14:paraId="173825FF">
                  <w:pPr>
                    <w:widowControl/>
                    <w:adjustRightInd w:val="0"/>
                    <w:snapToGrid w:val="0"/>
                    <w:jc w:val="center"/>
                    <w:rPr>
                      <w:b/>
                      <w:color w:val="auto"/>
                      <w:kern w:val="0"/>
                      <w:szCs w:val="21"/>
                    </w:rPr>
                  </w:pPr>
                  <w:r>
                    <w:rPr>
                      <w:b/>
                      <w:color w:val="auto"/>
                      <w:kern w:val="0"/>
                      <w:szCs w:val="21"/>
                    </w:rPr>
                    <w:t>排放时间</w:t>
                  </w:r>
                </w:p>
                <w:p w14:paraId="17382600">
                  <w:pPr>
                    <w:widowControl/>
                    <w:adjustRightInd w:val="0"/>
                    <w:snapToGrid w:val="0"/>
                    <w:jc w:val="center"/>
                    <w:rPr>
                      <w:b/>
                      <w:color w:val="auto"/>
                      <w:kern w:val="0"/>
                      <w:szCs w:val="21"/>
                    </w:rPr>
                  </w:pPr>
                  <w:r>
                    <w:rPr>
                      <w:b/>
                      <w:color w:val="auto"/>
                      <w:kern w:val="0"/>
                      <w:szCs w:val="21"/>
                    </w:rPr>
                    <w:t>（h）</w:t>
                  </w:r>
                </w:p>
              </w:tc>
            </w:tr>
            <w:tr w14:paraId="1738261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25" w:hRule="atLeast"/>
                <w:jc w:val="center"/>
              </w:trPr>
              <w:tc>
                <w:tcPr>
                  <w:tcW w:w="174" w:type="pct"/>
                  <w:vMerge w:val="continue"/>
                  <w:noWrap/>
                  <w:tcMar>
                    <w:top w:w="0" w:type="dxa"/>
                    <w:left w:w="28" w:type="dxa"/>
                    <w:bottom w:w="0" w:type="dxa"/>
                    <w:right w:w="28" w:type="dxa"/>
                  </w:tcMar>
                  <w:vAlign w:val="center"/>
                </w:tcPr>
                <w:p w14:paraId="17382602">
                  <w:pPr>
                    <w:adjustRightInd w:val="0"/>
                    <w:snapToGrid w:val="0"/>
                    <w:jc w:val="center"/>
                    <w:rPr>
                      <w:color w:val="auto"/>
                      <w:szCs w:val="21"/>
                    </w:rPr>
                  </w:pPr>
                </w:p>
              </w:tc>
              <w:tc>
                <w:tcPr>
                  <w:tcW w:w="275" w:type="pct"/>
                  <w:vMerge w:val="continue"/>
                  <w:noWrap/>
                  <w:tcMar>
                    <w:top w:w="0" w:type="dxa"/>
                    <w:left w:w="28" w:type="dxa"/>
                    <w:bottom w:w="0" w:type="dxa"/>
                    <w:right w:w="28" w:type="dxa"/>
                  </w:tcMar>
                  <w:vAlign w:val="center"/>
                </w:tcPr>
                <w:p w14:paraId="17382603">
                  <w:pPr>
                    <w:adjustRightInd w:val="0"/>
                    <w:snapToGrid w:val="0"/>
                    <w:jc w:val="center"/>
                    <w:rPr>
                      <w:color w:val="auto"/>
                      <w:szCs w:val="21"/>
                    </w:rPr>
                  </w:pPr>
                </w:p>
              </w:tc>
              <w:tc>
                <w:tcPr>
                  <w:tcW w:w="275" w:type="pct"/>
                  <w:vMerge w:val="continue"/>
                  <w:noWrap/>
                  <w:tcMar>
                    <w:top w:w="0" w:type="dxa"/>
                    <w:left w:w="28" w:type="dxa"/>
                    <w:bottom w:w="0" w:type="dxa"/>
                    <w:right w:w="28" w:type="dxa"/>
                  </w:tcMar>
                  <w:vAlign w:val="center"/>
                </w:tcPr>
                <w:p w14:paraId="17382604">
                  <w:pPr>
                    <w:adjustRightInd w:val="0"/>
                    <w:snapToGrid w:val="0"/>
                    <w:jc w:val="center"/>
                    <w:rPr>
                      <w:color w:val="auto"/>
                      <w:szCs w:val="21"/>
                    </w:rPr>
                  </w:pPr>
                </w:p>
              </w:tc>
              <w:tc>
                <w:tcPr>
                  <w:tcW w:w="480" w:type="pct"/>
                  <w:vMerge w:val="continue"/>
                  <w:noWrap/>
                  <w:tcMar>
                    <w:top w:w="0" w:type="dxa"/>
                    <w:left w:w="28" w:type="dxa"/>
                    <w:bottom w:w="0" w:type="dxa"/>
                    <w:right w:w="28" w:type="dxa"/>
                  </w:tcMar>
                  <w:vAlign w:val="center"/>
                </w:tcPr>
                <w:p w14:paraId="17382605">
                  <w:pPr>
                    <w:adjustRightInd w:val="0"/>
                    <w:snapToGrid w:val="0"/>
                    <w:jc w:val="center"/>
                    <w:rPr>
                      <w:color w:val="auto"/>
                      <w:szCs w:val="21"/>
                    </w:rPr>
                  </w:pPr>
                </w:p>
              </w:tc>
              <w:tc>
                <w:tcPr>
                  <w:tcW w:w="367" w:type="pct"/>
                  <w:noWrap/>
                  <w:tcMar>
                    <w:top w:w="0" w:type="dxa"/>
                    <w:left w:w="28" w:type="dxa"/>
                    <w:bottom w:w="0" w:type="dxa"/>
                    <w:right w:w="28" w:type="dxa"/>
                  </w:tcMar>
                  <w:vAlign w:val="center"/>
                </w:tcPr>
                <w:p w14:paraId="17382606">
                  <w:pPr>
                    <w:widowControl/>
                    <w:adjustRightInd w:val="0"/>
                    <w:snapToGrid w:val="0"/>
                    <w:jc w:val="center"/>
                    <w:rPr>
                      <w:b/>
                      <w:color w:val="auto"/>
                      <w:kern w:val="0"/>
                      <w:szCs w:val="21"/>
                    </w:rPr>
                  </w:pPr>
                  <w:r>
                    <w:rPr>
                      <w:b/>
                      <w:color w:val="auto"/>
                      <w:kern w:val="0"/>
                      <w:szCs w:val="21"/>
                    </w:rPr>
                    <w:t>浓度（mg/m</w:t>
                  </w:r>
                  <w:r>
                    <w:rPr>
                      <w:b/>
                      <w:color w:val="auto"/>
                      <w:kern w:val="0"/>
                      <w:szCs w:val="21"/>
                      <w:vertAlign w:val="superscript"/>
                    </w:rPr>
                    <w:t>3</w:t>
                  </w:r>
                  <w:r>
                    <w:rPr>
                      <w:b/>
                      <w:color w:val="auto"/>
                      <w:kern w:val="0"/>
                      <w:szCs w:val="21"/>
                    </w:rPr>
                    <w:t>）</w:t>
                  </w:r>
                </w:p>
              </w:tc>
              <w:tc>
                <w:tcPr>
                  <w:tcW w:w="321" w:type="pct"/>
                  <w:noWrap/>
                  <w:tcMar>
                    <w:top w:w="0" w:type="dxa"/>
                    <w:left w:w="28" w:type="dxa"/>
                    <w:bottom w:w="0" w:type="dxa"/>
                    <w:right w:w="28" w:type="dxa"/>
                  </w:tcMar>
                  <w:vAlign w:val="center"/>
                </w:tcPr>
                <w:p w14:paraId="17382607">
                  <w:pPr>
                    <w:widowControl/>
                    <w:adjustRightInd w:val="0"/>
                    <w:snapToGrid w:val="0"/>
                    <w:jc w:val="center"/>
                    <w:rPr>
                      <w:b/>
                      <w:color w:val="auto"/>
                      <w:kern w:val="0"/>
                      <w:szCs w:val="21"/>
                    </w:rPr>
                  </w:pPr>
                  <w:r>
                    <w:rPr>
                      <w:b/>
                      <w:color w:val="auto"/>
                      <w:kern w:val="0"/>
                      <w:szCs w:val="21"/>
                    </w:rPr>
                    <w:t>速率（kg/h）</w:t>
                  </w:r>
                </w:p>
              </w:tc>
              <w:tc>
                <w:tcPr>
                  <w:tcW w:w="333" w:type="pct"/>
                  <w:noWrap/>
                  <w:tcMar>
                    <w:top w:w="0" w:type="dxa"/>
                    <w:left w:w="28" w:type="dxa"/>
                    <w:bottom w:w="0" w:type="dxa"/>
                    <w:right w:w="28" w:type="dxa"/>
                  </w:tcMar>
                  <w:vAlign w:val="center"/>
                </w:tcPr>
                <w:p w14:paraId="17382608">
                  <w:pPr>
                    <w:widowControl/>
                    <w:adjustRightInd w:val="0"/>
                    <w:snapToGrid w:val="0"/>
                    <w:jc w:val="center"/>
                    <w:rPr>
                      <w:b/>
                      <w:color w:val="auto"/>
                      <w:kern w:val="0"/>
                      <w:szCs w:val="21"/>
                    </w:rPr>
                  </w:pPr>
                  <w:r>
                    <w:rPr>
                      <w:b/>
                      <w:color w:val="auto"/>
                      <w:kern w:val="0"/>
                      <w:szCs w:val="21"/>
                    </w:rPr>
                    <w:t>产生量（t/a）</w:t>
                  </w:r>
                </w:p>
              </w:tc>
              <w:tc>
                <w:tcPr>
                  <w:tcW w:w="711" w:type="pct"/>
                  <w:noWrap/>
                  <w:tcMar>
                    <w:top w:w="0" w:type="dxa"/>
                    <w:left w:w="28" w:type="dxa"/>
                    <w:bottom w:w="0" w:type="dxa"/>
                    <w:right w:w="28" w:type="dxa"/>
                  </w:tcMar>
                  <w:vAlign w:val="center"/>
                </w:tcPr>
                <w:p w14:paraId="17382609">
                  <w:pPr>
                    <w:widowControl/>
                    <w:adjustRightInd w:val="0"/>
                    <w:snapToGrid w:val="0"/>
                    <w:jc w:val="center"/>
                    <w:rPr>
                      <w:b/>
                      <w:color w:val="auto"/>
                      <w:kern w:val="0"/>
                      <w:szCs w:val="21"/>
                    </w:rPr>
                  </w:pPr>
                  <w:r>
                    <w:rPr>
                      <w:b/>
                      <w:color w:val="auto"/>
                      <w:kern w:val="0"/>
                      <w:szCs w:val="21"/>
                    </w:rPr>
                    <w:t>工艺</w:t>
                  </w:r>
                </w:p>
              </w:tc>
              <w:tc>
                <w:tcPr>
                  <w:tcW w:w="275" w:type="pct"/>
                  <w:vMerge w:val="continue"/>
                  <w:noWrap/>
                  <w:tcMar>
                    <w:top w:w="0" w:type="dxa"/>
                    <w:left w:w="28" w:type="dxa"/>
                    <w:bottom w:w="0" w:type="dxa"/>
                    <w:right w:w="28" w:type="dxa"/>
                  </w:tcMar>
                  <w:vAlign w:val="center"/>
                </w:tcPr>
                <w:p w14:paraId="1738260A">
                  <w:pPr>
                    <w:adjustRightInd w:val="0"/>
                    <w:snapToGrid w:val="0"/>
                    <w:jc w:val="center"/>
                    <w:rPr>
                      <w:color w:val="auto"/>
                      <w:szCs w:val="21"/>
                    </w:rPr>
                  </w:pPr>
                </w:p>
              </w:tc>
              <w:tc>
                <w:tcPr>
                  <w:tcW w:w="367" w:type="pct"/>
                  <w:noWrap/>
                  <w:tcMar>
                    <w:top w:w="0" w:type="dxa"/>
                    <w:left w:w="28" w:type="dxa"/>
                    <w:bottom w:w="0" w:type="dxa"/>
                    <w:right w:w="28" w:type="dxa"/>
                  </w:tcMar>
                  <w:vAlign w:val="center"/>
                </w:tcPr>
                <w:p w14:paraId="1738260B">
                  <w:pPr>
                    <w:widowControl/>
                    <w:adjustRightInd w:val="0"/>
                    <w:snapToGrid w:val="0"/>
                    <w:jc w:val="center"/>
                    <w:rPr>
                      <w:b/>
                      <w:color w:val="auto"/>
                      <w:kern w:val="0"/>
                      <w:szCs w:val="21"/>
                    </w:rPr>
                  </w:pPr>
                  <w:r>
                    <w:rPr>
                      <w:b/>
                      <w:color w:val="auto"/>
                      <w:kern w:val="0"/>
                      <w:szCs w:val="21"/>
                    </w:rPr>
                    <w:t>浓度（mg/m</w:t>
                  </w:r>
                  <w:r>
                    <w:rPr>
                      <w:b/>
                      <w:color w:val="auto"/>
                      <w:kern w:val="0"/>
                      <w:szCs w:val="21"/>
                      <w:vertAlign w:val="superscript"/>
                    </w:rPr>
                    <w:t>3</w:t>
                  </w:r>
                  <w:r>
                    <w:rPr>
                      <w:b/>
                      <w:color w:val="auto"/>
                      <w:kern w:val="0"/>
                      <w:szCs w:val="21"/>
                    </w:rPr>
                    <w:t>）</w:t>
                  </w:r>
                </w:p>
              </w:tc>
              <w:tc>
                <w:tcPr>
                  <w:tcW w:w="321" w:type="pct"/>
                  <w:noWrap/>
                  <w:tcMar>
                    <w:top w:w="0" w:type="dxa"/>
                    <w:left w:w="28" w:type="dxa"/>
                    <w:bottom w:w="0" w:type="dxa"/>
                    <w:right w:w="28" w:type="dxa"/>
                  </w:tcMar>
                  <w:vAlign w:val="center"/>
                </w:tcPr>
                <w:p w14:paraId="1738260C">
                  <w:pPr>
                    <w:widowControl/>
                    <w:adjustRightInd w:val="0"/>
                    <w:snapToGrid w:val="0"/>
                    <w:jc w:val="center"/>
                    <w:rPr>
                      <w:b/>
                      <w:color w:val="auto"/>
                      <w:kern w:val="0"/>
                      <w:szCs w:val="21"/>
                    </w:rPr>
                  </w:pPr>
                  <w:r>
                    <w:rPr>
                      <w:b/>
                      <w:color w:val="auto"/>
                      <w:kern w:val="0"/>
                      <w:szCs w:val="21"/>
                    </w:rPr>
                    <w:t>速率（kg/h）</w:t>
                  </w:r>
                </w:p>
              </w:tc>
              <w:tc>
                <w:tcPr>
                  <w:tcW w:w="333" w:type="pct"/>
                  <w:noWrap/>
                  <w:tcMar>
                    <w:top w:w="0" w:type="dxa"/>
                    <w:left w:w="28" w:type="dxa"/>
                    <w:bottom w:w="0" w:type="dxa"/>
                    <w:right w:w="28" w:type="dxa"/>
                  </w:tcMar>
                  <w:vAlign w:val="center"/>
                </w:tcPr>
                <w:p w14:paraId="1738260D">
                  <w:pPr>
                    <w:widowControl/>
                    <w:adjustRightInd w:val="0"/>
                    <w:snapToGrid w:val="0"/>
                    <w:jc w:val="center"/>
                    <w:rPr>
                      <w:b/>
                      <w:color w:val="auto"/>
                      <w:kern w:val="0"/>
                      <w:szCs w:val="21"/>
                    </w:rPr>
                  </w:pPr>
                  <w:r>
                    <w:rPr>
                      <w:b/>
                      <w:color w:val="auto"/>
                      <w:kern w:val="0"/>
                      <w:szCs w:val="21"/>
                    </w:rPr>
                    <w:t>排放量（t/a）</w:t>
                  </w:r>
                </w:p>
              </w:tc>
              <w:tc>
                <w:tcPr>
                  <w:tcW w:w="298" w:type="pct"/>
                  <w:noWrap/>
                  <w:tcMar>
                    <w:top w:w="0" w:type="dxa"/>
                    <w:left w:w="28" w:type="dxa"/>
                    <w:bottom w:w="0" w:type="dxa"/>
                    <w:right w:w="28" w:type="dxa"/>
                  </w:tcMar>
                  <w:vAlign w:val="center"/>
                </w:tcPr>
                <w:p w14:paraId="1738260E">
                  <w:pPr>
                    <w:widowControl/>
                    <w:adjustRightInd w:val="0"/>
                    <w:snapToGrid w:val="0"/>
                    <w:jc w:val="center"/>
                    <w:rPr>
                      <w:b/>
                      <w:color w:val="auto"/>
                      <w:kern w:val="0"/>
                      <w:szCs w:val="21"/>
                    </w:rPr>
                  </w:pPr>
                  <w:r>
                    <w:rPr>
                      <w:b/>
                      <w:color w:val="auto"/>
                      <w:kern w:val="0"/>
                      <w:szCs w:val="21"/>
                    </w:rPr>
                    <w:t>浓度(mg/m</w:t>
                  </w:r>
                  <w:r>
                    <w:rPr>
                      <w:b/>
                      <w:color w:val="auto"/>
                      <w:kern w:val="0"/>
                      <w:szCs w:val="21"/>
                      <w:vertAlign w:val="superscript"/>
                    </w:rPr>
                    <w:t>3</w:t>
                  </w:r>
                  <w:r>
                    <w:rPr>
                      <w:b/>
                      <w:color w:val="auto"/>
                      <w:kern w:val="0"/>
                      <w:szCs w:val="21"/>
                    </w:rPr>
                    <w:t>)</w:t>
                  </w:r>
                </w:p>
              </w:tc>
              <w:tc>
                <w:tcPr>
                  <w:tcW w:w="253" w:type="pct"/>
                  <w:noWrap/>
                  <w:tcMar>
                    <w:top w:w="0" w:type="dxa"/>
                    <w:left w:w="28" w:type="dxa"/>
                    <w:bottom w:w="0" w:type="dxa"/>
                    <w:right w:w="28" w:type="dxa"/>
                  </w:tcMar>
                  <w:vAlign w:val="center"/>
                </w:tcPr>
                <w:p w14:paraId="1738260F">
                  <w:pPr>
                    <w:widowControl/>
                    <w:adjustRightInd w:val="0"/>
                    <w:snapToGrid w:val="0"/>
                    <w:jc w:val="center"/>
                    <w:rPr>
                      <w:b/>
                      <w:color w:val="auto"/>
                      <w:kern w:val="0"/>
                      <w:szCs w:val="21"/>
                    </w:rPr>
                  </w:pPr>
                  <w:r>
                    <w:rPr>
                      <w:b/>
                      <w:color w:val="auto"/>
                      <w:kern w:val="0"/>
                      <w:szCs w:val="21"/>
                    </w:rPr>
                    <w:t>速率(kg/h)</w:t>
                  </w:r>
                </w:p>
              </w:tc>
              <w:tc>
                <w:tcPr>
                  <w:tcW w:w="208" w:type="pct"/>
                  <w:vMerge w:val="continue"/>
                  <w:tcMar>
                    <w:top w:w="0" w:type="dxa"/>
                    <w:left w:w="28" w:type="dxa"/>
                    <w:bottom w:w="0" w:type="dxa"/>
                    <w:right w:w="28" w:type="dxa"/>
                  </w:tcMar>
                  <w:vAlign w:val="center"/>
                </w:tcPr>
                <w:p w14:paraId="17382610">
                  <w:pPr>
                    <w:widowControl/>
                    <w:adjustRightInd w:val="0"/>
                    <w:snapToGrid w:val="0"/>
                    <w:jc w:val="center"/>
                    <w:rPr>
                      <w:b/>
                      <w:color w:val="auto"/>
                      <w:kern w:val="0"/>
                      <w:szCs w:val="21"/>
                    </w:rPr>
                  </w:pPr>
                </w:p>
              </w:tc>
            </w:tr>
            <w:tr w14:paraId="1738262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25" w:hRule="atLeast"/>
                <w:jc w:val="center"/>
              </w:trPr>
              <w:tc>
                <w:tcPr>
                  <w:tcW w:w="174" w:type="pct"/>
                  <w:vMerge w:val="restart"/>
                  <w:noWrap/>
                  <w:tcMar>
                    <w:top w:w="0" w:type="dxa"/>
                    <w:left w:w="28" w:type="dxa"/>
                    <w:bottom w:w="0" w:type="dxa"/>
                    <w:right w:w="28" w:type="dxa"/>
                  </w:tcMar>
                  <w:vAlign w:val="center"/>
                </w:tcPr>
                <w:p w14:paraId="17382612">
                  <w:pPr>
                    <w:widowControl/>
                    <w:adjustRightInd w:val="0"/>
                    <w:snapToGrid w:val="0"/>
                    <w:jc w:val="center"/>
                    <w:rPr>
                      <w:color w:val="auto"/>
                      <w:kern w:val="0"/>
                      <w:szCs w:val="21"/>
                    </w:rPr>
                  </w:pPr>
                  <w:r>
                    <w:rPr>
                      <w:color w:val="auto"/>
                      <w:kern w:val="0"/>
                      <w:szCs w:val="21"/>
                    </w:rPr>
                    <w:t>DA001</w:t>
                  </w:r>
                </w:p>
              </w:tc>
              <w:tc>
                <w:tcPr>
                  <w:tcW w:w="275" w:type="pct"/>
                  <w:noWrap/>
                  <w:tcMar>
                    <w:top w:w="0" w:type="dxa"/>
                    <w:left w:w="28" w:type="dxa"/>
                    <w:bottom w:w="0" w:type="dxa"/>
                    <w:right w:w="28" w:type="dxa"/>
                  </w:tcMar>
                  <w:vAlign w:val="center"/>
                </w:tcPr>
                <w:p w14:paraId="17382613">
                  <w:pPr>
                    <w:adjustRightInd w:val="0"/>
                    <w:snapToGrid w:val="0"/>
                    <w:jc w:val="center"/>
                    <w:rPr>
                      <w:color w:val="auto"/>
                      <w:szCs w:val="21"/>
                    </w:rPr>
                  </w:pPr>
                  <w:r>
                    <w:rPr>
                      <w:bCs/>
                      <w:color w:val="auto"/>
                      <w:kern w:val="0"/>
                      <w:szCs w:val="21"/>
                    </w:rPr>
                    <w:t>颗粒物</w:t>
                  </w:r>
                </w:p>
              </w:tc>
              <w:tc>
                <w:tcPr>
                  <w:tcW w:w="275" w:type="pct"/>
                  <w:vMerge w:val="restart"/>
                  <w:noWrap/>
                  <w:tcMar>
                    <w:top w:w="0" w:type="dxa"/>
                    <w:left w:w="28" w:type="dxa"/>
                    <w:bottom w:w="0" w:type="dxa"/>
                    <w:right w:w="28" w:type="dxa"/>
                  </w:tcMar>
                  <w:vAlign w:val="center"/>
                </w:tcPr>
                <w:p w14:paraId="17382614">
                  <w:pPr>
                    <w:adjustRightInd w:val="0"/>
                    <w:snapToGrid w:val="0"/>
                    <w:jc w:val="center"/>
                    <w:rPr>
                      <w:color w:val="auto"/>
                      <w:kern w:val="0"/>
                      <w:szCs w:val="21"/>
                      <w:lang w:bidi="ar"/>
                    </w:rPr>
                  </w:pPr>
                  <w:r>
                    <w:rPr>
                      <w:bCs/>
                      <w:color w:val="auto"/>
                      <w:kern w:val="0"/>
                      <w:szCs w:val="21"/>
                    </w:rPr>
                    <w:t>产污系数法</w:t>
                  </w:r>
                </w:p>
              </w:tc>
              <w:tc>
                <w:tcPr>
                  <w:tcW w:w="480" w:type="pct"/>
                  <w:vMerge w:val="restart"/>
                  <w:noWrap/>
                  <w:tcMar>
                    <w:top w:w="0" w:type="dxa"/>
                    <w:left w:w="28" w:type="dxa"/>
                    <w:bottom w:w="0" w:type="dxa"/>
                    <w:right w:w="28" w:type="dxa"/>
                  </w:tcMar>
                  <w:vAlign w:val="center"/>
                </w:tcPr>
                <w:p w14:paraId="17382615">
                  <w:pPr>
                    <w:widowControl/>
                    <w:adjustRightInd w:val="0"/>
                    <w:snapToGrid w:val="0"/>
                    <w:jc w:val="center"/>
                    <w:textAlignment w:val="center"/>
                    <w:rPr>
                      <w:color w:val="auto"/>
                      <w:kern w:val="0"/>
                      <w:szCs w:val="21"/>
                    </w:rPr>
                  </w:pPr>
                  <w:r>
                    <w:rPr>
                      <w:color w:val="auto"/>
                      <w:kern w:val="0"/>
                      <w:szCs w:val="21"/>
                    </w:rPr>
                    <w:t>9000</w:t>
                  </w:r>
                </w:p>
              </w:tc>
              <w:tc>
                <w:tcPr>
                  <w:tcW w:w="367" w:type="pct"/>
                  <w:noWrap/>
                  <w:tcMar>
                    <w:top w:w="0" w:type="dxa"/>
                    <w:left w:w="28" w:type="dxa"/>
                    <w:bottom w:w="0" w:type="dxa"/>
                    <w:right w:w="28" w:type="dxa"/>
                  </w:tcMar>
                  <w:vAlign w:val="center"/>
                </w:tcPr>
                <w:p w14:paraId="17382616">
                  <w:pPr>
                    <w:widowControl/>
                    <w:jc w:val="center"/>
                    <w:textAlignment w:val="center"/>
                    <w:rPr>
                      <w:color w:val="auto"/>
                      <w:kern w:val="0"/>
                      <w:szCs w:val="21"/>
                      <w:lang w:bidi="ar"/>
                    </w:rPr>
                  </w:pPr>
                  <w:r>
                    <w:rPr>
                      <w:color w:val="auto"/>
                      <w:kern w:val="0"/>
                      <w:szCs w:val="21"/>
                      <w:lang w:bidi="ar"/>
                    </w:rPr>
                    <w:t xml:space="preserve">0.1111 </w:t>
                  </w:r>
                </w:p>
              </w:tc>
              <w:tc>
                <w:tcPr>
                  <w:tcW w:w="321" w:type="pct"/>
                  <w:noWrap/>
                  <w:tcMar>
                    <w:top w:w="0" w:type="dxa"/>
                    <w:left w:w="28" w:type="dxa"/>
                    <w:bottom w:w="0" w:type="dxa"/>
                    <w:right w:w="28" w:type="dxa"/>
                  </w:tcMar>
                  <w:vAlign w:val="center"/>
                </w:tcPr>
                <w:p w14:paraId="17382617">
                  <w:pPr>
                    <w:widowControl/>
                    <w:jc w:val="center"/>
                    <w:textAlignment w:val="center"/>
                    <w:rPr>
                      <w:color w:val="auto"/>
                      <w:kern w:val="0"/>
                      <w:szCs w:val="21"/>
                      <w:lang w:bidi="ar"/>
                    </w:rPr>
                  </w:pPr>
                  <w:r>
                    <w:rPr>
                      <w:color w:val="auto"/>
                      <w:kern w:val="0"/>
                      <w:szCs w:val="21"/>
                      <w:lang w:bidi="ar"/>
                    </w:rPr>
                    <w:t xml:space="preserve">0.0010 </w:t>
                  </w:r>
                </w:p>
              </w:tc>
              <w:tc>
                <w:tcPr>
                  <w:tcW w:w="333" w:type="pct"/>
                  <w:noWrap/>
                  <w:tcMar>
                    <w:top w:w="0" w:type="dxa"/>
                    <w:left w:w="28" w:type="dxa"/>
                    <w:bottom w:w="0" w:type="dxa"/>
                    <w:right w:w="28" w:type="dxa"/>
                  </w:tcMar>
                  <w:vAlign w:val="center"/>
                </w:tcPr>
                <w:p w14:paraId="17382618">
                  <w:pPr>
                    <w:widowControl/>
                    <w:jc w:val="center"/>
                    <w:textAlignment w:val="center"/>
                    <w:rPr>
                      <w:color w:val="auto"/>
                      <w:kern w:val="0"/>
                      <w:szCs w:val="21"/>
                      <w:lang w:bidi="ar"/>
                    </w:rPr>
                  </w:pPr>
                  <w:r>
                    <w:rPr>
                      <w:color w:val="auto"/>
                      <w:kern w:val="0"/>
                      <w:szCs w:val="21"/>
                      <w:lang w:bidi="ar"/>
                    </w:rPr>
                    <w:t xml:space="preserve">0.0024 </w:t>
                  </w:r>
                </w:p>
              </w:tc>
              <w:tc>
                <w:tcPr>
                  <w:tcW w:w="711" w:type="pct"/>
                  <w:noWrap/>
                  <w:tcMar>
                    <w:top w:w="0" w:type="dxa"/>
                    <w:left w:w="28" w:type="dxa"/>
                    <w:bottom w:w="0" w:type="dxa"/>
                    <w:right w:w="28" w:type="dxa"/>
                  </w:tcMar>
                  <w:vAlign w:val="center"/>
                </w:tcPr>
                <w:p w14:paraId="17382619">
                  <w:pPr>
                    <w:widowControl/>
                    <w:adjustRightInd w:val="0"/>
                    <w:snapToGrid w:val="0"/>
                    <w:jc w:val="center"/>
                    <w:textAlignment w:val="center"/>
                    <w:rPr>
                      <w:color w:val="auto"/>
                      <w:kern w:val="0"/>
                      <w:szCs w:val="21"/>
                    </w:rPr>
                  </w:pPr>
                  <w:r>
                    <w:rPr>
                      <w:color w:val="auto"/>
                      <w:kern w:val="0"/>
                      <w:szCs w:val="21"/>
                    </w:rPr>
                    <w:t>/</w:t>
                  </w:r>
                </w:p>
              </w:tc>
              <w:tc>
                <w:tcPr>
                  <w:tcW w:w="275" w:type="pct"/>
                  <w:vMerge w:val="restart"/>
                  <w:noWrap/>
                  <w:tcMar>
                    <w:top w:w="0" w:type="dxa"/>
                    <w:left w:w="28" w:type="dxa"/>
                    <w:bottom w:w="0" w:type="dxa"/>
                    <w:right w:w="28" w:type="dxa"/>
                  </w:tcMar>
                  <w:vAlign w:val="center"/>
                </w:tcPr>
                <w:p w14:paraId="1738261A">
                  <w:pPr>
                    <w:adjustRightInd w:val="0"/>
                    <w:snapToGrid w:val="0"/>
                    <w:jc w:val="center"/>
                    <w:rPr>
                      <w:color w:val="auto"/>
                      <w:kern w:val="0"/>
                      <w:szCs w:val="21"/>
                    </w:rPr>
                  </w:pPr>
                  <w:r>
                    <w:rPr>
                      <w:bCs/>
                      <w:color w:val="auto"/>
                      <w:kern w:val="0"/>
                      <w:szCs w:val="21"/>
                    </w:rPr>
                    <w:t>产污系数法</w:t>
                  </w:r>
                </w:p>
              </w:tc>
              <w:tc>
                <w:tcPr>
                  <w:tcW w:w="367" w:type="pct"/>
                  <w:noWrap/>
                  <w:tcMar>
                    <w:top w:w="0" w:type="dxa"/>
                    <w:left w:w="28" w:type="dxa"/>
                    <w:bottom w:w="0" w:type="dxa"/>
                    <w:right w:w="28" w:type="dxa"/>
                  </w:tcMar>
                  <w:vAlign w:val="center"/>
                </w:tcPr>
                <w:p w14:paraId="1738261B">
                  <w:pPr>
                    <w:widowControl/>
                    <w:jc w:val="center"/>
                    <w:textAlignment w:val="center"/>
                    <w:rPr>
                      <w:color w:val="auto"/>
                      <w:kern w:val="0"/>
                      <w:szCs w:val="21"/>
                      <w:lang w:bidi="ar"/>
                    </w:rPr>
                  </w:pPr>
                  <w:r>
                    <w:rPr>
                      <w:color w:val="auto"/>
                      <w:kern w:val="0"/>
                      <w:szCs w:val="21"/>
                      <w:lang w:bidi="ar"/>
                    </w:rPr>
                    <w:t xml:space="preserve">0.1111 </w:t>
                  </w:r>
                </w:p>
              </w:tc>
              <w:tc>
                <w:tcPr>
                  <w:tcW w:w="321" w:type="pct"/>
                  <w:noWrap/>
                  <w:tcMar>
                    <w:top w:w="0" w:type="dxa"/>
                    <w:left w:w="28" w:type="dxa"/>
                    <w:bottom w:w="0" w:type="dxa"/>
                    <w:right w:w="28" w:type="dxa"/>
                  </w:tcMar>
                  <w:vAlign w:val="center"/>
                </w:tcPr>
                <w:p w14:paraId="1738261C">
                  <w:pPr>
                    <w:widowControl/>
                    <w:jc w:val="center"/>
                    <w:textAlignment w:val="center"/>
                    <w:rPr>
                      <w:color w:val="auto"/>
                      <w:kern w:val="0"/>
                      <w:szCs w:val="21"/>
                      <w:lang w:bidi="ar"/>
                    </w:rPr>
                  </w:pPr>
                  <w:r>
                    <w:rPr>
                      <w:color w:val="auto"/>
                      <w:kern w:val="0"/>
                      <w:szCs w:val="21"/>
                      <w:lang w:bidi="ar"/>
                    </w:rPr>
                    <w:t xml:space="preserve">0.0010 </w:t>
                  </w:r>
                </w:p>
              </w:tc>
              <w:tc>
                <w:tcPr>
                  <w:tcW w:w="333" w:type="pct"/>
                  <w:noWrap/>
                  <w:tcMar>
                    <w:top w:w="0" w:type="dxa"/>
                    <w:left w:w="28" w:type="dxa"/>
                    <w:bottom w:w="0" w:type="dxa"/>
                    <w:right w:w="28" w:type="dxa"/>
                  </w:tcMar>
                  <w:vAlign w:val="center"/>
                </w:tcPr>
                <w:p w14:paraId="1738261D">
                  <w:pPr>
                    <w:widowControl/>
                    <w:jc w:val="center"/>
                    <w:textAlignment w:val="center"/>
                    <w:rPr>
                      <w:color w:val="auto"/>
                      <w:kern w:val="0"/>
                      <w:szCs w:val="21"/>
                      <w:lang w:bidi="ar"/>
                    </w:rPr>
                  </w:pPr>
                  <w:r>
                    <w:rPr>
                      <w:color w:val="auto"/>
                      <w:kern w:val="0"/>
                      <w:szCs w:val="21"/>
                      <w:lang w:bidi="ar"/>
                    </w:rPr>
                    <w:t xml:space="preserve">0.0024 </w:t>
                  </w:r>
                </w:p>
              </w:tc>
              <w:tc>
                <w:tcPr>
                  <w:tcW w:w="298" w:type="pct"/>
                  <w:noWrap/>
                  <w:tcMar>
                    <w:top w:w="0" w:type="dxa"/>
                    <w:left w:w="28" w:type="dxa"/>
                    <w:bottom w:w="0" w:type="dxa"/>
                    <w:right w:w="28" w:type="dxa"/>
                  </w:tcMar>
                  <w:vAlign w:val="center"/>
                </w:tcPr>
                <w:p w14:paraId="1738261E">
                  <w:pPr>
                    <w:adjustRightInd w:val="0"/>
                    <w:snapToGrid w:val="0"/>
                    <w:jc w:val="center"/>
                    <w:rPr>
                      <w:bCs/>
                      <w:color w:val="auto"/>
                      <w:kern w:val="0"/>
                      <w:szCs w:val="21"/>
                    </w:rPr>
                  </w:pPr>
                  <w:r>
                    <w:rPr>
                      <w:bCs/>
                      <w:color w:val="auto"/>
                      <w:kern w:val="0"/>
                      <w:szCs w:val="21"/>
                    </w:rPr>
                    <w:t>20</w:t>
                  </w:r>
                </w:p>
              </w:tc>
              <w:tc>
                <w:tcPr>
                  <w:tcW w:w="253" w:type="pct"/>
                  <w:noWrap/>
                  <w:tcMar>
                    <w:top w:w="0" w:type="dxa"/>
                    <w:left w:w="28" w:type="dxa"/>
                    <w:bottom w:w="0" w:type="dxa"/>
                    <w:right w:w="28" w:type="dxa"/>
                  </w:tcMar>
                  <w:vAlign w:val="center"/>
                </w:tcPr>
                <w:p w14:paraId="1738261F">
                  <w:pPr>
                    <w:adjustRightInd w:val="0"/>
                    <w:snapToGrid w:val="0"/>
                    <w:jc w:val="center"/>
                    <w:rPr>
                      <w:bCs/>
                      <w:color w:val="auto"/>
                      <w:kern w:val="0"/>
                      <w:szCs w:val="21"/>
                    </w:rPr>
                  </w:pPr>
                  <w:r>
                    <w:rPr>
                      <w:bCs/>
                      <w:color w:val="auto"/>
                      <w:kern w:val="0"/>
                      <w:szCs w:val="21"/>
                    </w:rPr>
                    <w:t>/</w:t>
                  </w:r>
                </w:p>
              </w:tc>
              <w:tc>
                <w:tcPr>
                  <w:tcW w:w="208" w:type="pct"/>
                  <w:vMerge w:val="restart"/>
                  <w:tcMar>
                    <w:top w:w="0" w:type="dxa"/>
                    <w:left w:w="28" w:type="dxa"/>
                    <w:bottom w:w="0" w:type="dxa"/>
                    <w:right w:w="28" w:type="dxa"/>
                  </w:tcMar>
                  <w:vAlign w:val="center"/>
                </w:tcPr>
                <w:p w14:paraId="17382620">
                  <w:pPr>
                    <w:adjustRightInd w:val="0"/>
                    <w:snapToGrid w:val="0"/>
                    <w:jc w:val="center"/>
                    <w:rPr>
                      <w:color w:val="auto"/>
                      <w:szCs w:val="21"/>
                    </w:rPr>
                  </w:pPr>
                  <w:r>
                    <w:rPr>
                      <w:color w:val="auto"/>
                      <w:szCs w:val="21"/>
                    </w:rPr>
                    <w:t>2400</w:t>
                  </w:r>
                </w:p>
              </w:tc>
            </w:tr>
            <w:tr w14:paraId="1738263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25" w:hRule="atLeast"/>
                <w:jc w:val="center"/>
              </w:trPr>
              <w:tc>
                <w:tcPr>
                  <w:tcW w:w="174" w:type="pct"/>
                  <w:vMerge w:val="continue"/>
                  <w:noWrap/>
                  <w:tcMar>
                    <w:top w:w="0" w:type="dxa"/>
                    <w:left w:w="28" w:type="dxa"/>
                    <w:bottom w:w="0" w:type="dxa"/>
                    <w:right w:w="28" w:type="dxa"/>
                  </w:tcMar>
                  <w:vAlign w:val="center"/>
                </w:tcPr>
                <w:p w14:paraId="17382622">
                  <w:pPr>
                    <w:widowControl/>
                    <w:adjustRightInd w:val="0"/>
                    <w:snapToGrid w:val="0"/>
                    <w:jc w:val="center"/>
                    <w:rPr>
                      <w:color w:val="auto"/>
                      <w:kern w:val="0"/>
                      <w:szCs w:val="21"/>
                    </w:rPr>
                  </w:pPr>
                </w:p>
              </w:tc>
              <w:tc>
                <w:tcPr>
                  <w:tcW w:w="275" w:type="pct"/>
                  <w:noWrap/>
                  <w:tcMar>
                    <w:top w:w="0" w:type="dxa"/>
                    <w:left w:w="28" w:type="dxa"/>
                    <w:bottom w:w="0" w:type="dxa"/>
                    <w:right w:w="28" w:type="dxa"/>
                  </w:tcMar>
                  <w:vAlign w:val="center"/>
                </w:tcPr>
                <w:p w14:paraId="17382623">
                  <w:pPr>
                    <w:adjustRightInd w:val="0"/>
                    <w:snapToGrid w:val="0"/>
                    <w:jc w:val="center"/>
                    <w:rPr>
                      <w:color w:val="auto"/>
                      <w:szCs w:val="21"/>
                    </w:rPr>
                  </w:pPr>
                  <w:r>
                    <w:rPr>
                      <w:bCs/>
                      <w:color w:val="auto"/>
                      <w:szCs w:val="21"/>
                    </w:rPr>
                    <w:t>非甲烷总烃</w:t>
                  </w:r>
                </w:p>
              </w:tc>
              <w:tc>
                <w:tcPr>
                  <w:tcW w:w="275" w:type="pct"/>
                  <w:vMerge w:val="continue"/>
                  <w:noWrap/>
                  <w:tcMar>
                    <w:top w:w="0" w:type="dxa"/>
                    <w:left w:w="28" w:type="dxa"/>
                    <w:bottom w:w="0" w:type="dxa"/>
                    <w:right w:w="28" w:type="dxa"/>
                  </w:tcMar>
                  <w:vAlign w:val="center"/>
                </w:tcPr>
                <w:p w14:paraId="17382624">
                  <w:pPr>
                    <w:adjustRightInd w:val="0"/>
                    <w:snapToGrid w:val="0"/>
                    <w:jc w:val="center"/>
                    <w:rPr>
                      <w:color w:val="auto"/>
                      <w:kern w:val="0"/>
                      <w:szCs w:val="21"/>
                      <w:lang w:bidi="ar"/>
                    </w:rPr>
                  </w:pPr>
                </w:p>
              </w:tc>
              <w:tc>
                <w:tcPr>
                  <w:tcW w:w="480" w:type="pct"/>
                  <w:vMerge w:val="continue"/>
                  <w:noWrap/>
                  <w:tcMar>
                    <w:top w:w="0" w:type="dxa"/>
                    <w:left w:w="28" w:type="dxa"/>
                    <w:bottom w:w="0" w:type="dxa"/>
                    <w:right w:w="28" w:type="dxa"/>
                  </w:tcMar>
                  <w:vAlign w:val="center"/>
                </w:tcPr>
                <w:p w14:paraId="17382625">
                  <w:pPr>
                    <w:widowControl/>
                    <w:adjustRightInd w:val="0"/>
                    <w:snapToGrid w:val="0"/>
                    <w:jc w:val="center"/>
                    <w:textAlignment w:val="center"/>
                    <w:rPr>
                      <w:color w:val="auto"/>
                      <w:kern w:val="0"/>
                      <w:szCs w:val="21"/>
                    </w:rPr>
                  </w:pPr>
                </w:p>
              </w:tc>
              <w:tc>
                <w:tcPr>
                  <w:tcW w:w="965" w:type="dxa"/>
                  <w:noWrap/>
                  <w:tcMar>
                    <w:top w:w="0" w:type="dxa"/>
                    <w:left w:w="28" w:type="dxa"/>
                    <w:bottom w:w="0" w:type="dxa"/>
                    <w:right w:w="28" w:type="dxa"/>
                  </w:tcMar>
                  <w:vAlign w:val="center"/>
                </w:tcPr>
                <w:p w14:paraId="17382626">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8.4840 </w:t>
                  </w:r>
                </w:p>
              </w:tc>
              <w:tc>
                <w:tcPr>
                  <w:tcW w:w="846" w:type="dxa"/>
                  <w:noWrap/>
                  <w:tcMar>
                    <w:top w:w="0" w:type="dxa"/>
                    <w:left w:w="28" w:type="dxa"/>
                    <w:bottom w:w="0" w:type="dxa"/>
                    <w:right w:w="28" w:type="dxa"/>
                  </w:tcMar>
                  <w:vAlign w:val="center"/>
                </w:tcPr>
                <w:p w14:paraId="17382627">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0.0764 </w:t>
                  </w:r>
                </w:p>
              </w:tc>
              <w:tc>
                <w:tcPr>
                  <w:tcW w:w="876" w:type="dxa"/>
                  <w:noWrap/>
                  <w:tcMar>
                    <w:top w:w="0" w:type="dxa"/>
                    <w:left w:w="28" w:type="dxa"/>
                    <w:bottom w:w="0" w:type="dxa"/>
                    <w:right w:w="28" w:type="dxa"/>
                  </w:tcMar>
                  <w:vAlign w:val="center"/>
                </w:tcPr>
                <w:p w14:paraId="17382628">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0.1833 </w:t>
                  </w:r>
                </w:p>
              </w:tc>
              <w:tc>
                <w:tcPr>
                  <w:tcW w:w="711" w:type="pct"/>
                  <w:noWrap/>
                  <w:tcMar>
                    <w:top w:w="0" w:type="dxa"/>
                    <w:left w:w="28" w:type="dxa"/>
                    <w:bottom w:w="0" w:type="dxa"/>
                    <w:right w:w="28" w:type="dxa"/>
                  </w:tcMar>
                  <w:vAlign w:val="center"/>
                </w:tcPr>
                <w:p w14:paraId="17382629">
                  <w:pPr>
                    <w:widowControl/>
                    <w:adjustRightInd w:val="0"/>
                    <w:snapToGrid w:val="0"/>
                    <w:jc w:val="center"/>
                    <w:textAlignment w:val="center"/>
                    <w:rPr>
                      <w:color w:val="auto"/>
                      <w:kern w:val="0"/>
                      <w:szCs w:val="21"/>
                    </w:rPr>
                  </w:pPr>
                  <w:r>
                    <w:rPr>
                      <w:bCs/>
                      <w:color w:val="auto"/>
                      <w:kern w:val="0"/>
                      <w:szCs w:val="21"/>
                      <w:lang w:bidi="ar"/>
                    </w:rPr>
                    <w:t>二级活性炭</w:t>
                  </w:r>
                </w:p>
              </w:tc>
              <w:tc>
                <w:tcPr>
                  <w:tcW w:w="275" w:type="pct"/>
                  <w:vMerge w:val="continue"/>
                  <w:noWrap/>
                  <w:tcMar>
                    <w:top w:w="0" w:type="dxa"/>
                    <w:left w:w="28" w:type="dxa"/>
                    <w:bottom w:w="0" w:type="dxa"/>
                    <w:right w:w="28" w:type="dxa"/>
                  </w:tcMar>
                  <w:vAlign w:val="center"/>
                </w:tcPr>
                <w:p w14:paraId="1738262A">
                  <w:pPr>
                    <w:adjustRightInd w:val="0"/>
                    <w:snapToGrid w:val="0"/>
                    <w:jc w:val="center"/>
                    <w:rPr>
                      <w:color w:val="auto"/>
                      <w:kern w:val="0"/>
                      <w:szCs w:val="21"/>
                    </w:rPr>
                  </w:pPr>
                </w:p>
              </w:tc>
              <w:tc>
                <w:tcPr>
                  <w:tcW w:w="965" w:type="dxa"/>
                  <w:noWrap/>
                  <w:tcMar>
                    <w:top w:w="0" w:type="dxa"/>
                    <w:left w:w="28" w:type="dxa"/>
                    <w:bottom w:w="0" w:type="dxa"/>
                    <w:right w:w="28" w:type="dxa"/>
                  </w:tcMar>
                  <w:vAlign w:val="center"/>
                </w:tcPr>
                <w:p w14:paraId="1738262B">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0.8484 </w:t>
                  </w:r>
                </w:p>
              </w:tc>
              <w:tc>
                <w:tcPr>
                  <w:tcW w:w="846" w:type="dxa"/>
                  <w:noWrap/>
                  <w:tcMar>
                    <w:top w:w="0" w:type="dxa"/>
                    <w:left w:w="28" w:type="dxa"/>
                    <w:bottom w:w="0" w:type="dxa"/>
                    <w:right w:w="28" w:type="dxa"/>
                  </w:tcMar>
                  <w:vAlign w:val="center"/>
                </w:tcPr>
                <w:p w14:paraId="1738262C">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0.0076 </w:t>
                  </w:r>
                </w:p>
              </w:tc>
              <w:tc>
                <w:tcPr>
                  <w:tcW w:w="876" w:type="dxa"/>
                  <w:noWrap/>
                  <w:tcMar>
                    <w:top w:w="0" w:type="dxa"/>
                    <w:left w:w="28" w:type="dxa"/>
                    <w:bottom w:w="0" w:type="dxa"/>
                    <w:right w:w="28" w:type="dxa"/>
                  </w:tcMar>
                  <w:vAlign w:val="center"/>
                </w:tcPr>
                <w:p w14:paraId="1738262D">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0.0183 </w:t>
                  </w:r>
                </w:p>
              </w:tc>
              <w:tc>
                <w:tcPr>
                  <w:tcW w:w="298" w:type="pct"/>
                  <w:noWrap/>
                  <w:tcMar>
                    <w:top w:w="0" w:type="dxa"/>
                    <w:left w:w="28" w:type="dxa"/>
                    <w:bottom w:w="0" w:type="dxa"/>
                    <w:right w:w="28" w:type="dxa"/>
                  </w:tcMar>
                  <w:vAlign w:val="center"/>
                </w:tcPr>
                <w:p w14:paraId="1738262E">
                  <w:pPr>
                    <w:adjustRightInd w:val="0"/>
                    <w:snapToGrid w:val="0"/>
                    <w:jc w:val="center"/>
                    <w:rPr>
                      <w:bCs/>
                      <w:color w:val="auto"/>
                      <w:kern w:val="0"/>
                      <w:szCs w:val="21"/>
                    </w:rPr>
                  </w:pPr>
                  <w:r>
                    <w:rPr>
                      <w:bCs/>
                      <w:color w:val="auto"/>
                      <w:kern w:val="0"/>
                      <w:szCs w:val="21"/>
                    </w:rPr>
                    <w:t>60</w:t>
                  </w:r>
                </w:p>
              </w:tc>
              <w:tc>
                <w:tcPr>
                  <w:tcW w:w="253" w:type="pct"/>
                  <w:noWrap/>
                  <w:tcMar>
                    <w:top w:w="0" w:type="dxa"/>
                    <w:left w:w="28" w:type="dxa"/>
                    <w:bottom w:w="0" w:type="dxa"/>
                    <w:right w:w="28" w:type="dxa"/>
                  </w:tcMar>
                  <w:vAlign w:val="center"/>
                </w:tcPr>
                <w:p w14:paraId="1738262F">
                  <w:pPr>
                    <w:adjustRightInd w:val="0"/>
                    <w:snapToGrid w:val="0"/>
                    <w:jc w:val="center"/>
                    <w:rPr>
                      <w:bCs/>
                      <w:color w:val="auto"/>
                      <w:kern w:val="0"/>
                      <w:szCs w:val="21"/>
                    </w:rPr>
                  </w:pPr>
                  <w:r>
                    <w:rPr>
                      <w:bCs/>
                      <w:color w:val="auto"/>
                      <w:kern w:val="0"/>
                      <w:szCs w:val="21"/>
                    </w:rPr>
                    <w:t>3</w:t>
                  </w:r>
                </w:p>
              </w:tc>
              <w:tc>
                <w:tcPr>
                  <w:tcW w:w="208" w:type="pct"/>
                  <w:vMerge w:val="continue"/>
                  <w:tcMar>
                    <w:top w:w="0" w:type="dxa"/>
                    <w:left w:w="28" w:type="dxa"/>
                    <w:bottom w:w="0" w:type="dxa"/>
                    <w:right w:w="28" w:type="dxa"/>
                  </w:tcMar>
                  <w:vAlign w:val="center"/>
                </w:tcPr>
                <w:p w14:paraId="17382630">
                  <w:pPr>
                    <w:adjustRightInd w:val="0"/>
                    <w:snapToGrid w:val="0"/>
                    <w:jc w:val="center"/>
                    <w:rPr>
                      <w:color w:val="auto"/>
                      <w:szCs w:val="21"/>
                    </w:rPr>
                  </w:pPr>
                </w:p>
              </w:tc>
            </w:tr>
            <w:tr w14:paraId="1738264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25" w:hRule="atLeast"/>
                <w:jc w:val="center"/>
              </w:trPr>
              <w:tc>
                <w:tcPr>
                  <w:tcW w:w="174" w:type="pct"/>
                  <w:vMerge w:val="continue"/>
                  <w:noWrap/>
                  <w:tcMar>
                    <w:top w:w="0" w:type="dxa"/>
                    <w:left w:w="28" w:type="dxa"/>
                    <w:bottom w:w="0" w:type="dxa"/>
                    <w:right w:w="28" w:type="dxa"/>
                  </w:tcMar>
                  <w:vAlign w:val="center"/>
                </w:tcPr>
                <w:p w14:paraId="17382632">
                  <w:pPr>
                    <w:widowControl/>
                    <w:adjustRightInd w:val="0"/>
                    <w:snapToGrid w:val="0"/>
                    <w:jc w:val="center"/>
                    <w:rPr>
                      <w:color w:val="auto"/>
                      <w:kern w:val="0"/>
                      <w:szCs w:val="21"/>
                    </w:rPr>
                  </w:pPr>
                </w:p>
              </w:tc>
              <w:tc>
                <w:tcPr>
                  <w:tcW w:w="275" w:type="pct"/>
                  <w:noWrap/>
                  <w:tcMar>
                    <w:top w:w="0" w:type="dxa"/>
                    <w:left w:w="28" w:type="dxa"/>
                    <w:bottom w:w="0" w:type="dxa"/>
                    <w:right w:w="28" w:type="dxa"/>
                  </w:tcMar>
                  <w:vAlign w:val="center"/>
                </w:tcPr>
                <w:p w14:paraId="17382633">
                  <w:pPr>
                    <w:adjustRightInd w:val="0"/>
                    <w:snapToGrid w:val="0"/>
                    <w:jc w:val="center"/>
                    <w:rPr>
                      <w:color w:val="auto"/>
                      <w:szCs w:val="21"/>
                    </w:rPr>
                  </w:pPr>
                  <w:r>
                    <w:rPr>
                      <w:bCs/>
                      <w:color w:val="auto"/>
                      <w:szCs w:val="21"/>
                    </w:rPr>
                    <w:t>苯乙烯</w:t>
                  </w:r>
                </w:p>
              </w:tc>
              <w:tc>
                <w:tcPr>
                  <w:tcW w:w="275" w:type="pct"/>
                  <w:vMerge w:val="continue"/>
                  <w:noWrap/>
                  <w:tcMar>
                    <w:top w:w="0" w:type="dxa"/>
                    <w:left w:w="28" w:type="dxa"/>
                    <w:bottom w:w="0" w:type="dxa"/>
                    <w:right w:w="28" w:type="dxa"/>
                  </w:tcMar>
                  <w:vAlign w:val="center"/>
                </w:tcPr>
                <w:p w14:paraId="17382634">
                  <w:pPr>
                    <w:adjustRightInd w:val="0"/>
                    <w:snapToGrid w:val="0"/>
                    <w:jc w:val="center"/>
                    <w:rPr>
                      <w:color w:val="auto"/>
                      <w:kern w:val="0"/>
                      <w:szCs w:val="21"/>
                      <w:lang w:bidi="ar"/>
                    </w:rPr>
                  </w:pPr>
                </w:p>
              </w:tc>
              <w:tc>
                <w:tcPr>
                  <w:tcW w:w="480" w:type="pct"/>
                  <w:vMerge w:val="continue"/>
                  <w:noWrap/>
                  <w:tcMar>
                    <w:top w:w="0" w:type="dxa"/>
                    <w:left w:w="28" w:type="dxa"/>
                    <w:bottom w:w="0" w:type="dxa"/>
                    <w:right w:w="28" w:type="dxa"/>
                  </w:tcMar>
                  <w:vAlign w:val="center"/>
                </w:tcPr>
                <w:p w14:paraId="17382635">
                  <w:pPr>
                    <w:widowControl/>
                    <w:adjustRightInd w:val="0"/>
                    <w:snapToGrid w:val="0"/>
                    <w:jc w:val="center"/>
                    <w:textAlignment w:val="center"/>
                    <w:rPr>
                      <w:color w:val="auto"/>
                      <w:kern w:val="0"/>
                      <w:szCs w:val="21"/>
                    </w:rPr>
                  </w:pPr>
                </w:p>
              </w:tc>
              <w:tc>
                <w:tcPr>
                  <w:tcW w:w="367" w:type="pct"/>
                  <w:noWrap/>
                  <w:tcMar>
                    <w:top w:w="0" w:type="dxa"/>
                    <w:left w:w="28" w:type="dxa"/>
                    <w:bottom w:w="0" w:type="dxa"/>
                    <w:right w:w="28" w:type="dxa"/>
                  </w:tcMar>
                  <w:vAlign w:val="center"/>
                </w:tcPr>
                <w:p w14:paraId="17382636">
                  <w:pPr>
                    <w:widowControl/>
                    <w:jc w:val="center"/>
                    <w:textAlignment w:val="center"/>
                    <w:rPr>
                      <w:color w:val="auto"/>
                      <w:kern w:val="0"/>
                      <w:szCs w:val="21"/>
                      <w:lang w:bidi="ar"/>
                    </w:rPr>
                  </w:pPr>
                  <w:r>
                    <w:rPr>
                      <w:color w:val="auto"/>
                      <w:kern w:val="0"/>
                      <w:szCs w:val="21"/>
                      <w:lang w:bidi="ar"/>
                    </w:rPr>
                    <w:t xml:space="preserve">2.0926 </w:t>
                  </w:r>
                </w:p>
              </w:tc>
              <w:tc>
                <w:tcPr>
                  <w:tcW w:w="321" w:type="pct"/>
                  <w:noWrap/>
                  <w:tcMar>
                    <w:top w:w="0" w:type="dxa"/>
                    <w:left w:w="28" w:type="dxa"/>
                    <w:bottom w:w="0" w:type="dxa"/>
                    <w:right w:w="28" w:type="dxa"/>
                  </w:tcMar>
                  <w:vAlign w:val="center"/>
                </w:tcPr>
                <w:p w14:paraId="17382637">
                  <w:pPr>
                    <w:widowControl/>
                    <w:jc w:val="center"/>
                    <w:textAlignment w:val="center"/>
                    <w:rPr>
                      <w:color w:val="auto"/>
                      <w:kern w:val="0"/>
                      <w:szCs w:val="21"/>
                      <w:lang w:bidi="ar"/>
                    </w:rPr>
                  </w:pPr>
                  <w:r>
                    <w:rPr>
                      <w:color w:val="auto"/>
                      <w:kern w:val="0"/>
                      <w:szCs w:val="21"/>
                      <w:lang w:bidi="ar"/>
                    </w:rPr>
                    <w:t xml:space="preserve">0.0188 </w:t>
                  </w:r>
                </w:p>
              </w:tc>
              <w:tc>
                <w:tcPr>
                  <w:tcW w:w="333" w:type="pct"/>
                  <w:noWrap/>
                  <w:tcMar>
                    <w:top w:w="0" w:type="dxa"/>
                    <w:left w:w="28" w:type="dxa"/>
                    <w:bottom w:w="0" w:type="dxa"/>
                    <w:right w:w="28" w:type="dxa"/>
                  </w:tcMar>
                  <w:vAlign w:val="center"/>
                </w:tcPr>
                <w:p w14:paraId="17382638">
                  <w:pPr>
                    <w:widowControl/>
                    <w:jc w:val="center"/>
                    <w:textAlignment w:val="center"/>
                    <w:rPr>
                      <w:color w:val="auto"/>
                      <w:kern w:val="0"/>
                      <w:szCs w:val="21"/>
                      <w:lang w:bidi="ar"/>
                    </w:rPr>
                  </w:pPr>
                  <w:r>
                    <w:rPr>
                      <w:color w:val="auto"/>
                      <w:kern w:val="0"/>
                      <w:szCs w:val="21"/>
                      <w:lang w:bidi="ar"/>
                    </w:rPr>
                    <w:t xml:space="preserve">0.0452 </w:t>
                  </w:r>
                </w:p>
              </w:tc>
              <w:tc>
                <w:tcPr>
                  <w:tcW w:w="711" w:type="pct"/>
                  <w:noWrap/>
                  <w:tcMar>
                    <w:top w:w="0" w:type="dxa"/>
                    <w:left w:w="28" w:type="dxa"/>
                    <w:bottom w:w="0" w:type="dxa"/>
                    <w:right w:w="28" w:type="dxa"/>
                  </w:tcMar>
                  <w:vAlign w:val="center"/>
                </w:tcPr>
                <w:p w14:paraId="17382639">
                  <w:pPr>
                    <w:widowControl/>
                    <w:adjustRightInd w:val="0"/>
                    <w:snapToGrid w:val="0"/>
                    <w:jc w:val="center"/>
                    <w:textAlignment w:val="center"/>
                    <w:rPr>
                      <w:color w:val="auto"/>
                      <w:kern w:val="0"/>
                      <w:szCs w:val="21"/>
                    </w:rPr>
                  </w:pPr>
                  <w:r>
                    <w:rPr>
                      <w:bCs/>
                      <w:color w:val="auto"/>
                      <w:kern w:val="0"/>
                      <w:szCs w:val="21"/>
                      <w:lang w:bidi="ar"/>
                    </w:rPr>
                    <w:t>二级活性炭</w:t>
                  </w:r>
                </w:p>
              </w:tc>
              <w:tc>
                <w:tcPr>
                  <w:tcW w:w="275" w:type="pct"/>
                  <w:vMerge w:val="continue"/>
                  <w:noWrap/>
                  <w:tcMar>
                    <w:top w:w="0" w:type="dxa"/>
                    <w:left w:w="28" w:type="dxa"/>
                    <w:bottom w:w="0" w:type="dxa"/>
                    <w:right w:w="28" w:type="dxa"/>
                  </w:tcMar>
                  <w:vAlign w:val="center"/>
                </w:tcPr>
                <w:p w14:paraId="1738263A">
                  <w:pPr>
                    <w:adjustRightInd w:val="0"/>
                    <w:snapToGrid w:val="0"/>
                    <w:jc w:val="center"/>
                    <w:rPr>
                      <w:color w:val="auto"/>
                      <w:kern w:val="0"/>
                      <w:szCs w:val="21"/>
                    </w:rPr>
                  </w:pPr>
                </w:p>
              </w:tc>
              <w:tc>
                <w:tcPr>
                  <w:tcW w:w="367" w:type="pct"/>
                  <w:noWrap/>
                  <w:tcMar>
                    <w:top w:w="0" w:type="dxa"/>
                    <w:left w:w="28" w:type="dxa"/>
                    <w:bottom w:w="0" w:type="dxa"/>
                    <w:right w:w="28" w:type="dxa"/>
                  </w:tcMar>
                  <w:vAlign w:val="center"/>
                </w:tcPr>
                <w:p w14:paraId="1738263B">
                  <w:pPr>
                    <w:widowControl/>
                    <w:jc w:val="center"/>
                    <w:textAlignment w:val="center"/>
                    <w:rPr>
                      <w:color w:val="auto"/>
                      <w:kern w:val="0"/>
                      <w:szCs w:val="21"/>
                      <w:lang w:bidi="ar"/>
                    </w:rPr>
                  </w:pPr>
                  <w:r>
                    <w:rPr>
                      <w:color w:val="auto"/>
                      <w:kern w:val="0"/>
                      <w:szCs w:val="21"/>
                      <w:lang w:bidi="ar"/>
                    </w:rPr>
                    <w:t xml:space="preserve">0.2083 </w:t>
                  </w:r>
                </w:p>
              </w:tc>
              <w:tc>
                <w:tcPr>
                  <w:tcW w:w="321" w:type="pct"/>
                  <w:noWrap/>
                  <w:tcMar>
                    <w:top w:w="0" w:type="dxa"/>
                    <w:left w:w="28" w:type="dxa"/>
                    <w:bottom w:w="0" w:type="dxa"/>
                    <w:right w:w="28" w:type="dxa"/>
                  </w:tcMar>
                  <w:vAlign w:val="center"/>
                </w:tcPr>
                <w:p w14:paraId="1738263C">
                  <w:pPr>
                    <w:widowControl/>
                    <w:jc w:val="center"/>
                    <w:textAlignment w:val="center"/>
                    <w:rPr>
                      <w:color w:val="auto"/>
                      <w:kern w:val="0"/>
                      <w:szCs w:val="21"/>
                      <w:lang w:bidi="ar"/>
                    </w:rPr>
                  </w:pPr>
                  <w:r>
                    <w:rPr>
                      <w:color w:val="auto"/>
                      <w:kern w:val="0"/>
                      <w:szCs w:val="21"/>
                      <w:lang w:bidi="ar"/>
                    </w:rPr>
                    <w:t xml:space="preserve">0.0019 </w:t>
                  </w:r>
                </w:p>
              </w:tc>
              <w:tc>
                <w:tcPr>
                  <w:tcW w:w="333" w:type="pct"/>
                  <w:noWrap/>
                  <w:tcMar>
                    <w:top w:w="0" w:type="dxa"/>
                    <w:left w:w="28" w:type="dxa"/>
                    <w:bottom w:w="0" w:type="dxa"/>
                    <w:right w:w="28" w:type="dxa"/>
                  </w:tcMar>
                  <w:vAlign w:val="center"/>
                </w:tcPr>
                <w:p w14:paraId="1738263D">
                  <w:pPr>
                    <w:widowControl/>
                    <w:jc w:val="center"/>
                    <w:textAlignment w:val="center"/>
                    <w:rPr>
                      <w:color w:val="auto"/>
                      <w:kern w:val="0"/>
                      <w:szCs w:val="21"/>
                      <w:lang w:bidi="ar"/>
                    </w:rPr>
                  </w:pPr>
                  <w:r>
                    <w:rPr>
                      <w:color w:val="auto"/>
                      <w:kern w:val="0"/>
                      <w:szCs w:val="21"/>
                      <w:lang w:bidi="ar"/>
                    </w:rPr>
                    <w:t xml:space="preserve">0.0045 </w:t>
                  </w:r>
                </w:p>
              </w:tc>
              <w:tc>
                <w:tcPr>
                  <w:tcW w:w="298" w:type="pct"/>
                  <w:noWrap/>
                  <w:tcMar>
                    <w:top w:w="0" w:type="dxa"/>
                    <w:left w:w="28" w:type="dxa"/>
                    <w:bottom w:w="0" w:type="dxa"/>
                    <w:right w:w="28" w:type="dxa"/>
                  </w:tcMar>
                  <w:vAlign w:val="center"/>
                </w:tcPr>
                <w:p w14:paraId="1738263E">
                  <w:pPr>
                    <w:adjustRightInd w:val="0"/>
                    <w:snapToGrid w:val="0"/>
                    <w:jc w:val="center"/>
                    <w:rPr>
                      <w:bCs/>
                      <w:color w:val="auto"/>
                      <w:kern w:val="0"/>
                      <w:szCs w:val="21"/>
                    </w:rPr>
                  </w:pPr>
                  <w:r>
                    <w:rPr>
                      <w:bCs/>
                      <w:color w:val="auto"/>
                      <w:kern w:val="0"/>
                      <w:szCs w:val="21"/>
                    </w:rPr>
                    <w:t>20</w:t>
                  </w:r>
                </w:p>
              </w:tc>
              <w:tc>
                <w:tcPr>
                  <w:tcW w:w="253" w:type="pct"/>
                  <w:noWrap/>
                  <w:tcMar>
                    <w:top w:w="0" w:type="dxa"/>
                    <w:left w:w="28" w:type="dxa"/>
                    <w:bottom w:w="0" w:type="dxa"/>
                    <w:right w:w="28" w:type="dxa"/>
                  </w:tcMar>
                  <w:vAlign w:val="center"/>
                </w:tcPr>
                <w:p w14:paraId="1738263F">
                  <w:pPr>
                    <w:adjustRightInd w:val="0"/>
                    <w:snapToGrid w:val="0"/>
                    <w:jc w:val="center"/>
                    <w:rPr>
                      <w:bCs/>
                      <w:color w:val="auto"/>
                      <w:kern w:val="0"/>
                      <w:szCs w:val="21"/>
                    </w:rPr>
                  </w:pPr>
                  <w:r>
                    <w:rPr>
                      <w:bCs/>
                      <w:color w:val="auto"/>
                      <w:kern w:val="0"/>
                      <w:szCs w:val="21"/>
                    </w:rPr>
                    <w:t>/</w:t>
                  </w:r>
                </w:p>
              </w:tc>
              <w:tc>
                <w:tcPr>
                  <w:tcW w:w="208" w:type="pct"/>
                  <w:vMerge w:val="continue"/>
                  <w:tcMar>
                    <w:top w:w="0" w:type="dxa"/>
                    <w:left w:w="28" w:type="dxa"/>
                    <w:bottom w:w="0" w:type="dxa"/>
                    <w:right w:w="28" w:type="dxa"/>
                  </w:tcMar>
                  <w:vAlign w:val="center"/>
                </w:tcPr>
                <w:p w14:paraId="17382640">
                  <w:pPr>
                    <w:adjustRightInd w:val="0"/>
                    <w:snapToGrid w:val="0"/>
                    <w:jc w:val="center"/>
                    <w:rPr>
                      <w:color w:val="auto"/>
                      <w:szCs w:val="21"/>
                    </w:rPr>
                  </w:pPr>
                </w:p>
              </w:tc>
            </w:tr>
            <w:tr w14:paraId="1738265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25" w:hRule="atLeast"/>
                <w:jc w:val="center"/>
              </w:trPr>
              <w:tc>
                <w:tcPr>
                  <w:tcW w:w="174" w:type="pct"/>
                  <w:noWrap/>
                  <w:tcMar>
                    <w:top w:w="0" w:type="dxa"/>
                    <w:left w:w="28" w:type="dxa"/>
                    <w:bottom w:w="0" w:type="dxa"/>
                    <w:right w:w="28" w:type="dxa"/>
                  </w:tcMar>
                  <w:vAlign w:val="center"/>
                </w:tcPr>
                <w:p w14:paraId="17382642">
                  <w:pPr>
                    <w:widowControl/>
                    <w:adjustRightInd w:val="0"/>
                    <w:snapToGrid w:val="0"/>
                    <w:jc w:val="center"/>
                    <w:rPr>
                      <w:color w:val="auto"/>
                      <w:kern w:val="0"/>
                      <w:szCs w:val="21"/>
                    </w:rPr>
                  </w:pPr>
                  <w:r>
                    <w:rPr>
                      <w:color w:val="auto"/>
                      <w:kern w:val="0"/>
                      <w:szCs w:val="21"/>
                    </w:rPr>
                    <w:t>DA002</w:t>
                  </w:r>
                </w:p>
              </w:tc>
              <w:tc>
                <w:tcPr>
                  <w:tcW w:w="275" w:type="pct"/>
                  <w:noWrap/>
                  <w:tcMar>
                    <w:top w:w="0" w:type="dxa"/>
                    <w:left w:w="28" w:type="dxa"/>
                    <w:bottom w:w="0" w:type="dxa"/>
                    <w:right w:w="28" w:type="dxa"/>
                  </w:tcMar>
                  <w:vAlign w:val="center"/>
                </w:tcPr>
                <w:p w14:paraId="17382643">
                  <w:pPr>
                    <w:adjustRightInd w:val="0"/>
                    <w:snapToGrid w:val="0"/>
                    <w:jc w:val="center"/>
                    <w:rPr>
                      <w:color w:val="auto"/>
                      <w:szCs w:val="21"/>
                    </w:rPr>
                  </w:pPr>
                  <w:r>
                    <w:rPr>
                      <w:bCs/>
                      <w:color w:val="auto"/>
                      <w:kern w:val="0"/>
                      <w:szCs w:val="21"/>
                    </w:rPr>
                    <w:t>颗粒物</w:t>
                  </w:r>
                </w:p>
              </w:tc>
              <w:tc>
                <w:tcPr>
                  <w:tcW w:w="275" w:type="pct"/>
                  <w:noWrap/>
                  <w:tcMar>
                    <w:top w:w="0" w:type="dxa"/>
                    <w:left w:w="28" w:type="dxa"/>
                    <w:bottom w:w="0" w:type="dxa"/>
                    <w:right w:w="28" w:type="dxa"/>
                  </w:tcMar>
                  <w:vAlign w:val="center"/>
                </w:tcPr>
                <w:p w14:paraId="17382644">
                  <w:pPr>
                    <w:adjustRightInd w:val="0"/>
                    <w:snapToGrid w:val="0"/>
                    <w:jc w:val="center"/>
                    <w:rPr>
                      <w:color w:val="auto"/>
                      <w:kern w:val="0"/>
                      <w:szCs w:val="21"/>
                      <w:lang w:bidi="ar"/>
                    </w:rPr>
                  </w:pPr>
                  <w:r>
                    <w:rPr>
                      <w:bCs/>
                      <w:color w:val="auto"/>
                      <w:kern w:val="0"/>
                      <w:szCs w:val="21"/>
                    </w:rPr>
                    <w:t>产污系数法</w:t>
                  </w:r>
                </w:p>
              </w:tc>
              <w:tc>
                <w:tcPr>
                  <w:tcW w:w="480" w:type="pct"/>
                  <w:noWrap/>
                  <w:tcMar>
                    <w:top w:w="0" w:type="dxa"/>
                    <w:left w:w="28" w:type="dxa"/>
                    <w:bottom w:w="0" w:type="dxa"/>
                    <w:right w:w="28" w:type="dxa"/>
                  </w:tcMar>
                  <w:vAlign w:val="center"/>
                </w:tcPr>
                <w:p w14:paraId="17382645">
                  <w:pPr>
                    <w:widowControl/>
                    <w:adjustRightInd w:val="0"/>
                    <w:snapToGrid w:val="0"/>
                    <w:jc w:val="center"/>
                    <w:textAlignment w:val="center"/>
                    <w:rPr>
                      <w:color w:val="auto"/>
                      <w:kern w:val="0"/>
                      <w:szCs w:val="21"/>
                    </w:rPr>
                  </w:pPr>
                  <w:r>
                    <w:rPr>
                      <w:color w:val="auto"/>
                      <w:kern w:val="0"/>
                      <w:szCs w:val="21"/>
                    </w:rPr>
                    <w:t>10000</w:t>
                  </w:r>
                </w:p>
              </w:tc>
              <w:tc>
                <w:tcPr>
                  <w:tcW w:w="367" w:type="pct"/>
                  <w:noWrap/>
                  <w:tcMar>
                    <w:top w:w="0" w:type="dxa"/>
                    <w:left w:w="28" w:type="dxa"/>
                    <w:bottom w:w="0" w:type="dxa"/>
                    <w:right w:w="28" w:type="dxa"/>
                  </w:tcMar>
                  <w:vAlign w:val="center"/>
                </w:tcPr>
                <w:p w14:paraId="17382646">
                  <w:pPr>
                    <w:widowControl/>
                    <w:jc w:val="center"/>
                    <w:textAlignment w:val="center"/>
                    <w:rPr>
                      <w:color w:val="auto"/>
                      <w:kern w:val="0"/>
                      <w:szCs w:val="21"/>
                      <w:lang w:bidi="ar"/>
                    </w:rPr>
                  </w:pPr>
                  <w:r>
                    <w:rPr>
                      <w:color w:val="auto"/>
                      <w:kern w:val="0"/>
                      <w:szCs w:val="21"/>
                      <w:lang w:bidi="ar"/>
                    </w:rPr>
                    <w:t xml:space="preserve">96.8248 </w:t>
                  </w:r>
                </w:p>
              </w:tc>
              <w:tc>
                <w:tcPr>
                  <w:tcW w:w="321" w:type="pct"/>
                  <w:noWrap/>
                  <w:tcMar>
                    <w:top w:w="0" w:type="dxa"/>
                    <w:left w:w="28" w:type="dxa"/>
                    <w:bottom w:w="0" w:type="dxa"/>
                    <w:right w:w="28" w:type="dxa"/>
                  </w:tcMar>
                  <w:vAlign w:val="center"/>
                </w:tcPr>
                <w:p w14:paraId="17382647">
                  <w:pPr>
                    <w:widowControl/>
                    <w:jc w:val="center"/>
                    <w:textAlignment w:val="center"/>
                    <w:rPr>
                      <w:color w:val="auto"/>
                      <w:kern w:val="0"/>
                      <w:szCs w:val="21"/>
                      <w:lang w:bidi="ar"/>
                    </w:rPr>
                  </w:pPr>
                  <w:r>
                    <w:rPr>
                      <w:color w:val="auto"/>
                      <w:kern w:val="0"/>
                      <w:szCs w:val="21"/>
                      <w:lang w:bidi="ar"/>
                    </w:rPr>
                    <w:t xml:space="preserve">0.9682 </w:t>
                  </w:r>
                </w:p>
              </w:tc>
              <w:tc>
                <w:tcPr>
                  <w:tcW w:w="333" w:type="pct"/>
                  <w:noWrap/>
                  <w:tcMar>
                    <w:top w:w="0" w:type="dxa"/>
                    <w:left w:w="28" w:type="dxa"/>
                    <w:bottom w:w="0" w:type="dxa"/>
                    <w:right w:w="28" w:type="dxa"/>
                  </w:tcMar>
                  <w:vAlign w:val="center"/>
                </w:tcPr>
                <w:p w14:paraId="17382648">
                  <w:pPr>
                    <w:widowControl/>
                    <w:jc w:val="center"/>
                    <w:textAlignment w:val="center"/>
                    <w:rPr>
                      <w:color w:val="auto"/>
                      <w:kern w:val="0"/>
                      <w:szCs w:val="21"/>
                      <w:lang w:bidi="ar"/>
                    </w:rPr>
                  </w:pPr>
                  <w:r>
                    <w:rPr>
                      <w:color w:val="auto"/>
                      <w:kern w:val="0"/>
                      <w:szCs w:val="21"/>
                      <w:lang w:bidi="ar"/>
                    </w:rPr>
                    <w:t xml:space="preserve">2.3238 </w:t>
                  </w:r>
                </w:p>
              </w:tc>
              <w:tc>
                <w:tcPr>
                  <w:tcW w:w="711" w:type="pct"/>
                  <w:noWrap/>
                  <w:tcMar>
                    <w:top w:w="0" w:type="dxa"/>
                    <w:left w:w="28" w:type="dxa"/>
                    <w:bottom w:w="0" w:type="dxa"/>
                    <w:right w:w="28" w:type="dxa"/>
                  </w:tcMar>
                  <w:vAlign w:val="center"/>
                </w:tcPr>
                <w:p w14:paraId="17382649">
                  <w:pPr>
                    <w:adjustRightInd w:val="0"/>
                    <w:snapToGrid w:val="0"/>
                    <w:jc w:val="center"/>
                    <w:rPr>
                      <w:color w:val="auto"/>
                      <w:kern w:val="0"/>
                      <w:szCs w:val="21"/>
                    </w:rPr>
                  </w:pPr>
                  <w:r>
                    <w:rPr>
                      <w:color w:val="auto"/>
                      <w:szCs w:val="21"/>
                    </w:rPr>
                    <w:t>旋风除尘+脉冲滤芯、布袋除尘</w:t>
                  </w:r>
                </w:p>
              </w:tc>
              <w:tc>
                <w:tcPr>
                  <w:tcW w:w="275" w:type="pct"/>
                  <w:noWrap/>
                  <w:tcMar>
                    <w:top w:w="0" w:type="dxa"/>
                    <w:left w:w="28" w:type="dxa"/>
                    <w:bottom w:w="0" w:type="dxa"/>
                    <w:right w:w="28" w:type="dxa"/>
                  </w:tcMar>
                  <w:vAlign w:val="center"/>
                </w:tcPr>
                <w:p w14:paraId="1738264A">
                  <w:pPr>
                    <w:widowControl/>
                    <w:adjustRightInd w:val="0"/>
                    <w:snapToGrid w:val="0"/>
                    <w:jc w:val="center"/>
                    <w:rPr>
                      <w:color w:val="auto"/>
                      <w:kern w:val="0"/>
                      <w:szCs w:val="21"/>
                    </w:rPr>
                  </w:pPr>
                  <w:r>
                    <w:rPr>
                      <w:bCs/>
                      <w:color w:val="auto"/>
                      <w:kern w:val="0"/>
                      <w:szCs w:val="21"/>
                    </w:rPr>
                    <w:t>产污系数法</w:t>
                  </w:r>
                </w:p>
              </w:tc>
              <w:tc>
                <w:tcPr>
                  <w:tcW w:w="367" w:type="pct"/>
                  <w:noWrap/>
                  <w:tcMar>
                    <w:top w:w="0" w:type="dxa"/>
                    <w:left w:w="28" w:type="dxa"/>
                    <w:bottom w:w="0" w:type="dxa"/>
                    <w:right w:w="28" w:type="dxa"/>
                  </w:tcMar>
                  <w:vAlign w:val="center"/>
                </w:tcPr>
                <w:p w14:paraId="1738264B">
                  <w:pPr>
                    <w:widowControl/>
                    <w:jc w:val="center"/>
                    <w:textAlignment w:val="center"/>
                    <w:rPr>
                      <w:color w:val="auto"/>
                      <w:kern w:val="0"/>
                      <w:szCs w:val="21"/>
                      <w:lang w:bidi="ar"/>
                    </w:rPr>
                  </w:pPr>
                  <w:r>
                    <w:rPr>
                      <w:color w:val="auto"/>
                      <w:kern w:val="0"/>
                      <w:szCs w:val="21"/>
                      <w:lang w:bidi="ar"/>
                    </w:rPr>
                    <w:t xml:space="preserve">3.2402 </w:t>
                  </w:r>
                </w:p>
              </w:tc>
              <w:tc>
                <w:tcPr>
                  <w:tcW w:w="321" w:type="pct"/>
                  <w:noWrap/>
                  <w:tcMar>
                    <w:top w:w="0" w:type="dxa"/>
                    <w:left w:w="28" w:type="dxa"/>
                    <w:bottom w:w="0" w:type="dxa"/>
                    <w:right w:w="28" w:type="dxa"/>
                  </w:tcMar>
                  <w:vAlign w:val="center"/>
                </w:tcPr>
                <w:p w14:paraId="1738264C">
                  <w:pPr>
                    <w:widowControl/>
                    <w:jc w:val="center"/>
                    <w:textAlignment w:val="center"/>
                    <w:rPr>
                      <w:color w:val="auto"/>
                      <w:kern w:val="0"/>
                      <w:szCs w:val="21"/>
                      <w:lang w:bidi="ar"/>
                    </w:rPr>
                  </w:pPr>
                  <w:r>
                    <w:rPr>
                      <w:color w:val="auto"/>
                      <w:kern w:val="0"/>
                      <w:szCs w:val="21"/>
                      <w:lang w:bidi="ar"/>
                    </w:rPr>
                    <w:t xml:space="preserve">0.0324 </w:t>
                  </w:r>
                </w:p>
              </w:tc>
              <w:tc>
                <w:tcPr>
                  <w:tcW w:w="333" w:type="pct"/>
                  <w:noWrap/>
                  <w:tcMar>
                    <w:top w:w="0" w:type="dxa"/>
                    <w:left w:w="28" w:type="dxa"/>
                    <w:bottom w:w="0" w:type="dxa"/>
                    <w:right w:w="28" w:type="dxa"/>
                  </w:tcMar>
                  <w:vAlign w:val="center"/>
                </w:tcPr>
                <w:p w14:paraId="1738264D">
                  <w:pPr>
                    <w:widowControl/>
                    <w:jc w:val="center"/>
                    <w:textAlignment w:val="center"/>
                    <w:rPr>
                      <w:color w:val="auto"/>
                      <w:kern w:val="0"/>
                      <w:szCs w:val="21"/>
                      <w:lang w:bidi="ar"/>
                    </w:rPr>
                  </w:pPr>
                  <w:r>
                    <w:rPr>
                      <w:color w:val="auto"/>
                      <w:kern w:val="0"/>
                      <w:szCs w:val="21"/>
                      <w:lang w:bidi="ar"/>
                    </w:rPr>
                    <w:t xml:space="preserve">0.0778 </w:t>
                  </w:r>
                </w:p>
              </w:tc>
              <w:tc>
                <w:tcPr>
                  <w:tcW w:w="298" w:type="pct"/>
                  <w:noWrap/>
                  <w:tcMar>
                    <w:top w:w="0" w:type="dxa"/>
                    <w:left w:w="28" w:type="dxa"/>
                    <w:bottom w:w="0" w:type="dxa"/>
                    <w:right w:w="28" w:type="dxa"/>
                  </w:tcMar>
                  <w:vAlign w:val="center"/>
                </w:tcPr>
                <w:p w14:paraId="1738264E">
                  <w:pPr>
                    <w:adjustRightInd w:val="0"/>
                    <w:snapToGrid w:val="0"/>
                    <w:jc w:val="center"/>
                    <w:rPr>
                      <w:bCs/>
                      <w:color w:val="auto"/>
                      <w:kern w:val="0"/>
                      <w:szCs w:val="21"/>
                    </w:rPr>
                  </w:pPr>
                  <w:r>
                    <w:rPr>
                      <w:bCs/>
                      <w:color w:val="auto"/>
                      <w:kern w:val="0"/>
                      <w:szCs w:val="21"/>
                    </w:rPr>
                    <w:t>20</w:t>
                  </w:r>
                </w:p>
              </w:tc>
              <w:tc>
                <w:tcPr>
                  <w:tcW w:w="253" w:type="pct"/>
                  <w:noWrap/>
                  <w:tcMar>
                    <w:top w:w="0" w:type="dxa"/>
                    <w:left w:w="28" w:type="dxa"/>
                    <w:bottom w:w="0" w:type="dxa"/>
                    <w:right w:w="28" w:type="dxa"/>
                  </w:tcMar>
                  <w:vAlign w:val="center"/>
                </w:tcPr>
                <w:p w14:paraId="1738264F">
                  <w:pPr>
                    <w:adjustRightInd w:val="0"/>
                    <w:snapToGrid w:val="0"/>
                    <w:jc w:val="center"/>
                    <w:rPr>
                      <w:bCs/>
                      <w:color w:val="auto"/>
                      <w:kern w:val="0"/>
                      <w:szCs w:val="21"/>
                    </w:rPr>
                  </w:pPr>
                  <w:r>
                    <w:rPr>
                      <w:bCs/>
                      <w:color w:val="auto"/>
                      <w:kern w:val="0"/>
                      <w:szCs w:val="21"/>
                    </w:rPr>
                    <w:t>1.0</w:t>
                  </w:r>
                </w:p>
              </w:tc>
              <w:tc>
                <w:tcPr>
                  <w:tcW w:w="208" w:type="pct"/>
                  <w:tcMar>
                    <w:top w:w="0" w:type="dxa"/>
                    <w:left w:w="28" w:type="dxa"/>
                    <w:bottom w:w="0" w:type="dxa"/>
                    <w:right w:w="28" w:type="dxa"/>
                  </w:tcMar>
                  <w:vAlign w:val="center"/>
                </w:tcPr>
                <w:p w14:paraId="17382650">
                  <w:pPr>
                    <w:adjustRightInd w:val="0"/>
                    <w:snapToGrid w:val="0"/>
                    <w:jc w:val="center"/>
                    <w:rPr>
                      <w:color w:val="auto"/>
                      <w:szCs w:val="21"/>
                    </w:rPr>
                  </w:pPr>
                  <w:r>
                    <w:rPr>
                      <w:color w:val="auto"/>
                      <w:szCs w:val="21"/>
                    </w:rPr>
                    <w:t>2400</w:t>
                  </w:r>
                </w:p>
              </w:tc>
            </w:tr>
            <w:tr w14:paraId="1738266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425" w:hRule="atLeast"/>
                <w:jc w:val="center"/>
              </w:trPr>
              <w:tc>
                <w:tcPr>
                  <w:tcW w:w="174" w:type="pct"/>
                  <w:noWrap/>
                  <w:tcMar>
                    <w:top w:w="0" w:type="dxa"/>
                    <w:left w:w="28" w:type="dxa"/>
                    <w:bottom w:w="0" w:type="dxa"/>
                    <w:right w:w="28" w:type="dxa"/>
                  </w:tcMar>
                  <w:vAlign w:val="center"/>
                </w:tcPr>
                <w:p w14:paraId="17382652">
                  <w:pPr>
                    <w:widowControl/>
                    <w:adjustRightInd w:val="0"/>
                    <w:snapToGrid w:val="0"/>
                    <w:jc w:val="center"/>
                    <w:rPr>
                      <w:color w:val="auto"/>
                      <w:kern w:val="0"/>
                      <w:szCs w:val="21"/>
                    </w:rPr>
                  </w:pPr>
                  <w:r>
                    <w:rPr>
                      <w:color w:val="auto"/>
                      <w:kern w:val="0"/>
                      <w:szCs w:val="21"/>
                    </w:rPr>
                    <w:t>DA003</w:t>
                  </w:r>
                </w:p>
              </w:tc>
              <w:tc>
                <w:tcPr>
                  <w:tcW w:w="275" w:type="pct"/>
                  <w:noWrap/>
                  <w:tcMar>
                    <w:top w:w="0" w:type="dxa"/>
                    <w:left w:w="28" w:type="dxa"/>
                    <w:bottom w:w="0" w:type="dxa"/>
                    <w:right w:w="28" w:type="dxa"/>
                  </w:tcMar>
                  <w:vAlign w:val="center"/>
                </w:tcPr>
                <w:p w14:paraId="17382653">
                  <w:pPr>
                    <w:adjustRightInd w:val="0"/>
                    <w:snapToGrid w:val="0"/>
                    <w:jc w:val="center"/>
                    <w:rPr>
                      <w:color w:val="auto"/>
                      <w:szCs w:val="21"/>
                    </w:rPr>
                  </w:pPr>
                  <w:r>
                    <w:rPr>
                      <w:bCs/>
                      <w:color w:val="auto"/>
                      <w:kern w:val="0"/>
                      <w:szCs w:val="21"/>
                    </w:rPr>
                    <w:t>颗粒物</w:t>
                  </w:r>
                </w:p>
              </w:tc>
              <w:tc>
                <w:tcPr>
                  <w:tcW w:w="275" w:type="pct"/>
                  <w:noWrap/>
                  <w:tcMar>
                    <w:top w:w="0" w:type="dxa"/>
                    <w:left w:w="28" w:type="dxa"/>
                    <w:bottom w:w="0" w:type="dxa"/>
                    <w:right w:w="28" w:type="dxa"/>
                  </w:tcMar>
                  <w:vAlign w:val="center"/>
                </w:tcPr>
                <w:p w14:paraId="17382654">
                  <w:pPr>
                    <w:adjustRightInd w:val="0"/>
                    <w:snapToGrid w:val="0"/>
                    <w:jc w:val="center"/>
                    <w:rPr>
                      <w:color w:val="auto"/>
                      <w:kern w:val="0"/>
                      <w:szCs w:val="21"/>
                      <w:lang w:bidi="ar"/>
                    </w:rPr>
                  </w:pPr>
                  <w:r>
                    <w:rPr>
                      <w:bCs/>
                      <w:color w:val="auto"/>
                      <w:kern w:val="0"/>
                      <w:szCs w:val="21"/>
                    </w:rPr>
                    <w:t>产污系数法</w:t>
                  </w:r>
                </w:p>
              </w:tc>
              <w:tc>
                <w:tcPr>
                  <w:tcW w:w="480" w:type="pct"/>
                  <w:noWrap/>
                  <w:tcMar>
                    <w:top w:w="0" w:type="dxa"/>
                    <w:left w:w="28" w:type="dxa"/>
                    <w:bottom w:w="0" w:type="dxa"/>
                    <w:right w:w="28" w:type="dxa"/>
                  </w:tcMar>
                  <w:vAlign w:val="center"/>
                </w:tcPr>
                <w:p w14:paraId="17382655">
                  <w:pPr>
                    <w:widowControl/>
                    <w:adjustRightInd w:val="0"/>
                    <w:snapToGrid w:val="0"/>
                    <w:jc w:val="center"/>
                    <w:textAlignment w:val="center"/>
                    <w:rPr>
                      <w:color w:val="auto"/>
                      <w:kern w:val="0"/>
                      <w:szCs w:val="21"/>
                    </w:rPr>
                  </w:pPr>
                  <w:r>
                    <w:rPr>
                      <w:color w:val="auto"/>
                      <w:kern w:val="0"/>
                      <w:szCs w:val="21"/>
                    </w:rPr>
                    <w:t>3000</w:t>
                  </w:r>
                </w:p>
              </w:tc>
              <w:tc>
                <w:tcPr>
                  <w:tcW w:w="367" w:type="pct"/>
                  <w:noWrap/>
                  <w:tcMar>
                    <w:top w:w="0" w:type="dxa"/>
                    <w:left w:w="28" w:type="dxa"/>
                    <w:bottom w:w="0" w:type="dxa"/>
                    <w:right w:w="28" w:type="dxa"/>
                  </w:tcMar>
                  <w:vAlign w:val="center"/>
                </w:tcPr>
                <w:p w14:paraId="17382656">
                  <w:pPr>
                    <w:widowControl/>
                    <w:jc w:val="center"/>
                    <w:textAlignment w:val="center"/>
                    <w:rPr>
                      <w:color w:val="auto"/>
                      <w:kern w:val="0"/>
                      <w:szCs w:val="21"/>
                      <w:lang w:bidi="ar"/>
                    </w:rPr>
                  </w:pPr>
                  <w:r>
                    <w:rPr>
                      <w:color w:val="auto"/>
                      <w:kern w:val="0"/>
                      <w:szCs w:val="21"/>
                      <w:lang w:bidi="ar"/>
                    </w:rPr>
                    <w:t xml:space="preserve">136.8750 </w:t>
                  </w:r>
                </w:p>
              </w:tc>
              <w:tc>
                <w:tcPr>
                  <w:tcW w:w="321" w:type="pct"/>
                  <w:noWrap/>
                  <w:tcMar>
                    <w:top w:w="0" w:type="dxa"/>
                    <w:left w:w="28" w:type="dxa"/>
                    <w:bottom w:w="0" w:type="dxa"/>
                    <w:right w:w="28" w:type="dxa"/>
                  </w:tcMar>
                  <w:vAlign w:val="center"/>
                </w:tcPr>
                <w:p w14:paraId="17382657">
                  <w:pPr>
                    <w:widowControl/>
                    <w:jc w:val="center"/>
                    <w:textAlignment w:val="center"/>
                    <w:rPr>
                      <w:color w:val="auto"/>
                      <w:kern w:val="0"/>
                      <w:szCs w:val="21"/>
                      <w:lang w:bidi="ar"/>
                    </w:rPr>
                  </w:pPr>
                  <w:r>
                    <w:rPr>
                      <w:color w:val="auto"/>
                      <w:kern w:val="0"/>
                      <w:szCs w:val="21"/>
                      <w:lang w:bidi="ar"/>
                    </w:rPr>
                    <w:t xml:space="preserve">0.4106 </w:t>
                  </w:r>
                </w:p>
              </w:tc>
              <w:tc>
                <w:tcPr>
                  <w:tcW w:w="333" w:type="pct"/>
                  <w:noWrap/>
                  <w:tcMar>
                    <w:top w:w="0" w:type="dxa"/>
                    <w:left w:w="28" w:type="dxa"/>
                    <w:bottom w:w="0" w:type="dxa"/>
                    <w:right w:w="28" w:type="dxa"/>
                  </w:tcMar>
                  <w:vAlign w:val="center"/>
                </w:tcPr>
                <w:p w14:paraId="17382658">
                  <w:pPr>
                    <w:widowControl/>
                    <w:jc w:val="center"/>
                    <w:textAlignment w:val="center"/>
                    <w:rPr>
                      <w:color w:val="auto"/>
                      <w:kern w:val="0"/>
                      <w:szCs w:val="21"/>
                      <w:lang w:bidi="ar"/>
                    </w:rPr>
                  </w:pPr>
                  <w:r>
                    <w:rPr>
                      <w:color w:val="auto"/>
                      <w:kern w:val="0"/>
                      <w:szCs w:val="21"/>
                      <w:lang w:bidi="ar"/>
                    </w:rPr>
                    <w:t xml:space="preserve">0.9855 </w:t>
                  </w:r>
                </w:p>
              </w:tc>
              <w:tc>
                <w:tcPr>
                  <w:tcW w:w="711" w:type="pct"/>
                  <w:noWrap/>
                  <w:tcMar>
                    <w:top w:w="0" w:type="dxa"/>
                    <w:left w:w="28" w:type="dxa"/>
                    <w:bottom w:w="0" w:type="dxa"/>
                    <w:right w:w="28" w:type="dxa"/>
                  </w:tcMar>
                  <w:vAlign w:val="center"/>
                </w:tcPr>
                <w:p w14:paraId="17382659">
                  <w:pPr>
                    <w:adjustRightInd w:val="0"/>
                    <w:snapToGrid w:val="0"/>
                    <w:jc w:val="center"/>
                    <w:rPr>
                      <w:color w:val="auto"/>
                      <w:kern w:val="0"/>
                      <w:szCs w:val="21"/>
                    </w:rPr>
                  </w:pPr>
                  <w:r>
                    <w:rPr>
                      <w:color w:val="auto"/>
                      <w:szCs w:val="21"/>
                    </w:rPr>
                    <w:t>布袋除尘器</w:t>
                  </w:r>
                </w:p>
              </w:tc>
              <w:tc>
                <w:tcPr>
                  <w:tcW w:w="275" w:type="pct"/>
                  <w:noWrap/>
                  <w:tcMar>
                    <w:top w:w="0" w:type="dxa"/>
                    <w:left w:w="28" w:type="dxa"/>
                    <w:bottom w:w="0" w:type="dxa"/>
                    <w:right w:w="28" w:type="dxa"/>
                  </w:tcMar>
                  <w:vAlign w:val="center"/>
                </w:tcPr>
                <w:p w14:paraId="1738265A">
                  <w:pPr>
                    <w:adjustRightInd w:val="0"/>
                    <w:snapToGrid w:val="0"/>
                    <w:jc w:val="center"/>
                    <w:rPr>
                      <w:color w:val="auto"/>
                      <w:kern w:val="0"/>
                      <w:szCs w:val="21"/>
                    </w:rPr>
                  </w:pPr>
                  <w:r>
                    <w:rPr>
                      <w:bCs/>
                      <w:color w:val="auto"/>
                      <w:kern w:val="0"/>
                      <w:szCs w:val="21"/>
                    </w:rPr>
                    <w:t>产污系数法</w:t>
                  </w:r>
                </w:p>
              </w:tc>
              <w:tc>
                <w:tcPr>
                  <w:tcW w:w="367" w:type="pct"/>
                  <w:noWrap/>
                  <w:tcMar>
                    <w:top w:w="0" w:type="dxa"/>
                    <w:left w:w="28" w:type="dxa"/>
                    <w:bottom w:w="0" w:type="dxa"/>
                    <w:right w:w="28" w:type="dxa"/>
                  </w:tcMar>
                  <w:vAlign w:val="center"/>
                </w:tcPr>
                <w:p w14:paraId="1738265B">
                  <w:pPr>
                    <w:widowControl/>
                    <w:jc w:val="center"/>
                    <w:textAlignment w:val="center"/>
                    <w:rPr>
                      <w:color w:val="auto"/>
                      <w:kern w:val="0"/>
                      <w:szCs w:val="21"/>
                      <w:lang w:bidi="ar"/>
                    </w:rPr>
                  </w:pPr>
                  <w:r>
                    <w:rPr>
                      <w:color w:val="auto"/>
                      <w:kern w:val="0"/>
                      <w:szCs w:val="21"/>
                      <w:lang w:bidi="ar"/>
                    </w:rPr>
                    <w:t xml:space="preserve">6.8438 </w:t>
                  </w:r>
                </w:p>
              </w:tc>
              <w:tc>
                <w:tcPr>
                  <w:tcW w:w="321" w:type="pct"/>
                  <w:noWrap/>
                  <w:tcMar>
                    <w:top w:w="0" w:type="dxa"/>
                    <w:left w:w="28" w:type="dxa"/>
                    <w:bottom w:w="0" w:type="dxa"/>
                    <w:right w:w="28" w:type="dxa"/>
                  </w:tcMar>
                  <w:vAlign w:val="center"/>
                </w:tcPr>
                <w:p w14:paraId="1738265C">
                  <w:pPr>
                    <w:widowControl/>
                    <w:jc w:val="center"/>
                    <w:textAlignment w:val="center"/>
                    <w:rPr>
                      <w:color w:val="auto"/>
                      <w:kern w:val="0"/>
                      <w:szCs w:val="21"/>
                      <w:lang w:bidi="ar"/>
                    </w:rPr>
                  </w:pPr>
                  <w:r>
                    <w:rPr>
                      <w:color w:val="auto"/>
                      <w:kern w:val="0"/>
                      <w:szCs w:val="21"/>
                      <w:lang w:bidi="ar"/>
                    </w:rPr>
                    <w:t xml:space="preserve">0.0205 </w:t>
                  </w:r>
                </w:p>
              </w:tc>
              <w:tc>
                <w:tcPr>
                  <w:tcW w:w="333" w:type="pct"/>
                  <w:noWrap/>
                  <w:tcMar>
                    <w:top w:w="0" w:type="dxa"/>
                    <w:left w:w="28" w:type="dxa"/>
                    <w:bottom w:w="0" w:type="dxa"/>
                    <w:right w:w="28" w:type="dxa"/>
                  </w:tcMar>
                  <w:vAlign w:val="center"/>
                </w:tcPr>
                <w:p w14:paraId="1738265D">
                  <w:pPr>
                    <w:widowControl/>
                    <w:jc w:val="center"/>
                    <w:textAlignment w:val="center"/>
                    <w:rPr>
                      <w:color w:val="auto"/>
                      <w:kern w:val="0"/>
                      <w:szCs w:val="21"/>
                      <w:lang w:bidi="ar"/>
                    </w:rPr>
                  </w:pPr>
                  <w:r>
                    <w:rPr>
                      <w:color w:val="auto"/>
                      <w:kern w:val="0"/>
                      <w:szCs w:val="21"/>
                      <w:lang w:bidi="ar"/>
                    </w:rPr>
                    <w:t xml:space="preserve">0.0493 </w:t>
                  </w:r>
                </w:p>
              </w:tc>
              <w:tc>
                <w:tcPr>
                  <w:tcW w:w="298" w:type="pct"/>
                  <w:noWrap/>
                  <w:tcMar>
                    <w:top w:w="0" w:type="dxa"/>
                    <w:left w:w="28" w:type="dxa"/>
                    <w:bottom w:w="0" w:type="dxa"/>
                    <w:right w:w="28" w:type="dxa"/>
                  </w:tcMar>
                  <w:vAlign w:val="center"/>
                </w:tcPr>
                <w:p w14:paraId="1738265E">
                  <w:pPr>
                    <w:adjustRightInd w:val="0"/>
                    <w:snapToGrid w:val="0"/>
                    <w:jc w:val="center"/>
                    <w:rPr>
                      <w:bCs/>
                      <w:color w:val="auto"/>
                      <w:kern w:val="0"/>
                      <w:szCs w:val="21"/>
                    </w:rPr>
                  </w:pPr>
                  <w:r>
                    <w:rPr>
                      <w:bCs/>
                      <w:color w:val="auto"/>
                      <w:kern w:val="0"/>
                      <w:szCs w:val="21"/>
                    </w:rPr>
                    <w:t>20</w:t>
                  </w:r>
                </w:p>
              </w:tc>
              <w:tc>
                <w:tcPr>
                  <w:tcW w:w="253" w:type="pct"/>
                  <w:noWrap/>
                  <w:tcMar>
                    <w:top w:w="0" w:type="dxa"/>
                    <w:left w:w="28" w:type="dxa"/>
                    <w:bottom w:w="0" w:type="dxa"/>
                    <w:right w:w="28" w:type="dxa"/>
                  </w:tcMar>
                  <w:vAlign w:val="center"/>
                </w:tcPr>
                <w:p w14:paraId="1738265F">
                  <w:pPr>
                    <w:adjustRightInd w:val="0"/>
                    <w:snapToGrid w:val="0"/>
                    <w:jc w:val="center"/>
                    <w:rPr>
                      <w:bCs/>
                      <w:color w:val="auto"/>
                      <w:kern w:val="0"/>
                      <w:szCs w:val="21"/>
                    </w:rPr>
                  </w:pPr>
                  <w:r>
                    <w:rPr>
                      <w:bCs/>
                      <w:color w:val="auto"/>
                      <w:kern w:val="0"/>
                      <w:szCs w:val="21"/>
                    </w:rPr>
                    <w:t>1.0</w:t>
                  </w:r>
                </w:p>
              </w:tc>
              <w:tc>
                <w:tcPr>
                  <w:tcW w:w="208" w:type="pct"/>
                  <w:tcMar>
                    <w:top w:w="0" w:type="dxa"/>
                    <w:left w:w="28" w:type="dxa"/>
                    <w:bottom w:w="0" w:type="dxa"/>
                    <w:right w:w="28" w:type="dxa"/>
                  </w:tcMar>
                  <w:vAlign w:val="center"/>
                </w:tcPr>
                <w:p w14:paraId="17382660">
                  <w:pPr>
                    <w:adjustRightInd w:val="0"/>
                    <w:snapToGrid w:val="0"/>
                    <w:jc w:val="center"/>
                    <w:rPr>
                      <w:color w:val="auto"/>
                      <w:szCs w:val="21"/>
                    </w:rPr>
                  </w:pPr>
                  <w:r>
                    <w:rPr>
                      <w:color w:val="auto"/>
                      <w:szCs w:val="21"/>
                    </w:rPr>
                    <w:t>2400</w:t>
                  </w:r>
                </w:p>
              </w:tc>
            </w:tr>
          </w:tbl>
          <w:p w14:paraId="17382662">
            <w:pPr>
              <w:widowControl/>
              <w:adjustRightInd w:val="0"/>
              <w:snapToGrid w:val="0"/>
              <w:jc w:val="center"/>
              <w:rPr>
                <w:b/>
                <w:color w:val="auto"/>
                <w:kern w:val="0"/>
                <w:szCs w:val="20"/>
              </w:rPr>
            </w:pPr>
          </w:p>
          <w:p w14:paraId="17382664">
            <w:pPr>
              <w:widowControl/>
              <w:adjustRightInd w:val="0"/>
              <w:snapToGrid w:val="0"/>
              <w:jc w:val="center"/>
              <w:rPr>
                <w:b/>
                <w:color w:val="auto"/>
                <w:kern w:val="0"/>
                <w:sz w:val="24"/>
              </w:rPr>
            </w:pPr>
            <w:r>
              <w:rPr>
                <w:b/>
                <w:color w:val="auto"/>
                <w:kern w:val="0"/>
                <w:sz w:val="24"/>
              </w:rPr>
              <w:t>表</w:t>
            </w:r>
            <w:r>
              <w:rPr>
                <w:rFonts w:hint="eastAsia"/>
                <w:b/>
                <w:color w:val="auto"/>
                <w:kern w:val="0"/>
                <w:sz w:val="24"/>
              </w:rPr>
              <w:t>4-3 本项目建成后</w:t>
            </w:r>
            <w:r>
              <w:rPr>
                <w:b/>
                <w:color w:val="auto"/>
                <w:kern w:val="0"/>
                <w:sz w:val="24"/>
              </w:rPr>
              <w:t>无组织废气污染源源强合并结果及相关参数一览表</w:t>
            </w:r>
          </w:p>
          <w:tbl>
            <w:tblPr>
              <w:tblStyle w:val="89"/>
              <w:tblW w:w="13053" w:type="dxa"/>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444"/>
              <w:gridCol w:w="1450"/>
              <w:gridCol w:w="1450"/>
              <w:gridCol w:w="1450"/>
              <w:gridCol w:w="1459"/>
              <w:gridCol w:w="1450"/>
              <w:gridCol w:w="1257"/>
              <w:gridCol w:w="1643"/>
              <w:gridCol w:w="1450"/>
            </w:tblGrid>
            <w:tr w14:paraId="1738267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444" w:type="dxa"/>
                  <w:vMerge w:val="restart"/>
                  <w:vAlign w:val="center"/>
                </w:tcPr>
                <w:p w14:paraId="17382665">
                  <w:pPr>
                    <w:widowControl/>
                    <w:adjustRightInd w:val="0"/>
                    <w:snapToGrid w:val="0"/>
                    <w:jc w:val="center"/>
                    <w:rPr>
                      <w:b/>
                      <w:color w:val="auto"/>
                      <w:kern w:val="0"/>
                      <w:szCs w:val="21"/>
                    </w:rPr>
                  </w:pPr>
                  <w:r>
                    <w:rPr>
                      <w:b/>
                      <w:color w:val="auto"/>
                      <w:kern w:val="0"/>
                      <w:szCs w:val="21"/>
                    </w:rPr>
                    <w:t>污染源位置</w:t>
                  </w:r>
                </w:p>
              </w:tc>
              <w:tc>
                <w:tcPr>
                  <w:tcW w:w="1450" w:type="dxa"/>
                  <w:vMerge w:val="restart"/>
                  <w:vAlign w:val="center"/>
                </w:tcPr>
                <w:p w14:paraId="17382666">
                  <w:pPr>
                    <w:widowControl/>
                    <w:adjustRightInd w:val="0"/>
                    <w:snapToGrid w:val="0"/>
                    <w:jc w:val="center"/>
                    <w:rPr>
                      <w:b/>
                      <w:color w:val="auto"/>
                      <w:kern w:val="0"/>
                      <w:szCs w:val="21"/>
                    </w:rPr>
                  </w:pPr>
                  <w:r>
                    <w:rPr>
                      <w:b/>
                      <w:color w:val="auto"/>
                      <w:kern w:val="0"/>
                      <w:szCs w:val="21"/>
                    </w:rPr>
                    <w:t>污染物名称</w:t>
                  </w:r>
                </w:p>
              </w:tc>
              <w:tc>
                <w:tcPr>
                  <w:tcW w:w="1450" w:type="dxa"/>
                  <w:vMerge w:val="restart"/>
                  <w:vAlign w:val="center"/>
                </w:tcPr>
                <w:p w14:paraId="17382667">
                  <w:pPr>
                    <w:widowControl/>
                    <w:adjustRightInd w:val="0"/>
                    <w:snapToGrid w:val="0"/>
                    <w:jc w:val="center"/>
                    <w:rPr>
                      <w:b/>
                      <w:color w:val="auto"/>
                      <w:kern w:val="0"/>
                      <w:szCs w:val="21"/>
                    </w:rPr>
                  </w:pPr>
                  <w:r>
                    <w:rPr>
                      <w:b/>
                      <w:color w:val="auto"/>
                      <w:kern w:val="0"/>
                      <w:szCs w:val="21"/>
                    </w:rPr>
                    <w:t>核算方法</w:t>
                  </w:r>
                </w:p>
              </w:tc>
              <w:tc>
                <w:tcPr>
                  <w:tcW w:w="2909" w:type="dxa"/>
                  <w:gridSpan w:val="2"/>
                </w:tcPr>
                <w:p w14:paraId="17382668">
                  <w:pPr>
                    <w:widowControl/>
                    <w:adjustRightInd w:val="0"/>
                    <w:snapToGrid w:val="0"/>
                    <w:jc w:val="center"/>
                    <w:rPr>
                      <w:b/>
                      <w:color w:val="auto"/>
                      <w:kern w:val="0"/>
                      <w:szCs w:val="21"/>
                    </w:rPr>
                  </w:pPr>
                  <w:r>
                    <w:rPr>
                      <w:b/>
                      <w:color w:val="auto"/>
                      <w:kern w:val="0"/>
                      <w:szCs w:val="21"/>
                    </w:rPr>
                    <w:t>排放源强</w:t>
                  </w:r>
                </w:p>
              </w:tc>
              <w:tc>
                <w:tcPr>
                  <w:tcW w:w="1450" w:type="dxa"/>
                  <w:vMerge w:val="restart"/>
                  <w:vAlign w:val="center"/>
                </w:tcPr>
                <w:p w14:paraId="17382669">
                  <w:pPr>
                    <w:widowControl/>
                    <w:adjustRightInd w:val="0"/>
                    <w:snapToGrid w:val="0"/>
                    <w:jc w:val="center"/>
                    <w:rPr>
                      <w:b/>
                      <w:color w:val="auto"/>
                      <w:kern w:val="0"/>
                      <w:szCs w:val="21"/>
                    </w:rPr>
                  </w:pPr>
                  <w:r>
                    <w:rPr>
                      <w:b/>
                      <w:color w:val="auto"/>
                      <w:kern w:val="0"/>
                      <w:szCs w:val="21"/>
                    </w:rPr>
                    <w:t>面源长度</w:t>
                  </w:r>
                </w:p>
                <w:p w14:paraId="1738266A">
                  <w:pPr>
                    <w:widowControl/>
                    <w:adjustRightInd w:val="0"/>
                    <w:snapToGrid w:val="0"/>
                    <w:jc w:val="center"/>
                    <w:rPr>
                      <w:b/>
                      <w:color w:val="auto"/>
                      <w:kern w:val="0"/>
                      <w:szCs w:val="21"/>
                    </w:rPr>
                  </w:pPr>
                  <w:r>
                    <w:rPr>
                      <w:b/>
                      <w:color w:val="auto"/>
                      <w:kern w:val="0"/>
                      <w:szCs w:val="21"/>
                    </w:rPr>
                    <w:t>（m）</w:t>
                  </w:r>
                </w:p>
              </w:tc>
              <w:tc>
                <w:tcPr>
                  <w:tcW w:w="1257" w:type="dxa"/>
                  <w:vMerge w:val="restart"/>
                  <w:vAlign w:val="center"/>
                </w:tcPr>
                <w:p w14:paraId="1738266B">
                  <w:pPr>
                    <w:widowControl/>
                    <w:adjustRightInd w:val="0"/>
                    <w:snapToGrid w:val="0"/>
                    <w:jc w:val="center"/>
                    <w:rPr>
                      <w:b/>
                      <w:color w:val="auto"/>
                      <w:kern w:val="0"/>
                      <w:szCs w:val="21"/>
                    </w:rPr>
                  </w:pPr>
                  <w:r>
                    <w:rPr>
                      <w:b/>
                      <w:color w:val="auto"/>
                      <w:kern w:val="0"/>
                      <w:szCs w:val="21"/>
                    </w:rPr>
                    <w:t>面源宽度</w:t>
                  </w:r>
                </w:p>
                <w:p w14:paraId="1738266C">
                  <w:pPr>
                    <w:widowControl/>
                    <w:adjustRightInd w:val="0"/>
                    <w:snapToGrid w:val="0"/>
                    <w:jc w:val="center"/>
                    <w:rPr>
                      <w:b/>
                      <w:color w:val="auto"/>
                      <w:kern w:val="0"/>
                      <w:szCs w:val="21"/>
                    </w:rPr>
                  </w:pPr>
                  <w:r>
                    <w:rPr>
                      <w:b/>
                      <w:color w:val="auto"/>
                      <w:kern w:val="0"/>
                      <w:szCs w:val="21"/>
                    </w:rPr>
                    <w:t>（m）</w:t>
                  </w:r>
                </w:p>
              </w:tc>
              <w:tc>
                <w:tcPr>
                  <w:tcW w:w="1643" w:type="dxa"/>
                  <w:vMerge w:val="restart"/>
                  <w:vAlign w:val="center"/>
                </w:tcPr>
                <w:p w14:paraId="1738266D">
                  <w:pPr>
                    <w:widowControl/>
                    <w:adjustRightInd w:val="0"/>
                    <w:snapToGrid w:val="0"/>
                    <w:jc w:val="center"/>
                    <w:rPr>
                      <w:b/>
                      <w:color w:val="auto"/>
                      <w:kern w:val="0"/>
                      <w:szCs w:val="21"/>
                    </w:rPr>
                  </w:pPr>
                  <w:r>
                    <w:rPr>
                      <w:b/>
                      <w:color w:val="auto"/>
                      <w:kern w:val="0"/>
                      <w:szCs w:val="21"/>
                    </w:rPr>
                    <w:t>面源高度</w:t>
                  </w:r>
                </w:p>
                <w:p w14:paraId="1738266E">
                  <w:pPr>
                    <w:widowControl/>
                    <w:adjustRightInd w:val="0"/>
                    <w:snapToGrid w:val="0"/>
                    <w:jc w:val="center"/>
                    <w:rPr>
                      <w:b/>
                      <w:color w:val="auto"/>
                      <w:kern w:val="0"/>
                      <w:szCs w:val="21"/>
                    </w:rPr>
                  </w:pPr>
                  <w:r>
                    <w:rPr>
                      <w:b/>
                      <w:color w:val="auto"/>
                      <w:kern w:val="0"/>
                      <w:szCs w:val="21"/>
                    </w:rPr>
                    <w:t>（m）</w:t>
                  </w:r>
                </w:p>
              </w:tc>
              <w:tc>
                <w:tcPr>
                  <w:tcW w:w="1450" w:type="dxa"/>
                  <w:vMerge w:val="restart"/>
                  <w:vAlign w:val="center"/>
                </w:tcPr>
                <w:p w14:paraId="1738266F">
                  <w:pPr>
                    <w:widowControl/>
                    <w:adjustRightInd w:val="0"/>
                    <w:snapToGrid w:val="0"/>
                    <w:jc w:val="center"/>
                    <w:rPr>
                      <w:b/>
                      <w:color w:val="auto"/>
                      <w:kern w:val="0"/>
                      <w:szCs w:val="21"/>
                    </w:rPr>
                  </w:pPr>
                  <w:r>
                    <w:rPr>
                      <w:b/>
                      <w:color w:val="auto"/>
                      <w:kern w:val="0"/>
                      <w:szCs w:val="21"/>
                    </w:rPr>
                    <w:t>排放时间</w:t>
                  </w:r>
                </w:p>
                <w:p w14:paraId="17382670">
                  <w:pPr>
                    <w:widowControl/>
                    <w:adjustRightInd w:val="0"/>
                    <w:snapToGrid w:val="0"/>
                    <w:jc w:val="center"/>
                    <w:rPr>
                      <w:b/>
                      <w:color w:val="auto"/>
                      <w:kern w:val="0"/>
                      <w:szCs w:val="21"/>
                    </w:rPr>
                  </w:pPr>
                  <w:r>
                    <w:rPr>
                      <w:b/>
                      <w:color w:val="auto"/>
                      <w:kern w:val="0"/>
                      <w:szCs w:val="21"/>
                    </w:rPr>
                    <w:t>（h）</w:t>
                  </w:r>
                </w:p>
              </w:tc>
            </w:tr>
            <w:tr w14:paraId="1738267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444" w:type="dxa"/>
                  <w:vMerge w:val="continue"/>
                </w:tcPr>
                <w:p w14:paraId="17382672">
                  <w:pPr>
                    <w:widowControl/>
                    <w:adjustRightInd w:val="0"/>
                    <w:snapToGrid w:val="0"/>
                    <w:jc w:val="center"/>
                    <w:rPr>
                      <w:b/>
                      <w:color w:val="auto"/>
                      <w:kern w:val="0"/>
                      <w:szCs w:val="21"/>
                    </w:rPr>
                  </w:pPr>
                </w:p>
              </w:tc>
              <w:tc>
                <w:tcPr>
                  <w:tcW w:w="1450" w:type="dxa"/>
                  <w:vMerge w:val="continue"/>
                </w:tcPr>
                <w:p w14:paraId="17382673">
                  <w:pPr>
                    <w:widowControl/>
                    <w:adjustRightInd w:val="0"/>
                    <w:snapToGrid w:val="0"/>
                    <w:jc w:val="center"/>
                    <w:rPr>
                      <w:b/>
                      <w:color w:val="auto"/>
                      <w:kern w:val="0"/>
                      <w:szCs w:val="21"/>
                    </w:rPr>
                  </w:pPr>
                </w:p>
              </w:tc>
              <w:tc>
                <w:tcPr>
                  <w:tcW w:w="1450" w:type="dxa"/>
                  <w:vMerge w:val="continue"/>
                </w:tcPr>
                <w:p w14:paraId="17382674">
                  <w:pPr>
                    <w:widowControl/>
                    <w:adjustRightInd w:val="0"/>
                    <w:snapToGrid w:val="0"/>
                    <w:jc w:val="center"/>
                    <w:rPr>
                      <w:b/>
                      <w:color w:val="auto"/>
                      <w:kern w:val="0"/>
                      <w:szCs w:val="21"/>
                    </w:rPr>
                  </w:pPr>
                </w:p>
              </w:tc>
              <w:tc>
                <w:tcPr>
                  <w:tcW w:w="1450" w:type="dxa"/>
                  <w:vAlign w:val="center"/>
                </w:tcPr>
                <w:p w14:paraId="17382675">
                  <w:pPr>
                    <w:widowControl/>
                    <w:adjustRightInd w:val="0"/>
                    <w:snapToGrid w:val="0"/>
                    <w:jc w:val="center"/>
                    <w:rPr>
                      <w:b/>
                      <w:color w:val="auto"/>
                      <w:kern w:val="0"/>
                      <w:szCs w:val="21"/>
                    </w:rPr>
                  </w:pPr>
                  <w:r>
                    <w:rPr>
                      <w:b/>
                      <w:color w:val="auto"/>
                      <w:kern w:val="0"/>
                      <w:szCs w:val="21"/>
                    </w:rPr>
                    <w:t>（kg/h）</w:t>
                  </w:r>
                </w:p>
              </w:tc>
              <w:tc>
                <w:tcPr>
                  <w:tcW w:w="1459" w:type="dxa"/>
                  <w:vAlign w:val="center"/>
                </w:tcPr>
                <w:p w14:paraId="17382676">
                  <w:pPr>
                    <w:widowControl/>
                    <w:adjustRightInd w:val="0"/>
                    <w:snapToGrid w:val="0"/>
                    <w:jc w:val="center"/>
                    <w:rPr>
                      <w:b/>
                      <w:color w:val="auto"/>
                      <w:kern w:val="0"/>
                      <w:szCs w:val="21"/>
                    </w:rPr>
                  </w:pPr>
                  <w:r>
                    <w:rPr>
                      <w:b/>
                      <w:color w:val="auto"/>
                      <w:kern w:val="0"/>
                      <w:szCs w:val="21"/>
                    </w:rPr>
                    <w:t>（t/a）</w:t>
                  </w:r>
                </w:p>
              </w:tc>
              <w:tc>
                <w:tcPr>
                  <w:tcW w:w="1450" w:type="dxa"/>
                  <w:vMerge w:val="continue"/>
                </w:tcPr>
                <w:p w14:paraId="17382677">
                  <w:pPr>
                    <w:widowControl/>
                    <w:adjustRightInd w:val="0"/>
                    <w:snapToGrid w:val="0"/>
                    <w:jc w:val="center"/>
                    <w:rPr>
                      <w:b/>
                      <w:color w:val="auto"/>
                      <w:kern w:val="0"/>
                      <w:szCs w:val="21"/>
                    </w:rPr>
                  </w:pPr>
                </w:p>
              </w:tc>
              <w:tc>
                <w:tcPr>
                  <w:tcW w:w="1257" w:type="dxa"/>
                  <w:vMerge w:val="continue"/>
                </w:tcPr>
                <w:p w14:paraId="17382678">
                  <w:pPr>
                    <w:widowControl/>
                    <w:adjustRightInd w:val="0"/>
                    <w:snapToGrid w:val="0"/>
                    <w:jc w:val="center"/>
                    <w:rPr>
                      <w:b/>
                      <w:color w:val="auto"/>
                      <w:kern w:val="0"/>
                      <w:szCs w:val="21"/>
                    </w:rPr>
                  </w:pPr>
                </w:p>
              </w:tc>
              <w:tc>
                <w:tcPr>
                  <w:tcW w:w="1643" w:type="dxa"/>
                  <w:vMerge w:val="continue"/>
                </w:tcPr>
                <w:p w14:paraId="17382679">
                  <w:pPr>
                    <w:widowControl/>
                    <w:adjustRightInd w:val="0"/>
                    <w:snapToGrid w:val="0"/>
                    <w:jc w:val="center"/>
                    <w:rPr>
                      <w:b/>
                      <w:color w:val="auto"/>
                      <w:kern w:val="0"/>
                      <w:szCs w:val="21"/>
                    </w:rPr>
                  </w:pPr>
                </w:p>
              </w:tc>
              <w:tc>
                <w:tcPr>
                  <w:tcW w:w="1450" w:type="dxa"/>
                  <w:vMerge w:val="continue"/>
                </w:tcPr>
                <w:p w14:paraId="1738267A">
                  <w:pPr>
                    <w:widowControl/>
                    <w:adjustRightInd w:val="0"/>
                    <w:snapToGrid w:val="0"/>
                    <w:jc w:val="center"/>
                    <w:rPr>
                      <w:b/>
                      <w:color w:val="auto"/>
                      <w:kern w:val="0"/>
                      <w:szCs w:val="21"/>
                    </w:rPr>
                  </w:pPr>
                </w:p>
              </w:tc>
            </w:tr>
            <w:tr w14:paraId="1738268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444" w:type="dxa"/>
                  <w:vMerge w:val="restart"/>
                  <w:vAlign w:val="center"/>
                </w:tcPr>
                <w:p w14:paraId="1738267C">
                  <w:pPr>
                    <w:widowControl/>
                    <w:adjustRightInd w:val="0"/>
                    <w:snapToGrid w:val="0"/>
                    <w:jc w:val="center"/>
                    <w:rPr>
                      <w:color w:val="auto"/>
                      <w:kern w:val="0"/>
                      <w:szCs w:val="21"/>
                    </w:rPr>
                  </w:pPr>
                  <w:r>
                    <w:rPr>
                      <w:rFonts w:hint="eastAsia"/>
                      <w:color w:val="auto"/>
                      <w:kern w:val="0"/>
                      <w:szCs w:val="21"/>
                    </w:rPr>
                    <w:t>生产车间</w:t>
                  </w:r>
                </w:p>
              </w:tc>
              <w:tc>
                <w:tcPr>
                  <w:tcW w:w="1450" w:type="dxa"/>
                  <w:vAlign w:val="center"/>
                </w:tcPr>
                <w:p w14:paraId="1738267D">
                  <w:pPr>
                    <w:adjustRightInd w:val="0"/>
                    <w:snapToGrid w:val="0"/>
                    <w:jc w:val="center"/>
                    <w:rPr>
                      <w:color w:val="auto"/>
                      <w:kern w:val="0"/>
                      <w:szCs w:val="21"/>
                    </w:rPr>
                  </w:pPr>
                  <w:r>
                    <w:rPr>
                      <w:bCs/>
                      <w:color w:val="auto"/>
                      <w:kern w:val="0"/>
                      <w:szCs w:val="21"/>
                    </w:rPr>
                    <w:t>颗粒物</w:t>
                  </w:r>
                </w:p>
              </w:tc>
              <w:tc>
                <w:tcPr>
                  <w:tcW w:w="1450" w:type="dxa"/>
                  <w:vMerge w:val="restart"/>
                  <w:vAlign w:val="center"/>
                </w:tcPr>
                <w:p w14:paraId="1738267E">
                  <w:pPr>
                    <w:widowControl/>
                    <w:adjustRightInd w:val="0"/>
                    <w:snapToGrid w:val="0"/>
                    <w:jc w:val="center"/>
                    <w:rPr>
                      <w:b/>
                      <w:color w:val="auto"/>
                      <w:kern w:val="0"/>
                      <w:szCs w:val="21"/>
                    </w:rPr>
                  </w:pPr>
                  <w:r>
                    <w:rPr>
                      <w:color w:val="auto"/>
                      <w:kern w:val="0"/>
                      <w:szCs w:val="21"/>
                    </w:rPr>
                    <w:t>产污系数法</w:t>
                  </w:r>
                </w:p>
              </w:tc>
              <w:tc>
                <w:tcPr>
                  <w:tcW w:w="1450" w:type="dxa"/>
                  <w:vAlign w:val="center"/>
                </w:tcPr>
                <w:p w14:paraId="1738267F">
                  <w:pPr>
                    <w:widowControl/>
                    <w:jc w:val="center"/>
                    <w:textAlignment w:val="center"/>
                    <w:rPr>
                      <w:bCs/>
                      <w:color w:val="auto"/>
                      <w:kern w:val="0"/>
                      <w:szCs w:val="21"/>
                      <w:lang w:bidi="ar"/>
                    </w:rPr>
                  </w:pPr>
                  <w:r>
                    <w:rPr>
                      <w:color w:val="auto"/>
                      <w:kern w:val="0"/>
                      <w:szCs w:val="21"/>
                      <w:lang w:bidi="ar"/>
                    </w:rPr>
                    <w:t xml:space="preserve">0.0713 </w:t>
                  </w:r>
                </w:p>
              </w:tc>
              <w:tc>
                <w:tcPr>
                  <w:tcW w:w="1459" w:type="dxa"/>
                  <w:vAlign w:val="center"/>
                </w:tcPr>
                <w:p w14:paraId="17382680">
                  <w:pPr>
                    <w:widowControl/>
                    <w:jc w:val="center"/>
                    <w:textAlignment w:val="center"/>
                    <w:rPr>
                      <w:bCs/>
                      <w:color w:val="auto"/>
                      <w:kern w:val="0"/>
                      <w:szCs w:val="21"/>
                      <w:lang w:bidi="ar"/>
                    </w:rPr>
                  </w:pPr>
                  <w:r>
                    <w:rPr>
                      <w:color w:val="auto"/>
                      <w:kern w:val="0"/>
                      <w:szCs w:val="21"/>
                      <w:lang w:bidi="ar"/>
                    </w:rPr>
                    <w:t xml:space="preserve">0.1712 </w:t>
                  </w:r>
                </w:p>
              </w:tc>
              <w:tc>
                <w:tcPr>
                  <w:tcW w:w="1450" w:type="dxa"/>
                  <w:vMerge w:val="restart"/>
                  <w:vAlign w:val="center"/>
                </w:tcPr>
                <w:p w14:paraId="17382681">
                  <w:pPr>
                    <w:adjustRightInd w:val="0"/>
                    <w:snapToGrid w:val="0"/>
                    <w:jc w:val="center"/>
                    <w:rPr>
                      <w:color w:val="auto"/>
                      <w:kern w:val="0"/>
                      <w:szCs w:val="21"/>
                    </w:rPr>
                  </w:pPr>
                  <w:r>
                    <w:rPr>
                      <w:rFonts w:hint="eastAsia"/>
                      <w:color w:val="auto"/>
                      <w:kern w:val="0"/>
                      <w:szCs w:val="21"/>
                    </w:rPr>
                    <w:t>24</w:t>
                  </w:r>
                </w:p>
              </w:tc>
              <w:tc>
                <w:tcPr>
                  <w:tcW w:w="1257" w:type="dxa"/>
                  <w:vMerge w:val="restart"/>
                  <w:vAlign w:val="center"/>
                </w:tcPr>
                <w:p w14:paraId="17382682">
                  <w:pPr>
                    <w:adjustRightInd w:val="0"/>
                    <w:snapToGrid w:val="0"/>
                    <w:jc w:val="center"/>
                    <w:rPr>
                      <w:color w:val="auto"/>
                      <w:kern w:val="0"/>
                      <w:szCs w:val="21"/>
                    </w:rPr>
                  </w:pPr>
                  <w:r>
                    <w:rPr>
                      <w:rFonts w:hint="eastAsia"/>
                      <w:color w:val="auto"/>
                      <w:kern w:val="0"/>
                      <w:szCs w:val="21"/>
                    </w:rPr>
                    <w:t>18</w:t>
                  </w:r>
                </w:p>
              </w:tc>
              <w:tc>
                <w:tcPr>
                  <w:tcW w:w="1643" w:type="dxa"/>
                  <w:vMerge w:val="restart"/>
                  <w:vAlign w:val="center"/>
                </w:tcPr>
                <w:p w14:paraId="17382683">
                  <w:pPr>
                    <w:adjustRightInd w:val="0"/>
                    <w:snapToGrid w:val="0"/>
                    <w:jc w:val="center"/>
                    <w:rPr>
                      <w:color w:val="auto"/>
                      <w:kern w:val="0"/>
                      <w:szCs w:val="21"/>
                    </w:rPr>
                  </w:pPr>
                  <w:r>
                    <w:rPr>
                      <w:rFonts w:hint="eastAsia"/>
                      <w:color w:val="auto"/>
                      <w:kern w:val="0"/>
                      <w:szCs w:val="21"/>
                    </w:rPr>
                    <w:t>8.5</w:t>
                  </w:r>
                </w:p>
              </w:tc>
              <w:tc>
                <w:tcPr>
                  <w:tcW w:w="1450" w:type="dxa"/>
                  <w:vMerge w:val="restart"/>
                  <w:vAlign w:val="center"/>
                </w:tcPr>
                <w:p w14:paraId="17382684">
                  <w:pPr>
                    <w:widowControl/>
                    <w:adjustRightInd w:val="0"/>
                    <w:snapToGrid w:val="0"/>
                    <w:jc w:val="center"/>
                    <w:rPr>
                      <w:bCs/>
                      <w:color w:val="auto"/>
                      <w:kern w:val="0"/>
                      <w:szCs w:val="21"/>
                    </w:rPr>
                  </w:pPr>
                  <w:r>
                    <w:rPr>
                      <w:rFonts w:hint="eastAsia"/>
                      <w:bCs/>
                      <w:color w:val="auto"/>
                      <w:kern w:val="0"/>
                      <w:szCs w:val="21"/>
                    </w:rPr>
                    <w:t>2400</w:t>
                  </w:r>
                </w:p>
              </w:tc>
            </w:tr>
            <w:tr w14:paraId="1738268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444" w:type="dxa"/>
                  <w:vMerge w:val="continue"/>
                  <w:vAlign w:val="center"/>
                </w:tcPr>
                <w:p w14:paraId="17382686">
                  <w:pPr>
                    <w:widowControl/>
                    <w:adjustRightInd w:val="0"/>
                    <w:snapToGrid w:val="0"/>
                    <w:jc w:val="center"/>
                    <w:rPr>
                      <w:color w:val="auto"/>
                      <w:kern w:val="0"/>
                      <w:szCs w:val="21"/>
                    </w:rPr>
                  </w:pPr>
                </w:p>
              </w:tc>
              <w:tc>
                <w:tcPr>
                  <w:tcW w:w="1450" w:type="dxa"/>
                  <w:vAlign w:val="center"/>
                </w:tcPr>
                <w:p w14:paraId="17382687">
                  <w:pPr>
                    <w:adjustRightInd w:val="0"/>
                    <w:snapToGrid w:val="0"/>
                    <w:jc w:val="center"/>
                    <w:rPr>
                      <w:color w:val="auto"/>
                      <w:kern w:val="0"/>
                      <w:szCs w:val="21"/>
                    </w:rPr>
                  </w:pPr>
                  <w:r>
                    <w:rPr>
                      <w:rFonts w:hint="eastAsia"/>
                      <w:bCs/>
                      <w:color w:val="auto"/>
                      <w:szCs w:val="21"/>
                    </w:rPr>
                    <w:t>非甲烷总烃</w:t>
                  </w:r>
                </w:p>
              </w:tc>
              <w:tc>
                <w:tcPr>
                  <w:tcW w:w="1450" w:type="dxa"/>
                  <w:vMerge w:val="continue"/>
                  <w:vAlign w:val="center"/>
                </w:tcPr>
                <w:p w14:paraId="17382688">
                  <w:pPr>
                    <w:widowControl/>
                    <w:adjustRightInd w:val="0"/>
                    <w:snapToGrid w:val="0"/>
                    <w:jc w:val="center"/>
                    <w:rPr>
                      <w:color w:val="auto"/>
                      <w:kern w:val="0"/>
                      <w:szCs w:val="21"/>
                    </w:rPr>
                  </w:pPr>
                </w:p>
              </w:tc>
              <w:tc>
                <w:tcPr>
                  <w:tcW w:w="1450" w:type="dxa"/>
                  <w:vAlign w:val="center"/>
                </w:tcPr>
                <w:p w14:paraId="17382689">
                  <w:pPr>
                    <w:widowControl/>
                    <w:jc w:val="center"/>
                    <w:textAlignment w:val="center"/>
                    <w:rPr>
                      <w:rFonts w:hint="default" w:eastAsia="宋体"/>
                      <w:color w:val="auto"/>
                      <w:kern w:val="0"/>
                      <w:szCs w:val="21"/>
                      <w:lang w:val="en-US" w:eastAsia="zh-CN" w:bidi="ar"/>
                    </w:rPr>
                  </w:pPr>
                  <w:r>
                    <w:rPr>
                      <w:rFonts w:hint="eastAsia"/>
                      <w:color w:val="auto"/>
                      <w:kern w:val="0"/>
                      <w:szCs w:val="21"/>
                      <w:lang w:val="en-US" w:eastAsia="zh-CN" w:bidi="ar"/>
                    </w:rPr>
                    <w:t>0.004</w:t>
                  </w:r>
                </w:p>
              </w:tc>
              <w:tc>
                <w:tcPr>
                  <w:tcW w:w="1459" w:type="dxa"/>
                  <w:vAlign w:val="center"/>
                </w:tcPr>
                <w:p w14:paraId="1738268A">
                  <w:pPr>
                    <w:widowControl/>
                    <w:jc w:val="center"/>
                    <w:textAlignment w:val="center"/>
                    <w:rPr>
                      <w:rFonts w:hint="default" w:eastAsia="宋体"/>
                      <w:color w:val="auto"/>
                      <w:kern w:val="0"/>
                      <w:szCs w:val="21"/>
                      <w:lang w:val="en-US" w:eastAsia="zh-CN" w:bidi="ar"/>
                    </w:rPr>
                  </w:pPr>
                  <w:r>
                    <w:rPr>
                      <w:rFonts w:hint="eastAsia"/>
                      <w:color w:val="auto"/>
                      <w:kern w:val="0"/>
                      <w:szCs w:val="21"/>
                      <w:lang w:val="en-US" w:eastAsia="zh-CN" w:bidi="ar"/>
                    </w:rPr>
                    <w:t>0.0096</w:t>
                  </w:r>
                </w:p>
              </w:tc>
              <w:tc>
                <w:tcPr>
                  <w:tcW w:w="1450" w:type="dxa"/>
                  <w:vMerge w:val="continue"/>
                  <w:vAlign w:val="center"/>
                </w:tcPr>
                <w:p w14:paraId="1738268B">
                  <w:pPr>
                    <w:adjustRightInd w:val="0"/>
                    <w:snapToGrid w:val="0"/>
                    <w:jc w:val="center"/>
                    <w:rPr>
                      <w:color w:val="auto"/>
                      <w:szCs w:val="21"/>
                    </w:rPr>
                  </w:pPr>
                </w:p>
              </w:tc>
              <w:tc>
                <w:tcPr>
                  <w:tcW w:w="1257" w:type="dxa"/>
                  <w:vMerge w:val="continue"/>
                  <w:vAlign w:val="center"/>
                </w:tcPr>
                <w:p w14:paraId="1738268C">
                  <w:pPr>
                    <w:adjustRightInd w:val="0"/>
                    <w:snapToGrid w:val="0"/>
                    <w:jc w:val="center"/>
                    <w:rPr>
                      <w:color w:val="auto"/>
                      <w:szCs w:val="21"/>
                    </w:rPr>
                  </w:pPr>
                </w:p>
              </w:tc>
              <w:tc>
                <w:tcPr>
                  <w:tcW w:w="1643" w:type="dxa"/>
                  <w:vMerge w:val="continue"/>
                  <w:vAlign w:val="center"/>
                </w:tcPr>
                <w:p w14:paraId="1738268D">
                  <w:pPr>
                    <w:adjustRightInd w:val="0"/>
                    <w:snapToGrid w:val="0"/>
                    <w:jc w:val="center"/>
                    <w:rPr>
                      <w:color w:val="auto"/>
                      <w:kern w:val="0"/>
                      <w:szCs w:val="21"/>
                    </w:rPr>
                  </w:pPr>
                </w:p>
              </w:tc>
              <w:tc>
                <w:tcPr>
                  <w:tcW w:w="1450" w:type="dxa"/>
                  <w:vMerge w:val="continue"/>
                  <w:vAlign w:val="center"/>
                </w:tcPr>
                <w:p w14:paraId="1738268E">
                  <w:pPr>
                    <w:widowControl/>
                    <w:adjustRightInd w:val="0"/>
                    <w:snapToGrid w:val="0"/>
                    <w:jc w:val="center"/>
                    <w:rPr>
                      <w:bCs/>
                      <w:color w:val="auto"/>
                      <w:kern w:val="0"/>
                      <w:szCs w:val="21"/>
                    </w:rPr>
                  </w:pPr>
                </w:p>
              </w:tc>
            </w:tr>
            <w:tr w14:paraId="1738269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82" w:hRule="atLeast"/>
              </w:trPr>
              <w:tc>
                <w:tcPr>
                  <w:tcW w:w="1444" w:type="dxa"/>
                  <w:vMerge w:val="continue"/>
                  <w:vAlign w:val="center"/>
                </w:tcPr>
                <w:p w14:paraId="17382690">
                  <w:pPr>
                    <w:widowControl/>
                    <w:adjustRightInd w:val="0"/>
                    <w:snapToGrid w:val="0"/>
                    <w:jc w:val="center"/>
                    <w:rPr>
                      <w:color w:val="auto"/>
                      <w:kern w:val="0"/>
                      <w:szCs w:val="21"/>
                    </w:rPr>
                  </w:pPr>
                </w:p>
              </w:tc>
              <w:tc>
                <w:tcPr>
                  <w:tcW w:w="1450" w:type="dxa"/>
                  <w:vAlign w:val="center"/>
                </w:tcPr>
                <w:p w14:paraId="17382691">
                  <w:pPr>
                    <w:adjustRightInd w:val="0"/>
                    <w:snapToGrid w:val="0"/>
                    <w:jc w:val="center"/>
                    <w:rPr>
                      <w:color w:val="auto"/>
                      <w:kern w:val="0"/>
                      <w:szCs w:val="21"/>
                    </w:rPr>
                  </w:pPr>
                  <w:r>
                    <w:rPr>
                      <w:rFonts w:hint="eastAsia"/>
                      <w:bCs/>
                      <w:color w:val="auto"/>
                      <w:szCs w:val="21"/>
                    </w:rPr>
                    <w:t>苯乙烯</w:t>
                  </w:r>
                </w:p>
              </w:tc>
              <w:tc>
                <w:tcPr>
                  <w:tcW w:w="1450" w:type="dxa"/>
                  <w:vMerge w:val="continue"/>
                  <w:vAlign w:val="center"/>
                </w:tcPr>
                <w:p w14:paraId="17382692">
                  <w:pPr>
                    <w:widowControl/>
                    <w:adjustRightInd w:val="0"/>
                    <w:snapToGrid w:val="0"/>
                    <w:jc w:val="center"/>
                    <w:rPr>
                      <w:color w:val="auto"/>
                      <w:kern w:val="0"/>
                      <w:szCs w:val="21"/>
                    </w:rPr>
                  </w:pPr>
                </w:p>
              </w:tc>
              <w:tc>
                <w:tcPr>
                  <w:tcW w:w="1450" w:type="dxa"/>
                  <w:vAlign w:val="center"/>
                </w:tcPr>
                <w:p w14:paraId="17382693">
                  <w:pPr>
                    <w:widowControl/>
                    <w:jc w:val="center"/>
                    <w:textAlignment w:val="center"/>
                    <w:rPr>
                      <w:color w:val="auto"/>
                      <w:kern w:val="0"/>
                      <w:szCs w:val="21"/>
                      <w:lang w:bidi="ar"/>
                    </w:rPr>
                  </w:pPr>
                  <w:r>
                    <w:rPr>
                      <w:color w:val="auto"/>
                      <w:kern w:val="0"/>
                      <w:szCs w:val="21"/>
                      <w:lang w:bidi="ar"/>
                    </w:rPr>
                    <w:t xml:space="preserve">0.0010 </w:t>
                  </w:r>
                </w:p>
              </w:tc>
              <w:tc>
                <w:tcPr>
                  <w:tcW w:w="1459" w:type="dxa"/>
                  <w:vAlign w:val="center"/>
                </w:tcPr>
                <w:p w14:paraId="17382694">
                  <w:pPr>
                    <w:widowControl/>
                    <w:jc w:val="center"/>
                    <w:textAlignment w:val="center"/>
                    <w:rPr>
                      <w:color w:val="auto"/>
                      <w:kern w:val="0"/>
                      <w:szCs w:val="21"/>
                      <w:lang w:bidi="ar"/>
                    </w:rPr>
                  </w:pPr>
                  <w:r>
                    <w:rPr>
                      <w:color w:val="auto"/>
                      <w:kern w:val="0"/>
                      <w:szCs w:val="21"/>
                      <w:lang w:bidi="ar"/>
                    </w:rPr>
                    <w:t xml:space="preserve">0.0024 </w:t>
                  </w:r>
                </w:p>
              </w:tc>
              <w:tc>
                <w:tcPr>
                  <w:tcW w:w="1450" w:type="dxa"/>
                  <w:vMerge w:val="continue"/>
                  <w:vAlign w:val="center"/>
                </w:tcPr>
                <w:p w14:paraId="17382695">
                  <w:pPr>
                    <w:adjustRightInd w:val="0"/>
                    <w:snapToGrid w:val="0"/>
                    <w:jc w:val="center"/>
                    <w:rPr>
                      <w:color w:val="auto"/>
                      <w:szCs w:val="21"/>
                    </w:rPr>
                  </w:pPr>
                </w:p>
              </w:tc>
              <w:tc>
                <w:tcPr>
                  <w:tcW w:w="1257" w:type="dxa"/>
                  <w:vMerge w:val="continue"/>
                  <w:vAlign w:val="center"/>
                </w:tcPr>
                <w:p w14:paraId="17382696">
                  <w:pPr>
                    <w:adjustRightInd w:val="0"/>
                    <w:snapToGrid w:val="0"/>
                    <w:jc w:val="center"/>
                    <w:rPr>
                      <w:color w:val="auto"/>
                      <w:szCs w:val="21"/>
                    </w:rPr>
                  </w:pPr>
                </w:p>
              </w:tc>
              <w:tc>
                <w:tcPr>
                  <w:tcW w:w="1643" w:type="dxa"/>
                  <w:vMerge w:val="continue"/>
                  <w:vAlign w:val="center"/>
                </w:tcPr>
                <w:p w14:paraId="17382697">
                  <w:pPr>
                    <w:adjustRightInd w:val="0"/>
                    <w:snapToGrid w:val="0"/>
                    <w:jc w:val="center"/>
                    <w:rPr>
                      <w:color w:val="auto"/>
                      <w:kern w:val="0"/>
                      <w:szCs w:val="21"/>
                    </w:rPr>
                  </w:pPr>
                </w:p>
              </w:tc>
              <w:tc>
                <w:tcPr>
                  <w:tcW w:w="1450" w:type="dxa"/>
                  <w:vMerge w:val="continue"/>
                  <w:vAlign w:val="center"/>
                </w:tcPr>
                <w:p w14:paraId="17382698">
                  <w:pPr>
                    <w:widowControl/>
                    <w:adjustRightInd w:val="0"/>
                    <w:snapToGrid w:val="0"/>
                    <w:jc w:val="center"/>
                    <w:rPr>
                      <w:bCs/>
                      <w:color w:val="auto"/>
                      <w:kern w:val="0"/>
                      <w:szCs w:val="21"/>
                    </w:rPr>
                  </w:pPr>
                </w:p>
              </w:tc>
            </w:tr>
          </w:tbl>
          <w:p w14:paraId="1738269A">
            <w:pPr>
              <w:widowControl/>
              <w:adjustRightInd w:val="0"/>
              <w:snapToGrid w:val="0"/>
              <w:spacing w:before="120" w:beforeLines="50"/>
              <w:jc w:val="center"/>
              <w:rPr>
                <w:b/>
                <w:color w:val="auto"/>
                <w:kern w:val="0"/>
                <w:sz w:val="24"/>
              </w:rPr>
            </w:pPr>
            <w:r>
              <w:rPr>
                <w:b/>
                <w:color w:val="auto"/>
                <w:kern w:val="0"/>
                <w:sz w:val="24"/>
              </w:rPr>
              <w:t>表</w:t>
            </w:r>
            <w:r>
              <w:rPr>
                <w:rFonts w:hint="eastAsia"/>
                <w:b/>
                <w:color w:val="auto"/>
                <w:kern w:val="0"/>
                <w:sz w:val="24"/>
              </w:rPr>
              <w:t>4-4 本</w:t>
            </w:r>
            <w:r>
              <w:rPr>
                <w:b/>
                <w:color w:val="auto"/>
                <w:kern w:val="0"/>
                <w:sz w:val="24"/>
              </w:rPr>
              <w:t>项目废气收集、治理措施及排放情况汇总表</w:t>
            </w:r>
          </w:p>
          <w:tbl>
            <w:tblPr>
              <w:tblStyle w:val="88"/>
              <w:tblW w:w="4965" w:type="pct"/>
              <w:tblInd w:w="6"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1237"/>
              <w:gridCol w:w="1482"/>
              <w:gridCol w:w="1472"/>
              <w:gridCol w:w="1330"/>
              <w:gridCol w:w="927"/>
              <w:gridCol w:w="1054"/>
              <w:gridCol w:w="1929"/>
              <w:gridCol w:w="1203"/>
              <w:gridCol w:w="1012"/>
              <w:gridCol w:w="1257"/>
            </w:tblGrid>
            <w:tr w14:paraId="173826A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1053" w:type="pct"/>
                  <w:gridSpan w:val="2"/>
                  <w:vAlign w:val="center"/>
                </w:tcPr>
                <w:p w14:paraId="1738269B">
                  <w:pPr>
                    <w:adjustRightInd w:val="0"/>
                    <w:snapToGrid w:val="0"/>
                    <w:jc w:val="center"/>
                    <w:rPr>
                      <w:b/>
                      <w:color w:val="auto"/>
                      <w:szCs w:val="21"/>
                    </w:rPr>
                  </w:pPr>
                  <w:r>
                    <w:rPr>
                      <w:b/>
                      <w:color w:val="auto"/>
                      <w:szCs w:val="21"/>
                    </w:rPr>
                    <w:t>产污环节</w:t>
                  </w:r>
                </w:p>
              </w:tc>
              <w:tc>
                <w:tcPr>
                  <w:tcW w:w="570" w:type="pct"/>
                  <w:vMerge w:val="restart"/>
                  <w:vAlign w:val="center"/>
                </w:tcPr>
                <w:p w14:paraId="1738269C">
                  <w:pPr>
                    <w:adjustRightInd w:val="0"/>
                    <w:snapToGrid w:val="0"/>
                    <w:jc w:val="center"/>
                    <w:rPr>
                      <w:b/>
                      <w:color w:val="auto"/>
                      <w:szCs w:val="21"/>
                    </w:rPr>
                  </w:pPr>
                  <w:r>
                    <w:rPr>
                      <w:b/>
                      <w:color w:val="auto"/>
                      <w:szCs w:val="21"/>
                    </w:rPr>
                    <w:t>污染物种类</w:t>
                  </w:r>
                </w:p>
              </w:tc>
              <w:tc>
                <w:tcPr>
                  <w:tcW w:w="515" w:type="pct"/>
                  <w:vMerge w:val="restart"/>
                  <w:vAlign w:val="center"/>
                </w:tcPr>
                <w:p w14:paraId="1738269D">
                  <w:pPr>
                    <w:adjustRightInd w:val="0"/>
                    <w:snapToGrid w:val="0"/>
                    <w:jc w:val="center"/>
                    <w:rPr>
                      <w:b/>
                      <w:color w:val="auto"/>
                      <w:szCs w:val="21"/>
                    </w:rPr>
                  </w:pPr>
                  <w:r>
                    <w:rPr>
                      <w:b/>
                      <w:color w:val="auto"/>
                      <w:szCs w:val="21"/>
                    </w:rPr>
                    <w:t>收集方式</w:t>
                  </w:r>
                </w:p>
              </w:tc>
              <w:tc>
                <w:tcPr>
                  <w:tcW w:w="359" w:type="pct"/>
                  <w:vMerge w:val="restart"/>
                  <w:vAlign w:val="center"/>
                </w:tcPr>
                <w:p w14:paraId="1738269E">
                  <w:pPr>
                    <w:adjustRightInd w:val="0"/>
                    <w:snapToGrid w:val="0"/>
                    <w:jc w:val="center"/>
                    <w:rPr>
                      <w:b/>
                      <w:color w:val="auto"/>
                      <w:szCs w:val="21"/>
                    </w:rPr>
                  </w:pPr>
                  <w:r>
                    <w:rPr>
                      <w:b/>
                      <w:color w:val="auto"/>
                      <w:szCs w:val="21"/>
                    </w:rPr>
                    <w:t>收集效率</w:t>
                  </w:r>
                </w:p>
              </w:tc>
              <w:tc>
                <w:tcPr>
                  <w:tcW w:w="408" w:type="pct"/>
                  <w:vMerge w:val="restart"/>
                  <w:vAlign w:val="center"/>
                </w:tcPr>
                <w:p w14:paraId="1738269F">
                  <w:pPr>
                    <w:adjustRightInd w:val="0"/>
                    <w:snapToGrid w:val="0"/>
                    <w:jc w:val="center"/>
                    <w:rPr>
                      <w:b/>
                      <w:color w:val="auto"/>
                      <w:szCs w:val="21"/>
                    </w:rPr>
                  </w:pPr>
                  <w:r>
                    <w:rPr>
                      <w:b/>
                      <w:color w:val="auto"/>
                      <w:szCs w:val="21"/>
                    </w:rPr>
                    <w:t>设计风量</w:t>
                  </w:r>
                </w:p>
                <w:p w14:paraId="173826A0">
                  <w:pPr>
                    <w:adjustRightInd w:val="0"/>
                    <w:snapToGrid w:val="0"/>
                    <w:jc w:val="center"/>
                    <w:rPr>
                      <w:b/>
                      <w:color w:val="auto"/>
                      <w:szCs w:val="21"/>
                    </w:rPr>
                  </w:pPr>
                  <w:r>
                    <w:rPr>
                      <w:b/>
                      <w:color w:val="auto"/>
                      <w:szCs w:val="21"/>
                    </w:rPr>
                    <w:t>（m</w:t>
                  </w:r>
                  <w:r>
                    <w:rPr>
                      <w:b/>
                      <w:color w:val="auto"/>
                      <w:szCs w:val="21"/>
                      <w:vertAlign w:val="superscript"/>
                    </w:rPr>
                    <w:t>3</w:t>
                  </w:r>
                  <w:r>
                    <w:rPr>
                      <w:b/>
                      <w:color w:val="auto"/>
                      <w:szCs w:val="21"/>
                    </w:rPr>
                    <w:t>/h）</w:t>
                  </w:r>
                </w:p>
              </w:tc>
              <w:tc>
                <w:tcPr>
                  <w:tcW w:w="747" w:type="pct"/>
                  <w:vMerge w:val="restart"/>
                  <w:vAlign w:val="center"/>
                </w:tcPr>
                <w:p w14:paraId="173826A1">
                  <w:pPr>
                    <w:adjustRightInd w:val="0"/>
                    <w:snapToGrid w:val="0"/>
                    <w:jc w:val="center"/>
                    <w:rPr>
                      <w:b/>
                      <w:color w:val="auto"/>
                      <w:szCs w:val="21"/>
                    </w:rPr>
                  </w:pPr>
                  <w:r>
                    <w:rPr>
                      <w:b/>
                      <w:color w:val="auto"/>
                      <w:szCs w:val="21"/>
                    </w:rPr>
                    <w:t>治理工艺</w:t>
                  </w:r>
                </w:p>
              </w:tc>
              <w:tc>
                <w:tcPr>
                  <w:tcW w:w="466" w:type="pct"/>
                  <w:vMerge w:val="restart"/>
                  <w:vAlign w:val="center"/>
                </w:tcPr>
                <w:p w14:paraId="173826A2">
                  <w:pPr>
                    <w:adjustRightInd w:val="0"/>
                    <w:snapToGrid w:val="0"/>
                    <w:jc w:val="center"/>
                    <w:rPr>
                      <w:b/>
                      <w:color w:val="auto"/>
                      <w:szCs w:val="21"/>
                    </w:rPr>
                  </w:pPr>
                  <w:r>
                    <w:rPr>
                      <w:b/>
                      <w:color w:val="auto"/>
                      <w:szCs w:val="21"/>
                    </w:rPr>
                    <w:t>去除效率</w:t>
                  </w:r>
                </w:p>
              </w:tc>
              <w:tc>
                <w:tcPr>
                  <w:tcW w:w="392" w:type="pct"/>
                  <w:vMerge w:val="restart"/>
                  <w:vAlign w:val="center"/>
                </w:tcPr>
                <w:p w14:paraId="173826A3">
                  <w:pPr>
                    <w:adjustRightInd w:val="0"/>
                    <w:snapToGrid w:val="0"/>
                    <w:jc w:val="center"/>
                    <w:rPr>
                      <w:b/>
                      <w:color w:val="auto"/>
                      <w:szCs w:val="21"/>
                    </w:rPr>
                  </w:pPr>
                  <w:r>
                    <w:rPr>
                      <w:b/>
                      <w:color w:val="auto"/>
                      <w:szCs w:val="21"/>
                    </w:rPr>
                    <w:t>是否为可行技术</w:t>
                  </w:r>
                </w:p>
              </w:tc>
              <w:tc>
                <w:tcPr>
                  <w:tcW w:w="487" w:type="pct"/>
                  <w:vMerge w:val="restart"/>
                  <w:vAlign w:val="center"/>
                </w:tcPr>
                <w:p w14:paraId="173826A4">
                  <w:pPr>
                    <w:adjustRightInd w:val="0"/>
                    <w:snapToGrid w:val="0"/>
                    <w:jc w:val="center"/>
                    <w:rPr>
                      <w:b/>
                      <w:color w:val="auto"/>
                      <w:szCs w:val="21"/>
                    </w:rPr>
                  </w:pPr>
                  <w:r>
                    <w:rPr>
                      <w:b/>
                      <w:color w:val="auto"/>
                      <w:szCs w:val="21"/>
                    </w:rPr>
                    <w:t>排放形式</w:t>
                  </w:r>
                </w:p>
              </w:tc>
            </w:tr>
            <w:tr w14:paraId="173826B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479" w:type="pct"/>
                  <w:vAlign w:val="center"/>
                </w:tcPr>
                <w:p w14:paraId="173826A6">
                  <w:pPr>
                    <w:adjustRightInd w:val="0"/>
                    <w:snapToGrid w:val="0"/>
                    <w:jc w:val="center"/>
                    <w:rPr>
                      <w:b/>
                      <w:color w:val="auto"/>
                      <w:szCs w:val="21"/>
                    </w:rPr>
                  </w:pPr>
                  <w:r>
                    <w:rPr>
                      <w:b/>
                      <w:color w:val="auto"/>
                      <w:szCs w:val="21"/>
                    </w:rPr>
                    <w:t>生产装置</w:t>
                  </w:r>
                </w:p>
              </w:tc>
              <w:tc>
                <w:tcPr>
                  <w:tcW w:w="574" w:type="pct"/>
                  <w:vAlign w:val="center"/>
                </w:tcPr>
                <w:p w14:paraId="173826A7">
                  <w:pPr>
                    <w:adjustRightInd w:val="0"/>
                    <w:snapToGrid w:val="0"/>
                    <w:jc w:val="center"/>
                    <w:rPr>
                      <w:b/>
                      <w:color w:val="auto"/>
                      <w:szCs w:val="21"/>
                    </w:rPr>
                  </w:pPr>
                  <w:r>
                    <w:rPr>
                      <w:b/>
                      <w:color w:val="auto"/>
                      <w:szCs w:val="21"/>
                    </w:rPr>
                    <w:t>废气种类</w:t>
                  </w:r>
                </w:p>
              </w:tc>
              <w:tc>
                <w:tcPr>
                  <w:tcW w:w="570" w:type="pct"/>
                  <w:vMerge w:val="continue"/>
                  <w:vAlign w:val="center"/>
                </w:tcPr>
                <w:p w14:paraId="173826A8">
                  <w:pPr>
                    <w:adjustRightInd w:val="0"/>
                    <w:snapToGrid w:val="0"/>
                    <w:jc w:val="center"/>
                    <w:rPr>
                      <w:color w:val="auto"/>
                      <w:szCs w:val="21"/>
                    </w:rPr>
                  </w:pPr>
                </w:p>
              </w:tc>
              <w:tc>
                <w:tcPr>
                  <w:tcW w:w="515" w:type="pct"/>
                  <w:vMerge w:val="continue"/>
                  <w:vAlign w:val="center"/>
                </w:tcPr>
                <w:p w14:paraId="173826A9">
                  <w:pPr>
                    <w:adjustRightInd w:val="0"/>
                    <w:snapToGrid w:val="0"/>
                    <w:jc w:val="center"/>
                    <w:rPr>
                      <w:color w:val="auto"/>
                      <w:szCs w:val="21"/>
                    </w:rPr>
                  </w:pPr>
                </w:p>
              </w:tc>
              <w:tc>
                <w:tcPr>
                  <w:tcW w:w="359" w:type="pct"/>
                  <w:vMerge w:val="continue"/>
                  <w:vAlign w:val="center"/>
                </w:tcPr>
                <w:p w14:paraId="173826AA">
                  <w:pPr>
                    <w:adjustRightInd w:val="0"/>
                    <w:snapToGrid w:val="0"/>
                    <w:jc w:val="center"/>
                    <w:rPr>
                      <w:color w:val="auto"/>
                      <w:szCs w:val="21"/>
                    </w:rPr>
                  </w:pPr>
                </w:p>
              </w:tc>
              <w:tc>
                <w:tcPr>
                  <w:tcW w:w="408" w:type="pct"/>
                  <w:vMerge w:val="continue"/>
                  <w:vAlign w:val="center"/>
                </w:tcPr>
                <w:p w14:paraId="173826AB">
                  <w:pPr>
                    <w:adjustRightInd w:val="0"/>
                    <w:snapToGrid w:val="0"/>
                    <w:jc w:val="center"/>
                    <w:rPr>
                      <w:color w:val="auto"/>
                      <w:szCs w:val="21"/>
                    </w:rPr>
                  </w:pPr>
                </w:p>
              </w:tc>
              <w:tc>
                <w:tcPr>
                  <w:tcW w:w="747" w:type="pct"/>
                  <w:vMerge w:val="continue"/>
                  <w:vAlign w:val="center"/>
                </w:tcPr>
                <w:p w14:paraId="173826AC">
                  <w:pPr>
                    <w:adjustRightInd w:val="0"/>
                    <w:snapToGrid w:val="0"/>
                    <w:jc w:val="center"/>
                    <w:rPr>
                      <w:color w:val="auto"/>
                      <w:szCs w:val="21"/>
                    </w:rPr>
                  </w:pPr>
                </w:p>
              </w:tc>
              <w:tc>
                <w:tcPr>
                  <w:tcW w:w="466" w:type="pct"/>
                  <w:vMerge w:val="continue"/>
                  <w:vAlign w:val="center"/>
                </w:tcPr>
                <w:p w14:paraId="173826AD">
                  <w:pPr>
                    <w:adjustRightInd w:val="0"/>
                    <w:snapToGrid w:val="0"/>
                    <w:jc w:val="center"/>
                    <w:rPr>
                      <w:color w:val="auto"/>
                      <w:szCs w:val="21"/>
                    </w:rPr>
                  </w:pPr>
                </w:p>
              </w:tc>
              <w:tc>
                <w:tcPr>
                  <w:tcW w:w="392" w:type="pct"/>
                  <w:vMerge w:val="continue"/>
                  <w:vAlign w:val="center"/>
                </w:tcPr>
                <w:p w14:paraId="173826AE">
                  <w:pPr>
                    <w:adjustRightInd w:val="0"/>
                    <w:snapToGrid w:val="0"/>
                    <w:jc w:val="center"/>
                    <w:rPr>
                      <w:color w:val="auto"/>
                      <w:szCs w:val="21"/>
                    </w:rPr>
                  </w:pPr>
                </w:p>
              </w:tc>
              <w:tc>
                <w:tcPr>
                  <w:tcW w:w="487" w:type="pct"/>
                  <w:vMerge w:val="continue"/>
                  <w:vAlign w:val="center"/>
                </w:tcPr>
                <w:p w14:paraId="173826AF">
                  <w:pPr>
                    <w:adjustRightInd w:val="0"/>
                    <w:snapToGrid w:val="0"/>
                    <w:jc w:val="center"/>
                    <w:rPr>
                      <w:color w:val="auto"/>
                      <w:szCs w:val="21"/>
                    </w:rPr>
                  </w:pPr>
                </w:p>
              </w:tc>
            </w:tr>
            <w:tr w14:paraId="173826B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479" w:type="pct"/>
                  <w:vAlign w:val="center"/>
                </w:tcPr>
                <w:p w14:paraId="173826B1">
                  <w:pPr>
                    <w:widowControl/>
                    <w:adjustRightInd w:val="0"/>
                    <w:snapToGrid w:val="0"/>
                    <w:jc w:val="center"/>
                    <w:rPr>
                      <w:color w:val="auto"/>
                      <w:kern w:val="0"/>
                      <w:szCs w:val="21"/>
                    </w:rPr>
                  </w:pPr>
                  <w:r>
                    <w:rPr>
                      <w:rFonts w:hint="eastAsia"/>
                      <w:bCs/>
                      <w:color w:val="auto"/>
                      <w:kern w:val="0"/>
                      <w:szCs w:val="21"/>
                    </w:rPr>
                    <w:t>搅拌机、一体化拉挤切割机</w:t>
                  </w:r>
                </w:p>
              </w:tc>
              <w:tc>
                <w:tcPr>
                  <w:tcW w:w="574" w:type="pct"/>
                  <w:vAlign w:val="center"/>
                </w:tcPr>
                <w:p w14:paraId="173826B2">
                  <w:pPr>
                    <w:adjustRightInd w:val="0"/>
                    <w:snapToGrid w:val="0"/>
                    <w:jc w:val="center"/>
                    <w:rPr>
                      <w:color w:val="auto"/>
                      <w:kern w:val="0"/>
                      <w:szCs w:val="21"/>
                    </w:rPr>
                  </w:pPr>
                  <w:r>
                    <w:rPr>
                      <w:rFonts w:hint="eastAsia"/>
                      <w:color w:val="auto"/>
                      <w:kern w:val="0"/>
                      <w:szCs w:val="21"/>
                    </w:rPr>
                    <w:t>投料废气、搅拌废气、浸纱废气、固化废气</w:t>
                  </w:r>
                </w:p>
              </w:tc>
              <w:tc>
                <w:tcPr>
                  <w:tcW w:w="570" w:type="pct"/>
                  <w:vAlign w:val="center"/>
                </w:tcPr>
                <w:p w14:paraId="173826B3">
                  <w:pPr>
                    <w:adjustRightInd w:val="0"/>
                    <w:snapToGrid w:val="0"/>
                    <w:jc w:val="center"/>
                    <w:rPr>
                      <w:bCs/>
                      <w:color w:val="auto"/>
                      <w:szCs w:val="21"/>
                    </w:rPr>
                  </w:pPr>
                  <w:r>
                    <w:rPr>
                      <w:bCs/>
                      <w:color w:val="auto"/>
                      <w:szCs w:val="21"/>
                    </w:rPr>
                    <w:t>颗粒物</w:t>
                  </w:r>
                  <w:r>
                    <w:rPr>
                      <w:rFonts w:hint="eastAsia"/>
                      <w:bCs/>
                      <w:color w:val="auto"/>
                      <w:szCs w:val="21"/>
                    </w:rPr>
                    <w:t>、非甲烷总烃、苯乙烯</w:t>
                  </w:r>
                </w:p>
              </w:tc>
              <w:tc>
                <w:tcPr>
                  <w:tcW w:w="515" w:type="pct"/>
                  <w:vAlign w:val="center"/>
                </w:tcPr>
                <w:p w14:paraId="173826B4">
                  <w:pPr>
                    <w:widowControl/>
                    <w:adjustRightInd w:val="0"/>
                    <w:snapToGrid w:val="0"/>
                    <w:jc w:val="center"/>
                    <w:rPr>
                      <w:color w:val="auto"/>
                      <w:szCs w:val="21"/>
                    </w:rPr>
                  </w:pPr>
                  <w:r>
                    <w:rPr>
                      <w:rFonts w:hint="eastAsia"/>
                      <w:color w:val="auto"/>
                      <w:szCs w:val="21"/>
                      <w:lang w:val="en-US" w:eastAsia="zh-CN"/>
                    </w:rPr>
                    <w:t>密闭车间+</w:t>
                  </w:r>
                  <w:r>
                    <w:rPr>
                      <w:rFonts w:hint="eastAsia"/>
                      <w:color w:val="auto"/>
                      <w:szCs w:val="21"/>
                    </w:rPr>
                    <w:t>管道负压</w:t>
                  </w:r>
                  <w:r>
                    <w:rPr>
                      <w:color w:val="auto"/>
                      <w:szCs w:val="21"/>
                    </w:rPr>
                    <w:t>收集</w:t>
                  </w:r>
                </w:p>
              </w:tc>
              <w:tc>
                <w:tcPr>
                  <w:tcW w:w="359" w:type="pct"/>
                  <w:vAlign w:val="center"/>
                </w:tcPr>
                <w:p w14:paraId="173826B5">
                  <w:pPr>
                    <w:adjustRightInd w:val="0"/>
                    <w:snapToGrid w:val="0"/>
                    <w:jc w:val="center"/>
                    <w:rPr>
                      <w:color w:val="auto"/>
                      <w:szCs w:val="21"/>
                    </w:rPr>
                  </w:pPr>
                  <w:r>
                    <w:rPr>
                      <w:rFonts w:hint="eastAsia"/>
                      <w:color w:val="auto"/>
                      <w:szCs w:val="21"/>
                    </w:rPr>
                    <w:t>95</w:t>
                  </w:r>
                  <w:r>
                    <w:rPr>
                      <w:color w:val="auto"/>
                      <w:szCs w:val="21"/>
                    </w:rPr>
                    <w:t>%</w:t>
                  </w:r>
                </w:p>
              </w:tc>
              <w:tc>
                <w:tcPr>
                  <w:tcW w:w="408" w:type="pct"/>
                  <w:vMerge w:val="restart"/>
                  <w:vAlign w:val="center"/>
                </w:tcPr>
                <w:p w14:paraId="173826B6">
                  <w:pPr>
                    <w:adjustRightInd w:val="0"/>
                    <w:snapToGrid w:val="0"/>
                    <w:jc w:val="center"/>
                    <w:rPr>
                      <w:color w:val="auto"/>
                      <w:szCs w:val="21"/>
                    </w:rPr>
                  </w:pPr>
                  <w:r>
                    <w:rPr>
                      <w:rFonts w:hint="eastAsia"/>
                      <w:color w:val="auto"/>
                      <w:szCs w:val="21"/>
                    </w:rPr>
                    <w:t>9000</w:t>
                  </w:r>
                </w:p>
              </w:tc>
              <w:tc>
                <w:tcPr>
                  <w:tcW w:w="747" w:type="pct"/>
                  <w:vMerge w:val="restart"/>
                  <w:vAlign w:val="center"/>
                </w:tcPr>
                <w:p w14:paraId="173826B7">
                  <w:pPr>
                    <w:adjustRightInd w:val="0"/>
                    <w:snapToGrid w:val="0"/>
                    <w:jc w:val="center"/>
                    <w:rPr>
                      <w:color w:val="auto"/>
                      <w:kern w:val="0"/>
                      <w:szCs w:val="21"/>
                    </w:rPr>
                  </w:pPr>
                  <w:r>
                    <w:rPr>
                      <w:rFonts w:hint="eastAsia"/>
                      <w:color w:val="auto"/>
                      <w:kern w:val="0"/>
                      <w:szCs w:val="21"/>
                    </w:rPr>
                    <w:t>二级活性炭TA001</w:t>
                  </w:r>
                </w:p>
              </w:tc>
              <w:tc>
                <w:tcPr>
                  <w:tcW w:w="466" w:type="pct"/>
                  <w:vMerge w:val="restart"/>
                  <w:vAlign w:val="center"/>
                </w:tcPr>
                <w:p w14:paraId="173826B8">
                  <w:pPr>
                    <w:adjustRightInd w:val="0"/>
                    <w:snapToGrid w:val="0"/>
                    <w:jc w:val="center"/>
                    <w:rPr>
                      <w:color w:val="auto"/>
                      <w:kern w:val="0"/>
                      <w:szCs w:val="21"/>
                    </w:rPr>
                  </w:pPr>
                  <w:r>
                    <w:rPr>
                      <w:rFonts w:hint="eastAsia"/>
                      <w:color w:val="auto"/>
                      <w:kern w:val="0"/>
                      <w:szCs w:val="21"/>
                    </w:rPr>
                    <w:t>90%</w:t>
                  </w:r>
                </w:p>
              </w:tc>
              <w:tc>
                <w:tcPr>
                  <w:tcW w:w="392" w:type="pct"/>
                  <w:vMerge w:val="restart"/>
                  <w:vAlign w:val="center"/>
                </w:tcPr>
                <w:p w14:paraId="173826B9">
                  <w:pPr>
                    <w:adjustRightInd w:val="0"/>
                    <w:snapToGrid w:val="0"/>
                    <w:jc w:val="center"/>
                    <w:rPr>
                      <w:color w:val="auto"/>
                      <w:szCs w:val="21"/>
                    </w:rPr>
                  </w:pPr>
                  <w:r>
                    <w:rPr>
                      <w:color w:val="auto"/>
                      <w:szCs w:val="21"/>
                    </w:rPr>
                    <w:t>是</w:t>
                  </w:r>
                </w:p>
              </w:tc>
              <w:tc>
                <w:tcPr>
                  <w:tcW w:w="487" w:type="pct"/>
                  <w:vMerge w:val="restart"/>
                  <w:vAlign w:val="center"/>
                </w:tcPr>
                <w:p w14:paraId="173826BA">
                  <w:pPr>
                    <w:adjustRightInd w:val="0"/>
                    <w:snapToGrid w:val="0"/>
                    <w:jc w:val="center"/>
                    <w:rPr>
                      <w:color w:val="auto"/>
                      <w:szCs w:val="21"/>
                    </w:rPr>
                  </w:pPr>
                  <w:r>
                    <w:rPr>
                      <w:color w:val="auto"/>
                      <w:szCs w:val="21"/>
                    </w:rPr>
                    <w:t>有组织</w:t>
                  </w:r>
                </w:p>
              </w:tc>
            </w:tr>
            <w:tr w14:paraId="173826C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479" w:type="pct"/>
                  <w:vAlign w:val="center"/>
                </w:tcPr>
                <w:p w14:paraId="173826BC">
                  <w:pPr>
                    <w:widowControl/>
                    <w:adjustRightInd w:val="0"/>
                    <w:snapToGrid w:val="0"/>
                    <w:jc w:val="center"/>
                    <w:rPr>
                      <w:bCs/>
                      <w:color w:val="auto"/>
                      <w:kern w:val="0"/>
                      <w:szCs w:val="21"/>
                    </w:rPr>
                  </w:pPr>
                  <w:r>
                    <w:rPr>
                      <w:rFonts w:hint="eastAsia"/>
                      <w:bCs/>
                      <w:color w:val="auto"/>
                      <w:kern w:val="0"/>
                      <w:szCs w:val="21"/>
                    </w:rPr>
                    <w:t>注塑机</w:t>
                  </w:r>
                </w:p>
              </w:tc>
              <w:tc>
                <w:tcPr>
                  <w:tcW w:w="574" w:type="pct"/>
                  <w:vAlign w:val="center"/>
                </w:tcPr>
                <w:p w14:paraId="173826BD">
                  <w:pPr>
                    <w:adjustRightInd w:val="0"/>
                    <w:snapToGrid w:val="0"/>
                    <w:jc w:val="center"/>
                    <w:rPr>
                      <w:color w:val="auto"/>
                      <w:kern w:val="0"/>
                      <w:szCs w:val="21"/>
                    </w:rPr>
                  </w:pPr>
                  <w:r>
                    <w:rPr>
                      <w:rFonts w:hint="eastAsia"/>
                      <w:color w:val="auto"/>
                      <w:kern w:val="0"/>
                      <w:szCs w:val="21"/>
                    </w:rPr>
                    <w:t>注塑废气</w:t>
                  </w:r>
                </w:p>
              </w:tc>
              <w:tc>
                <w:tcPr>
                  <w:tcW w:w="570" w:type="pct"/>
                  <w:vAlign w:val="center"/>
                </w:tcPr>
                <w:p w14:paraId="173826BE">
                  <w:pPr>
                    <w:adjustRightInd w:val="0"/>
                    <w:snapToGrid w:val="0"/>
                    <w:jc w:val="center"/>
                    <w:rPr>
                      <w:bCs/>
                      <w:color w:val="auto"/>
                      <w:szCs w:val="21"/>
                    </w:rPr>
                  </w:pPr>
                  <w:r>
                    <w:rPr>
                      <w:rFonts w:hint="eastAsia"/>
                      <w:bCs/>
                      <w:color w:val="auto"/>
                      <w:szCs w:val="21"/>
                    </w:rPr>
                    <w:t>非甲烷总烃</w:t>
                  </w:r>
                </w:p>
              </w:tc>
              <w:tc>
                <w:tcPr>
                  <w:tcW w:w="515" w:type="pct"/>
                  <w:vAlign w:val="center"/>
                </w:tcPr>
                <w:p w14:paraId="173826BF">
                  <w:pPr>
                    <w:widowControl/>
                    <w:adjustRightInd w:val="0"/>
                    <w:snapToGrid w:val="0"/>
                    <w:jc w:val="center"/>
                    <w:rPr>
                      <w:color w:val="auto"/>
                      <w:szCs w:val="21"/>
                    </w:rPr>
                  </w:pPr>
                  <w:r>
                    <w:rPr>
                      <w:rFonts w:hint="eastAsia"/>
                      <w:color w:val="auto"/>
                      <w:szCs w:val="21"/>
                      <w:lang w:val="en-US" w:eastAsia="zh-CN"/>
                    </w:rPr>
                    <w:t>密闭车间+</w:t>
                  </w:r>
                  <w:r>
                    <w:rPr>
                      <w:rFonts w:hint="eastAsia"/>
                      <w:color w:val="auto"/>
                      <w:szCs w:val="21"/>
                    </w:rPr>
                    <w:t>集气罩</w:t>
                  </w:r>
                  <w:r>
                    <w:rPr>
                      <w:rFonts w:hint="eastAsia"/>
                      <w:color w:val="auto"/>
                      <w:szCs w:val="21"/>
                      <w:lang w:val="en-US" w:eastAsia="zh-CN"/>
                    </w:rPr>
                    <w:t>负压</w:t>
                  </w:r>
                  <w:r>
                    <w:rPr>
                      <w:color w:val="auto"/>
                      <w:szCs w:val="21"/>
                    </w:rPr>
                    <w:t>收集</w:t>
                  </w:r>
                </w:p>
              </w:tc>
              <w:tc>
                <w:tcPr>
                  <w:tcW w:w="359" w:type="pct"/>
                  <w:vAlign w:val="center"/>
                </w:tcPr>
                <w:p w14:paraId="173826C0">
                  <w:pPr>
                    <w:adjustRightInd w:val="0"/>
                    <w:snapToGrid w:val="0"/>
                    <w:jc w:val="center"/>
                    <w:rPr>
                      <w:color w:val="auto"/>
                      <w:szCs w:val="21"/>
                    </w:rPr>
                  </w:pPr>
                  <w:r>
                    <w:rPr>
                      <w:rFonts w:hint="eastAsia"/>
                      <w:color w:val="auto"/>
                      <w:szCs w:val="21"/>
                      <w:lang w:val="en-US" w:eastAsia="zh-CN"/>
                    </w:rPr>
                    <w:t>95</w:t>
                  </w:r>
                  <w:r>
                    <w:rPr>
                      <w:color w:val="auto"/>
                      <w:szCs w:val="21"/>
                    </w:rPr>
                    <w:t>%</w:t>
                  </w:r>
                </w:p>
              </w:tc>
              <w:tc>
                <w:tcPr>
                  <w:tcW w:w="408" w:type="pct"/>
                  <w:vMerge w:val="continue"/>
                  <w:vAlign w:val="center"/>
                </w:tcPr>
                <w:p w14:paraId="173826C1">
                  <w:pPr>
                    <w:adjustRightInd w:val="0"/>
                    <w:snapToGrid w:val="0"/>
                    <w:jc w:val="center"/>
                    <w:rPr>
                      <w:color w:val="auto"/>
                      <w:szCs w:val="21"/>
                    </w:rPr>
                  </w:pPr>
                </w:p>
              </w:tc>
              <w:tc>
                <w:tcPr>
                  <w:tcW w:w="747" w:type="pct"/>
                  <w:vMerge w:val="continue"/>
                  <w:vAlign w:val="center"/>
                </w:tcPr>
                <w:p w14:paraId="173826C2">
                  <w:pPr>
                    <w:adjustRightInd w:val="0"/>
                    <w:snapToGrid w:val="0"/>
                    <w:jc w:val="center"/>
                    <w:rPr>
                      <w:color w:val="auto"/>
                      <w:kern w:val="0"/>
                      <w:szCs w:val="21"/>
                    </w:rPr>
                  </w:pPr>
                </w:p>
              </w:tc>
              <w:tc>
                <w:tcPr>
                  <w:tcW w:w="466" w:type="pct"/>
                  <w:vMerge w:val="continue"/>
                  <w:vAlign w:val="center"/>
                </w:tcPr>
                <w:p w14:paraId="173826C3">
                  <w:pPr>
                    <w:adjustRightInd w:val="0"/>
                    <w:snapToGrid w:val="0"/>
                    <w:jc w:val="center"/>
                    <w:rPr>
                      <w:color w:val="auto"/>
                      <w:kern w:val="0"/>
                      <w:szCs w:val="21"/>
                    </w:rPr>
                  </w:pPr>
                </w:p>
              </w:tc>
              <w:tc>
                <w:tcPr>
                  <w:tcW w:w="392" w:type="pct"/>
                  <w:vMerge w:val="continue"/>
                  <w:vAlign w:val="center"/>
                </w:tcPr>
                <w:p w14:paraId="173826C4">
                  <w:pPr>
                    <w:adjustRightInd w:val="0"/>
                    <w:snapToGrid w:val="0"/>
                    <w:jc w:val="center"/>
                    <w:rPr>
                      <w:color w:val="auto"/>
                      <w:szCs w:val="21"/>
                    </w:rPr>
                  </w:pPr>
                </w:p>
              </w:tc>
              <w:tc>
                <w:tcPr>
                  <w:tcW w:w="487" w:type="pct"/>
                  <w:vMerge w:val="continue"/>
                  <w:vAlign w:val="center"/>
                </w:tcPr>
                <w:p w14:paraId="173826C5">
                  <w:pPr>
                    <w:adjustRightInd w:val="0"/>
                    <w:snapToGrid w:val="0"/>
                    <w:jc w:val="center"/>
                    <w:rPr>
                      <w:color w:val="auto"/>
                      <w:szCs w:val="21"/>
                    </w:rPr>
                  </w:pPr>
                </w:p>
              </w:tc>
            </w:tr>
            <w:tr w14:paraId="173826D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479" w:type="pct"/>
                  <w:vAlign w:val="center"/>
                </w:tcPr>
                <w:p w14:paraId="173826C7">
                  <w:pPr>
                    <w:widowControl/>
                    <w:adjustRightInd w:val="0"/>
                    <w:snapToGrid w:val="0"/>
                    <w:jc w:val="center"/>
                    <w:rPr>
                      <w:bCs/>
                      <w:color w:val="auto"/>
                      <w:kern w:val="0"/>
                      <w:szCs w:val="21"/>
                    </w:rPr>
                  </w:pPr>
                  <w:r>
                    <w:rPr>
                      <w:rFonts w:hint="eastAsia"/>
                      <w:bCs/>
                      <w:color w:val="auto"/>
                      <w:kern w:val="0"/>
                      <w:szCs w:val="21"/>
                    </w:rPr>
                    <w:t>电烘箱</w:t>
                  </w:r>
                </w:p>
              </w:tc>
              <w:tc>
                <w:tcPr>
                  <w:tcW w:w="574" w:type="pct"/>
                  <w:vAlign w:val="center"/>
                </w:tcPr>
                <w:p w14:paraId="173826C8">
                  <w:pPr>
                    <w:adjustRightInd w:val="0"/>
                    <w:snapToGrid w:val="0"/>
                    <w:jc w:val="center"/>
                    <w:rPr>
                      <w:color w:val="auto"/>
                      <w:kern w:val="0"/>
                      <w:szCs w:val="21"/>
                    </w:rPr>
                  </w:pPr>
                  <w:r>
                    <w:rPr>
                      <w:rFonts w:hint="eastAsia"/>
                      <w:color w:val="auto"/>
                      <w:kern w:val="0"/>
                      <w:szCs w:val="21"/>
                    </w:rPr>
                    <w:t>固化废气</w:t>
                  </w:r>
                </w:p>
              </w:tc>
              <w:tc>
                <w:tcPr>
                  <w:tcW w:w="570" w:type="pct"/>
                  <w:vAlign w:val="center"/>
                </w:tcPr>
                <w:p w14:paraId="173826C9">
                  <w:pPr>
                    <w:adjustRightInd w:val="0"/>
                    <w:snapToGrid w:val="0"/>
                    <w:jc w:val="center"/>
                    <w:rPr>
                      <w:bCs/>
                      <w:color w:val="auto"/>
                      <w:szCs w:val="21"/>
                    </w:rPr>
                  </w:pPr>
                  <w:r>
                    <w:rPr>
                      <w:rFonts w:hint="eastAsia"/>
                      <w:bCs/>
                      <w:color w:val="auto"/>
                      <w:szCs w:val="21"/>
                    </w:rPr>
                    <w:t>非甲烷总烃</w:t>
                  </w:r>
                </w:p>
              </w:tc>
              <w:tc>
                <w:tcPr>
                  <w:tcW w:w="515" w:type="pct"/>
                  <w:vAlign w:val="center"/>
                </w:tcPr>
                <w:p w14:paraId="173826CA">
                  <w:pPr>
                    <w:widowControl/>
                    <w:adjustRightInd w:val="0"/>
                    <w:snapToGrid w:val="0"/>
                    <w:jc w:val="center"/>
                    <w:rPr>
                      <w:color w:val="auto"/>
                      <w:szCs w:val="21"/>
                    </w:rPr>
                  </w:pPr>
                  <w:r>
                    <w:rPr>
                      <w:rFonts w:hint="eastAsia"/>
                      <w:color w:val="auto"/>
                      <w:szCs w:val="21"/>
                      <w:lang w:val="en-US" w:eastAsia="zh-CN"/>
                    </w:rPr>
                    <w:t>密闭车间+</w:t>
                  </w:r>
                  <w:r>
                    <w:rPr>
                      <w:rFonts w:hint="eastAsia"/>
                      <w:color w:val="auto"/>
                      <w:szCs w:val="21"/>
                    </w:rPr>
                    <w:t>集气罩</w:t>
                  </w:r>
                  <w:r>
                    <w:rPr>
                      <w:rFonts w:hint="eastAsia"/>
                      <w:color w:val="auto"/>
                      <w:szCs w:val="21"/>
                      <w:lang w:val="en-US" w:eastAsia="zh-CN"/>
                    </w:rPr>
                    <w:t>负压</w:t>
                  </w:r>
                  <w:r>
                    <w:rPr>
                      <w:rFonts w:hint="eastAsia"/>
                      <w:color w:val="auto"/>
                      <w:szCs w:val="21"/>
                    </w:rPr>
                    <w:t>收集</w:t>
                  </w:r>
                </w:p>
              </w:tc>
              <w:tc>
                <w:tcPr>
                  <w:tcW w:w="359" w:type="pct"/>
                  <w:vAlign w:val="center"/>
                </w:tcPr>
                <w:p w14:paraId="173826CB">
                  <w:pPr>
                    <w:adjustRightInd w:val="0"/>
                    <w:snapToGrid w:val="0"/>
                    <w:jc w:val="center"/>
                    <w:rPr>
                      <w:color w:val="auto"/>
                      <w:szCs w:val="21"/>
                    </w:rPr>
                  </w:pPr>
                  <w:r>
                    <w:rPr>
                      <w:rFonts w:hint="eastAsia"/>
                      <w:color w:val="auto"/>
                      <w:szCs w:val="21"/>
                      <w:lang w:val="en-US" w:eastAsia="zh-CN"/>
                    </w:rPr>
                    <w:t>95</w:t>
                  </w:r>
                  <w:r>
                    <w:rPr>
                      <w:color w:val="auto"/>
                      <w:szCs w:val="21"/>
                    </w:rPr>
                    <w:t>%</w:t>
                  </w:r>
                </w:p>
              </w:tc>
              <w:tc>
                <w:tcPr>
                  <w:tcW w:w="408" w:type="pct"/>
                  <w:vMerge w:val="continue"/>
                  <w:vAlign w:val="center"/>
                </w:tcPr>
                <w:p w14:paraId="173826CC">
                  <w:pPr>
                    <w:adjustRightInd w:val="0"/>
                    <w:snapToGrid w:val="0"/>
                    <w:jc w:val="center"/>
                    <w:rPr>
                      <w:color w:val="auto"/>
                      <w:szCs w:val="21"/>
                    </w:rPr>
                  </w:pPr>
                </w:p>
              </w:tc>
              <w:tc>
                <w:tcPr>
                  <w:tcW w:w="747" w:type="pct"/>
                  <w:vMerge w:val="continue"/>
                  <w:vAlign w:val="center"/>
                </w:tcPr>
                <w:p w14:paraId="173826CD">
                  <w:pPr>
                    <w:adjustRightInd w:val="0"/>
                    <w:snapToGrid w:val="0"/>
                    <w:jc w:val="center"/>
                    <w:rPr>
                      <w:color w:val="auto"/>
                      <w:kern w:val="0"/>
                      <w:szCs w:val="21"/>
                    </w:rPr>
                  </w:pPr>
                </w:p>
              </w:tc>
              <w:tc>
                <w:tcPr>
                  <w:tcW w:w="466" w:type="pct"/>
                  <w:vMerge w:val="continue"/>
                  <w:vAlign w:val="center"/>
                </w:tcPr>
                <w:p w14:paraId="173826CE">
                  <w:pPr>
                    <w:adjustRightInd w:val="0"/>
                    <w:snapToGrid w:val="0"/>
                    <w:jc w:val="center"/>
                    <w:rPr>
                      <w:color w:val="auto"/>
                      <w:kern w:val="0"/>
                      <w:szCs w:val="21"/>
                    </w:rPr>
                  </w:pPr>
                </w:p>
              </w:tc>
              <w:tc>
                <w:tcPr>
                  <w:tcW w:w="392" w:type="pct"/>
                  <w:vMerge w:val="continue"/>
                  <w:vAlign w:val="center"/>
                </w:tcPr>
                <w:p w14:paraId="173826CF">
                  <w:pPr>
                    <w:adjustRightInd w:val="0"/>
                    <w:snapToGrid w:val="0"/>
                    <w:jc w:val="center"/>
                    <w:rPr>
                      <w:color w:val="auto"/>
                      <w:szCs w:val="21"/>
                    </w:rPr>
                  </w:pPr>
                </w:p>
              </w:tc>
              <w:tc>
                <w:tcPr>
                  <w:tcW w:w="487" w:type="pct"/>
                  <w:vMerge w:val="continue"/>
                  <w:vAlign w:val="center"/>
                </w:tcPr>
                <w:p w14:paraId="173826D0">
                  <w:pPr>
                    <w:adjustRightInd w:val="0"/>
                    <w:snapToGrid w:val="0"/>
                    <w:jc w:val="center"/>
                    <w:rPr>
                      <w:color w:val="auto"/>
                      <w:szCs w:val="21"/>
                    </w:rPr>
                  </w:pPr>
                </w:p>
              </w:tc>
            </w:tr>
            <w:tr w14:paraId="173826D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479" w:type="pct"/>
                  <w:vAlign w:val="center"/>
                </w:tcPr>
                <w:p w14:paraId="173826D2">
                  <w:pPr>
                    <w:adjustRightInd w:val="0"/>
                    <w:snapToGrid w:val="0"/>
                    <w:jc w:val="center"/>
                    <w:rPr>
                      <w:bCs/>
                      <w:color w:val="auto"/>
                      <w:szCs w:val="21"/>
                    </w:rPr>
                  </w:pPr>
                  <w:r>
                    <w:rPr>
                      <w:rFonts w:hint="eastAsia"/>
                      <w:bCs/>
                      <w:color w:val="auto"/>
                      <w:szCs w:val="21"/>
                    </w:rPr>
                    <w:t>抛丸机</w:t>
                  </w:r>
                </w:p>
              </w:tc>
              <w:tc>
                <w:tcPr>
                  <w:tcW w:w="574" w:type="pct"/>
                  <w:vAlign w:val="center"/>
                </w:tcPr>
                <w:p w14:paraId="173826D3">
                  <w:pPr>
                    <w:adjustRightInd w:val="0"/>
                    <w:snapToGrid w:val="0"/>
                    <w:jc w:val="center"/>
                    <w:rPr>
                      <w:color w:val="auto"/>
                      <w:kern w:val="0"/>
                      <w:szCs w:val="21"/>
                    </w:rPr>
                  </w:pPr>
                  <w:r>
                    <w:rPr>
                      <w:rFonts w:hint="eastAsia"/>
                      <w:color w:val="auto"/>
                      <w:kern w:val="0"/>
                      <w:szCs w:val="21"/>
                    </w:rPr>
                    <w:t>抛丸粉尘</w:t>
                  </w:r>
                </w:p>
              </w:tc>
              <w:tc>
                <w:tcPr>
                  <w:tcW w:w="570" w:type="pct"/>
                  <w:vAlign w:val="center"/>
                </w:tcPr>
                <w:p w14:paraId="173826D4">
                  <w:pPr>
                    <w:adjustRightInd w:val="0"/>
                    <w:snapToGrid w:val="0"/>
                    <w:jc w:val="center"/>
                    <w:rPr>
                      <w:bCs/>
                      <w:color w:val="auto"/>
                      <w:szCs w:val="21"/>
                    </w:rPr>
                  </w:pPr>
                  <w:r>
                    <w:rPr>
                      <w:bCs/>
                      <w:color w:val="auto"/>
                      <w:szCs w:val="21"/>
                    </w:rPr>
                    <w:t>颗粒物</w:t>
                  </w:r>
                </w:p>
              </w:tc>
              <w:tc>
                <w:tcPr>
                  <w:tcW w:w="515" w:type="pct"/>
                  <w:vAlign w:val="center"/>
                </w:tcPr>
                <w:p w14:paraId="173826D5">
                  <w:pPr>
                    <w:widowControl/>
                    <w:adjustRightInd w:val="0"/>
                    <w:snapToGrid w:val="0"/>
                    <w:jc w:val="center"/>
                    <w:rPr>
                      <w:color w:val="auto"/>
                      <w:szCs w:val="21"/>
                    </w:rPr>
                  </w:pPr>
                  <w:r>
                    <w:rPr>
                      <w:rFonts w:hint="eastAsia"/>
                      <w:color w:val="auto"/>
                      <w:szCs w:val="21"/>
                    </w:rPr>
                    <w:t>管道负压</w:t>
                  </w:r>
                  <w:r>
                    <w:rPr>
                      <w:color w:val="auto"/>
                      <w:szCs w:val="21"/>
                    </w:rPr>
                    <w:t>收集</w:t>
                  </w:r>
                </w:p>
              </w:tc>
              <w:tc>
                <w:tcPr>
                  <w:tcW w:w="359" w:type="pct"/>
                  <w:vAlign w:val="center"/>
                </w:tcPr>
                <w:p w14:paraId="173826D6">
                  <w:pPr>
                    <w:adjustRightInd w:val="0"/>
                    <w:snapToGrid w:val="0"/>
                    <w:jc w:val="center"/>
                    <w:rPr>
                      <w:color w:val="auto"/>
                      <w:szCs w:val="21"/>
                    </w:rPr>
                  </w:pPr>
                  <w:r>
                    <w:rPr>
                      <w:rFonts w:hint="eastAsia"/>
                      <w:color w:val="auto"/>
                      <w:szCs w:val="21"/>
                    </w:rPr>
                    <w:t>95</w:t>
                  </w:r>
                  <w:r>
                    <w:rPr>
                      <w:color w:val="auto"/>
                      <w:szCs w:val="21"/>
                    </w:rPr>
                    <w:t>%</w:t>
                  </w:r>
                </w:p>
              </w:tc>
              <w:tc>
                <w:tcPr>
                  <w:tcW w:w="408" w:type="pct"/>
                  <w:vMerge w:val="restart"/>
                  <w:vAlign w:val="center"/>
                </w:tcPr>
                <w:p w14:paraId="173826D7">
                  <w:pPr>
                    <w:adjustRightInd w:val="0"/>
                    <w:snapToGrid w:val="0"/>
                    <w:jc w:val="center"/>
                    <w:rPr>
                      <w:color w:val="auto"/>
                      <w:szCs w:val="21"/>
                    </w:rPr>
                  </w:pPr>
                  <w:r>
                    <w:rPr>
                      <w:rFonts w:hint="eastAsia"/>
                      <w:color w:val="auto"/>
                      <w:szCs w:val="21"/>
                    </w:rPr>
                    <w:t>10000</w:t>
                  </w:r>
                </w:p>
              </w:tc>
              <w:tc>
                <w:tcPr>
                  <w:tcW w:w="747" w:type="pct"/>
                  <w:vAlign w:val="center"/>
                </w:tcPr>
                <w:p w14:paraId="173826D8">
                  <w:pPr>
                    <w:adjustRightInd w:val="0"/>
                    <w:snapToGrid w:val="0"/>
                    <w:jc w:val="center"/>
                    <w:rPr>
                      <w:color w:val="auto"/>
                      <w:kern w:val="0"/>
                      <w:szCs w:val="21"/>
                    </w:rPr>
                  </w:pPr>
                  <w:r>
                    <w:rPr>
                      <w:rFonts w:hint="eastAsia"/>
                      <w:color w:val="auto"/>
                      <w:kern w:val="0"/>
                      <w:szCs w:val="21"/>
                    </w:rPr>
                    <w:t>布袋除尘器（系统自带）TA002</w:t>
                  </w:r>
                </w:p>
              </w:tc>
              <w:tc>
                <w:tcPr>
                  <w:tcW w:w="466" w:type="pct"/>
                  <w:vAlign w:val="center"/>
                </w:tcPr>
                <w:p w14:paraId="173826D9">
                  <w:pPr>
                    <w:adjustRightInd w:val="0"/>
                    <w:snapToGrid w:val="0"/>
                    <w:jc w:val="center"/>
                    <w:rPr>
                      <w:color w:val="auto"/>
                      <w:kern w:val="0"/>
                      <w:szCs w:val="21"/>
                    </w:rPr>
                  </w:pPr>
                  <w:r>
                    <w:rPr>
                      <w:rFonts w:hint="eastAsia"/>
                      <w:color w:val="auto"/>
                      <w:kern w:val="0"/>
                      <w:szCs w:val="21"/>
                    </w:rPr>
                    <w:t>95%</w:t>
                  </w:r>
                </w:p>
              </w:tc>
              <w:tc>
                <w:tcPr>
                  <w:tcW w:w="392" w:type="pct"/>
                  <w:vMerge w:val="restart"/>
                  <w:vAlign w:val="center"/>
                </w:tcPr>
                <w:p w14:paraId="173826DA">
                  <w:pPr>
                    <w:adjustRightInd w:val="0"/>
                    <w:snapToGrid w:val="0"/>
                    <w:jc w:val="center"/>
                    <w:rPr>
                      <w:color w:val="auto"/>
                      <w:szCs w:val="21"/>
                    </w:rPr>
                  </w:pPr>
                  <w:r>
                    <w:rPr>
                      <w:color w:val="auto"/>
                      <w:szCs w:val="21"/>
                    </w:rPr>
                    <w:t>是</w:t>
                  </w:r>
                </w:p>
              </w:tc>
              <w:tc>
                <w:tcPr>
                  <w:tcW w:w="487" w:type="pct"/>
                  <w:vMerge w:val="restart"/>
                  <w:vAlign w:val="center"/>
                </w:tcPr>
                <w:p w14:paraId="173826DB">
                  <w:pPr>
                    <w:adjustRightInd w:val="0"/>
                    <w:snapToGrid w:val="0"/>
                    <w:jc w:val="center"/>
                    <w:rPr>
                      <w:color w:val="auto"/>
                      <w:szCs w:val="21"/>
                    </w:rPr>
                  </w:pPr>
                  <w:r>
                    <w:rPr>
                      <w:color w:val="auto"/>
                      <w:szCs w:val="21"/>
                    </w:rPr>
                    <w:t>有组织</w:t>
                  </w:r>
                </w:p>
              </w:tc>
            </w:tr>
            <w:tr w14:paraId="173826E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479" w:type="pct"/>
                  <w:vAlign w:val="center"/>
                </w:tcPr>
                <w:p w14:paraId="173826DD">
                  <w:pPr>
                    <w:adjustRightInd w:val="0"/>
                    <w:snapToGrid w:val="0"/>
                    <w:jc w:val="center"/>
                    <w:rPr>
                      <w:bCs/>
                      <w:color w:val="auto"/>
                      <w:szCs w:val="21"/>
                    </w:rPr>
                  </w:pPr>
                  <w:r>
                    <w:rPr>
                      <w:rFonts w:hint="eastAsia"/>
                      <w:bCs/>
                      <w:color w:val="auto"/>
                      <w:szCs w:val="21"/>
                    </w:rPr>
                    <w:t>静电喷塑</w:t>
                  </w:r>
                </w:p>
                <w:p w14:paraId="173826DE">
                  <w:pPr>
                    <w:adjustRightInd w:val="0"/>
                    <w:snapToGrid w:val="0"/>
                    <w:jc w:val="center"/>
                    <w:rPr>
                      <w:bCs/>
                      <w:color w:val="auto"/>
                      <w:szCs w:val="21"/>
                    </w:rPr>
                  </w:pPr>
                  <w:r>
                    <w:rPr>
                      <w:rFonts w:hint="eastAsia"/>
                      <w:bCs/>
                      <w:color w:val="auto"/>
                      <w:szCs w:val="21"/>
                    </w:rPr>
                    <w:t>设备</w:t>
                  </w:r>
                </w:p>
              </w:tc>
              <w:tc>
                <w:tcPr>
                  <w:tcW w:w="574" w:type="pct"/>
                  <w:vAlign w:val="center"/>
                </w:tcPr>
                <w:p w14:paraId="173826DF">
                  <w:pPr>
                    <w:adjustRightInd w:val="0"/>
                    <w:snapToGrid w:val="0"/>
                    <w:jc w:val="center"/>
                    <w:rPr>
                      <w:color w:val="auto"/>
                      <w:kern w:val="0"/>
                      <w:szCs w:val="21"/>
                    </w:rPr>
                  </w:pPr>
                  <w:r>
                    <w:rPr>
                      <w:rFonts w:hint="eastAsia"/>
                      <w:color w:val="auto"/>
                      <w:kern w:val="0"/>
                      <w:szCs w:val="21"/>
                    </w:rPr>
                    <w:t>喷塑</w:t>
                  </w:r>
                </w:p>
              </w:tc>
              <w:tc>
                <w:tcPr>
                  <w:tcW w:w="570" w:type="pct"/>
                  <w:vAlign w:val="center"/>
                </w:tcPr>
                <w:p w14:paraId="173826E0">
                  <w:pPr>
                    <w:adjustRightInd w:val="0"/>
                    <w:snapToGrid w:val="0"/>
                    <w:jc w:val="center"/>
                    <w:rPr>
                      <w:bCs/>
                      <w:color w:val="auto"/>
                      <w:szCs w:val="21"/>
                    </w:rPr>
                  </w:pPr>
                  <w:r>
                    <w:rPr>
                      <w:bCs/>
                      <w:color w:val="auto"/>
                      <w:szCs w:val="21"/>
                    </w:rPr>
                    <w:t>颗粒物</w:t>
                  </w:r>
                </w:p>
              </w:tc>
              <w:tc>
                <w:tcPr>
                  <w:tcW w:w="515" w:type="pct"/>
                  <w:vAlign w:val="center"/>
                </w:tcPr>
                <w:p w14:paraId="173826E1">
                  <w:pPr>
                    <w:widowControl/>
                    <w:adjustRightInd w:val="0"/>
                    <w:snapToGrid w:val="0"/>
                    <w:jc w:val="center"/>
                    <w:rPr>
                      <w:color w:val="auto"/>
                      <w:szCs w:val="21"/>
                    </w:rPr>
                  </w:pPr>
                  <w:r>
                    <w:rPr>
                      <w:rFonts w:hint="eastAsia"/>
                      <w:color w:val="auto"/>
                      <w:szCs w:val="21"/>
                    </w:rPr>
                    <w:t>管道负压收集</w:t>
                  </w:r>
                </w:p>
              </w:tc>
              <w:tc>
                <w:tcPr>
                  <w:tcW w:w="359" w:type="pct"/>
                  <w:vAlign w:val="center"/>
                </w:tcPr>
                <w:p w14:paraId="173826E2">
                  <w:pPr>
                    <w:adjustRightInd w:val="0"/>
                    <w:snapToGrid w:val="0"/>
                    <w:jc w:val="center"/>
                    <w:rPr>
                      <w:color w:val="auto"/>
                      <w:szCs w:val="21"/>
                    </w:rPr>
                  </w:pPr>
                  <w:r>
                    <w:rPr>
                      <w:rFonts w:hint="eastAsia"/>
                      <w:color w:val="auto"/>
                      <w:szCs w:val="21"/>
                    </w:rPr>
                    <w:t>95%</w:t>
                  </w:r>
                </w:p>
              </w:tc>
              <w:tc>
                <w:tcPr>
                  <w:tcW w:w="408" w:type="pct"/>
                  <w:vMerge w:val="continue"/>
                  <w:vAlign w:val="center"/>
                </w:tcPr>
                <w:p w14:paraId="173826E3">
                  <w:pPr>
                    <w:adjustRightInd w:val="0"/>
                    <w:snapToGrid w:val="0"/>
                    <w:jc w:val="center"/>
                    <w:rPr>
                      <w:color w:val="auto"/>
                      <w:szCs w:val="21"/>
                    </w:rPr>
                  </w:pPr>
                </w:p>
              </w:tc>
              <w:tc>
                <w:tcPr>
                  <w:tcW w:w="747" w:type="pct"/>
                  <w:vAlign w:val="center"/>
                </w:tcPr>
                <w:p w14:paraId="173826E4">
                  <w:pPr>
                    <w:adjustRightInd w:val="0"/>
                    <w:snapToGrid w:val="0"/>
                    <w:jc w:val="center"/>
                    <w:rPr>
                      <w:bCs/>
                      <w:color w:val="auto"/>
                      <w:szCs w:val="21"/>
                    </w:rPr>
                  </w:pPr>
                  <w:r>
                    <w:rPr>
                      <w:rFonts w:hint="eastAsia"/>
                      <w:bCs/>
                      <w:color w:val="auto"/>
                      <w:szCs w:val="21"/>
                    </w:rPr>
                    <w:t>塑粉回收装置</w:t>
                  </w:r>
                </w:p>
                <w:p w14:paraId="173826E5">
                  <w:pPr>
                    <w:adjustRightInd w:val="0"/>
                    <w:snapToGrid w:val="0"/>
                    <w:jc w:val="center"/>
                    <w:rPr>
                      <w:color w:val="auto"/>
                      <w:kern w:val="0"/>
                      <w:szCs w:val="21"/>
                    </w:rPr>
                  </w:pPr>
                  <w:r>
                    <w:rPr>
                      <w:rFonts w:hint="eastAsia"/>
                      <w:bCs/>
                      <w:color w:val="auto"/>
                      <w:szCs w:val="21"/>
                    </w:rPr>
                    <w:t>旋风+脉冲滤芯除尘器（系统自带）TA003</w:t>
                  </w:r>
                </w:p>
              </w:tc>
              <w:tc>
                <w:tcPr>
                  <w:tcW w:w="466" w:type="pct"/>
                  <w:vAlign w:val="center"/>
                </w:tcPr>
                <w:p w14:paraId="173826E6">
                  <w:pPr>
                    <w:adjustRightInd w:val="0"/>
                    <w:snapToGrid w:val="0"/>
                    <w:jc w:val="center"/>
                    <w:rPr>
                      <w:color w:val="auto"/>
                      <w:kern w:val="0"/>
                      <w:szCs w:val="21"/>
                    </w:rPr>
                  </w:pPr>
                  <w:r>
                    <w:rPr>
                      <w:rFonts w:hint="eastAsia"/>
                      <w:color w:val="auto"/>
                      <w:kern w:val="0"/>
                      <w:szCs w:val="21"/>
                    </w:rPr>
                    <w:t>98%</w:t>
                  </w:r>
                </w:p>
              </w:tc>
              <w:tc>
                <w:tcPr>
                  <w:tcW w:w="392" w:type="pct"/>
                  <w:vMerge w:val="continue"/>
                  <w:vAlign w:val="center"/>
                </w:tcPr>
                <w:p w14:paraId="173826E7">
                  <w:pPr>
                    <w:adjustRightInd w:val="0"/>
                    <w:snapToGrid w:val="0"/>
                    <w:jc w:val="center"/>
                    <w:rPr>
                      <w:color w:val="auto"/>
                      <w:szCs w:val="21"/>
                    </w:rPr>
                  </w:pPr>
                </w:p>
              </w:tc>
              <w:tc>
                <w:tcPr>
                  <w:tcW w:w="487" w:type="pct"/>
                  <w:vMerge w:val="continue"/>
                  <w:vAlign w:val="center"/>
                </w:tcPr>
                <w:p w14:paraId="173826E8">
                  <w:pPr>
                    <w:adjustRightInd w:val="0"/>
                    <w:snapToGrid w:val="0"/>
                    <w:jc w:val="center"/>
                    <w:rPr>
                      <w:color w:val="auto"/>
                      <w:szCs w:val="21"/>
                    </w:rPr>
                  </w:pPr>
                </w:p>
              </w:tc>
            </w:tr>
            <w:tr w14:paraId="173826F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479" w:type="pct"/>
                  <w:vAlign w:val="center"/>
                </w:tcPr>
                <w:p w14:paraId="173826EA">
                  <w:pPr>
                    <w:adjustRightInd w:val="0"/>
                    <w:snapToGrid w:val="0"/>
                    <w:jc w:val="center"/>
                    <w:rPr>
                      <w:bCs/>
                      <w:color w:val="auto"/>
                      <w:szCs w:val="21"/>
                    </w:rPr>
                  </w:pPr>
                  <w:r>
                    <w:rPr>
                      <w:rFonts w:hint="eastAsia"/>
                      <w:bCs/>
                      <w:color w:val="auto"/>
                      <w:szCs w:val="21"/>
                    </w:rPr>
                    <w:t>抛光机</w:t>
                  </w:r>
                </w:p>
              </w:tc>
              <w:tc>
                <w:tcPr>
                  <w:tcW w:w="574" w:type="pct"/>
                  <w:vAlign w:val="center"/>
                </w:tcPr>
                <w:p w14:paraId="173826EB">
                  <w:pPr>
                    <w:adjustRightInd w:val="0"/>
                    <w:snapToGrid w:val="0"/>
                    <w:jc w:val="center"/>
                    <w:rPr>
                      <w:color w:val="auto"/>
                      <w:kern w:val="0"/>
                      <w:szCs w:val="21"/>
                    </w:rPr>
                  </w:pPr>
                  <w:r>
                    <w:rPr>
                      <w:rFonts w:hint="eastAsia"/>
                      <w:color w:val="auto"/>
                      <w:kern w:val="0"/>
                      <w:szCs w:val="21"/>
                    </w:rPr>
                    <w:t>抛光粉尘</w:t>
                  </w:r>
                </w:p>
              </w:tc>
              <w:tc>
                <w:tcPr>
                  <w:tcW w:w="570" w:type="pct"/>
                  <w:vAlign w:val="center"/>
                </w:tcPr>
                <w:p w14:paraId="173826EC">
                  <w:pPr>
                    <w:adjustRightInd w:val="0"/>
                    <w:snapToGrid w:val="0"/>
                    <w:jc w:val="center"/>
                    <w:rPr>
                      <w:bCs/>
                      <w:color w:val="auto"/>
                      <w:szCs w:val="21"/>
                    </w:rPr>
                  </w:pPr>
                  <w:r>
                    <w:rPr>
                      <w:bCs/>
                      <w:color w:val="auto"/>
                      <w:szCs w:val="21"/>
                    </w:rPr>
                    <w:t>颗粒物</w:t>
                  </w:r>
                </w:p>
              </w:tc>
              <w:tc>
                <w:tcPr>
                  <w:tcW w:w="515" w:type="pct"/>
                  <w:vAlign w:val="center"/>
                </w:tcPr>
                <w:p w14:paraId="173826ED">
                  <w:pPr>
                    <w:widowControl/>
                    <w:adjustRightInd w:val="0"/>
                    <w:snapToGrid w:val="0"/>
                    <w:jc w:val="center"/>
                    <w:rPr>
                      <w:color w:val="auto"/>
                      <w:szCs w:val="21"/>
                    </w:rPr>
                  </w:pPr>
                  <w:r>
                    <w:rPr>
                      <w:rFonts w:hint="eastAsia"/>
                      <w:color w:val="auto"/>
                      <w:szCs w:val="21"/>
                    </w:rPr>
                    <w:t>集气罩</w:t>
                  </w:r>
                  <w:r>
                    <w:rPr>
                      <w:color w:val="auto"/>
                      <w:szCs w:val="21"/>
                    </w:rPr>
                    <w:t>收集</w:t>
                  </w:r>
                </w:p>
              </w:tc>
              <w:tc>
                <w:tcPr>
                  <w:tcW w:w="359" w:type="pct"/>
                  <w:vAlign w:val="center"/>
                </w:tcPr>
                <w:p w14:paraId="173826EE">
                  <w:pPr>
                    <w:adjustRightInd w:val="0"/>
                    <w:snapToGrid w:val="0"/>
                    <w:jc w:val="center"/>
                    <w:rPr>
                      <w:color w:val="auto"/>
                      <w:szCs w:val="21"/>
                    </w:rPr>
                  </w:pPr>
                  <w:r>
                    <w:rPr>
                      <w:rFonts w:hint="eastAsia"/>
                      <w:color w:val="auto"/>
                      <w:szCs w:val="21"/>
                    </w:rPr>
                    <w:t>90%</w:t>
                  </w:r>
                </w:p>
              </w:tc>
              <w:tc>
                <w:tcPr>
                  <w:tcW w:w="408" w:type="pct"/>
                  <w:vAlign w:val="center"/>
                </w:tcPr>
                <w:p w14:paraId="173826EF">
                  <w:pPr>
                    <w:adjustRightInd w:val="0"/>
                    <w:snapToGrid w:val="0"/>
                    <w:jc w:val="center"/>
                    <w:rPr>
                      <w:color w:val="auto"/>
                      <w:szCs w:val="21"/>
                    </w:rPr>
                  </w:pPr>
                  <w:r>
                    <w:rPr>
                      <w:rFonts w:hint="eastAsia"/>
                      <w:color w:val="auto"/>
                      <w:szCs w:val="21"/>
                    </w:rPr>
                    <w:t>3000</w:t>
                  </w:r>
                </w:p>
              </w:tc>
              <w:tc>
                <w:tcPr>
                  <w:tcW w:w="747" w:type="pct"/>
                  <w:vAlign w:val="center"/>
                </w:tcPr>
                <w:p w14:paraId="173826F0">
                  <w:pPr>
                    <w:adjustRightInd w:val="0"/>
                    <w:snapToGrid w:val="0"/>
                    <w:jc w:val="center"/>
                    <w:rPr>
                      <w:color w:val="auto"/>
                      <w:kern w:val="0"/>
                      <w:szCs w:val="21"/>
                    </w:rPr>
                  </w:pPr>
                  <w:r>
                    <w:rPr>
                      <w:rFonts w:hint="eastAsia"/>
                      <w:color w:val="auto"/>
                      <w:kern w:val="0"/>
                      <w:szCs w:val="21"/>
                    </w:rPr>
                    <w:t>布袋除尘器TA004</w:t>
                  </w:r>
                </w:p>
              </w:tc>
              <w:tc>
                <w:tcPr>
                  <w:tcW w:w="466" w:type="pct"/>
                  <w:vAlign w:val="center"/>
                </w:tcPr>
                <w:p w14:paraId="173826F1">
                  <w:pPr>
                    <w:adjustRightInd w:val="0"/>
                    <w:snapToGrid w:val="0"/>
                    <w:jc w:val="center"/>
                    <w:rPr>
                      <w:color w:val="auto"/>
                      <w:kern w:val="0"/>
                      <w:szCs w:val="21"/>
                    </w:rPr>
                  </w:pPr>
                  <w:r>
                    <w:rPr>
                      <w:rFonts w:hint="eastAsia"/>
                      <w:color w:val="auto"/>
                      <w:kern w:val="0"/>
                      <w:szCs w:val="21"/>
                    </w:rPr>
                    <w:t>95%</w:t>
                  </w:r>
                </w:p>
              </w:tc>
              <w:tc>
                <w:tcPr>
                  <w:tcW w:w="392" w:type="pct"/>
                  <w:vAlign w:val="center"/>
                </w:tcPr>
                <w:p w14:paraId="173826F2">
                  <w:pPr>
                    <w:adjustRightInd w:val="0"/>
                    <w:snapToGrid w:val="0"/>
                    <w:jc w:val="center"/>
                    <w:rPr>
                      <w:color w:val="auto"/>
                      <w:szCs w:val="21"/>
                    </w:rPr>
                  </w:pPr>
                  <w:r>
                    <w:rPr>
                      <w:color w:val="auto"/>
                      <w:szCs w:val="21"/>
                    </w:rPr>
                    <w:t>是</w:t>
                  </w:r>
                </w:p>
              </w:tc>
              <w:tc>
                <w:tcPr>
                  <w:tcW w:w="487" w:type="pct"/>
                  <w:vAlign w:val="center"/>
                </w:tcPr>
                <w:p w14:paraId="173826F3">
                  <w:pPr>
                    <w:adjustRightInd w:val="0"/>
                    <w:snapToGrid w:val="0"/>
                    <w:jc w:val="center"/>
                    <w:rPr>
                      <w:color w:val="auto"/>
                      <w:szCs w:val="21"/>
                    </w:rPr>
                  </w:pPr>
                  <w:r>
                    <w:rPr>
                      <w:color w:val="auto"/>
                      <w:szCs w:val="21"/>
                    </w:rPr>
                    <w:t>有组织</w:t>
                  </w:r>
                </w:p>
              </w:tc>
            </w:tr>
          </w:tbl>
          <w:p w14:paraId="173826F5">
            <w:pPr>
              <w:adjustRightInd w:val="0"/>
              <w:snapToGrid w:val="0"/>
              <w:rPr>
                <w:color w:val="auto"/>
                <w:kern w:val="0"/>
                <w:sz w:val="18"/>
                <w:szCs w:val="18"/>
              </w:rPr>
            </w:pPr>
          </w:p>
          <w:p w14:paraId="173826F6">
            <w:pPr>
              <w:adjustRightInd w:val="0"/>
              <w:snapToGrid w:val="0"/>
              <w:spacing w:before="120" w:beforeLines="50"/>
              <w:jc w:val="center"/>
              <w:rPr>
                <w:b/>
                <w:color w:val="auto"/>
                <w:kern w:val="0"/>
                <w:szCs w:val="20"/>
              </w:rPr>
            </w:pPr>
          </w:p>
          <w:p w14:paraId="173826F7">
            <w:pPr>
              <w:widowControl/>
              <w:adjustRightInd w:val="0"/>
              <w:snapToGrid w:val="0"/>
              <w:jc w:val="center"/>
              <w:rPr>
                <w:b/>
                <w:color w:val="auto"/>
                <w:kern w:val="0"/>
                <w:sz w:val="24"/>
              </w:rPr>
            </w:pPr>
            <w:r>
              <w:rPr>
                <w:b/>
                <w:color w:val="auto"/>
                <w:kern w:val="0"/>
                <w:sz w:val="24"/>
              </w:rPr>
              <w:t>表</w:t>
            </w:r>
            <w:r>
              <w:rPr>
                <w:rFonts w:hint="eastAsia"/>
                <w:b/>
                <w:color w:val="auto"/>
                <w:kern w:val="0"/>
                <w:sz w:val="24"/>
              </w:rPr>
              <w:t>4-5</w:t>
            </w:r>
            <w:r>
              <w:rPr>
                <w:rFonts w:hint="eastAsia"/>
                <w:b/>
                <w:color w:val="auto"/>
                <w:kern w:val="0"/>
                <w:sz w:val="24"/>
                <w:lang w:val="en-US" w:eastAsia="zh-CN"/>
              </w:rPr>
              <w:t>本</w:t>
            </w:r>
            <w:r>
              <w:rPr>
                <w:b/>
                <w:color w:val="auto"/>
                <w:kern w:val="0"/>
                <w:sz w:val="24"/>
              </w:rPr>
              <w:t>项目废气排放口基本情况一览表</w:t>
            </w:r>
          </w:p>
          <w:tbl>
            <w:tblPr>
              <w:tblStyle w:val="88"/>
              <w:tblW w:w="4998" w:type="pct"/>
              <w:tblInd w:w="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274"/>
              <w:gridCol w:w="848"/>
              <w:gridCol w:w="879"/>
              <w:gridCol w:w="1968"/>
              <w:gridCol w:w="1780"/>
              <w:gridCol w:w="897"/>
              <w:gridCol w:w="694"/>
              <w:gridCol w:w="546"/>
              <w:gridCol w:w="546"/>
              <w:gridCol w:w="491"/>
              <w:gridCol w:w="868"/>
              <w:gridCol w:w="1109"/>
              <w:gridCol w:w="1037"/>
              <w:gridCol w:w="1052"/>
            </w:tblGrid>
            <w:tr w14:paraId="1738270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105" w:type="pct"/>
                  <w:vMerge w:val="restart"/>
                  <w:vAlign w:val="center"/>
                </w:tcPr>
                <w:p w14:paraId="173826F8">
                  <w:pPr>
                    <w:widowControl/>
                    <w:adjustRightInd w:val="0"/>
                    <w:snapToGrid w:val="0"/>
                    <w:jc w:val="center"/>
                    <w:rPr>
                      <w:b/>
                      <w:color w:val="auto"/>
                      <w:kern w:val="0"/>
                      <w:szCs w:val="21"/>
                    </w:rPr>
                  </w:pPr>
                  <w:r>
                    <w:rPr>
                      <w:b/>
                      <w:color w:val="auto"/>
                      <w:kern w:val="0"/>
                      <w:szCs w:val="21"/>
                    </w:rPr>
                    <w:t>编号</w:t>
                  </w:r>
                </w:p>
              </w:tc>
              <w:tc>
                <w:tcPr>
                  <w:tcW w:w="326" w:type="pct"/>
                  <w:vMerge w:val="restart"/>
                  <w:vAlign w:val="center"/>
                </w:tcPr>
                <w:p w14:paraId="173826F9">
                  <w:pPr>
                    <w:widowControl/>
                    <w:adjustRightInd w:val="0"/>
                    <w:snapToGrid w:val="0"/>
                    <w:jc w:val="center"/>
                    <w:rPr>
                      <w:b/>
                      <w:color w:val="auto"/>
                      <w:kern w:val="0"/>
                      <w:szCs w:val="21"/>
                    </w:rPr>
                  </w:pPr>
                  <w:r>
                    <w:rPr>
                      <w:b/>
                      <w:color w:val="auto"/>
                      <w:kern w:val="0"/>
                      <w:szCs w:val="21"/>
                    </w:rPr>
                    <w:t>名称</w:t>
                  </w:r>
                </w:p>
              </w:tc>
              <w:tc>
                <w:tcPr>
                  <w:tcW w:w="338" w:type="pct"/>
                  <w:vMerge w:val="restart"/>
                  <w:vAlign w:val="center"/>
                </w:tcPr>
                <w:p w14:paraId="173826FA">
                  <w:pPr>
                    <w:widowControl/>
                    <w:adjustRightInd w:val="0"/>
                    <w:snapToGrid w:val="0"/>
                    <w:jc w:val="center"/>
                    <w:rPr>
                      <w:b/>
                      <w:color w:val="auto"/>
                      <w:kern w:val="0"/>
                      <w:szCs w:val="21"/>
                    </w:rPr>
                  </w:pPr>
                  <w:r>
                    <w:rPr>
                      <w:b/>
                      <w:color w:val="auto"/>
                      <w:kern w:val="0"/>
                      <w:szCs w:val="21"/>
                    </w:rPr>
                    <w:t>排放口类型</w:t>
                  </w:r>
                </w:p>
              </w:tc>
              <w:tc>
                <w:tcPr>
                  <w:tcW w:w="1440" w:type="pct"/>
                  <w:gridSpan w:val="2"/>
                  <w:vMerge w:val="restart"/>
                  <w:vAlign w:val="center"/>
                </w:tcPr>
                <w:p w14:paraId="173826FB">
                  <w:pPr>
                    <w:widowControl/>
                    <w:adjustRightInd w:val="0"/>
                    <w:snapToGrid w:val="0"/>
                    <w:jc w:val="center"/>
                    <w:rPr>
                      <w:b/>
                      <w:color w:val="auto"/>
                      <w:kern w:val="0"/>
                      <w:szCs w:val="21"/>
                    </w:rPr>
                  </w:pPr>
                  <w:r>
                    <w:rPr>
                      <w:b/>
                      <w:color w:val="auto"/>
                      <w:kern w:val="0"/>
                      <w:szCs w:val="21"/>
                    </w:rPr>
                    <w:t>排气筒底部中心坐标</w:t>
                  </w:r>
                </w:p>
                <w:p w14:paraId="173826FC">
                  <w:pPr>
                    <w:widowControl/>
                    <w:adjustRightInd w:val="0"/>
                    <w:snapToGrid w:val="0"/>
                    <w:jc w:val="center"/>
                    <w:rPr>
                      <w:b/>
                      <w:color w:val="auto"/>
                      <w:kern w:val="0"/>
                      <w:szCs w:val="21"/>
                    </w:rPr>
                  </w:pPr>
                  <w:r>
                    <w:rPr>
                      <w:b/>
                      <w:color w:val="auto"/>
                      <w:kern w:val="0"/>
                      <w:szCs w:val="21"/>
                    </w:rPr>
                    <w:t>（经纬度）</w:t>
                  </w:r>
                </w:p>
              </w:tc>
              <w:tc>
                <w:tcPr>
                  <w:tcW w:w="345" w:type="pct"/>
                  <w:vMerge w:val="restart"/>
                  <w:vAlign w:val="center"/>
                </w:tcPr>
                <w:p w14:paraId="173826FD">
                  <w:pPr>
                    <w:widowControl/>
                    <w:adjustRightInd w:val="0"/>
                    <w:snapToGrid w:val="0"/>
                    <w:jc w:val="center"/>
                    <w:rPr>
                      <w:b/>
                      <w:color w:val="auto"/>
                      <w:kern w:val="0"/>
                      <w:szCs w:val="21"/>
                    </w:rPr>
                  </w:pPr>
                  <w:r>
                    <w:rPr>
                      <w:b/>
                      <w:color w:val="auto"/>
                      <w:kern w:val="0"/>
                      <w:szCs w:val="21"/>
                    </w:rPr>
                    <w:t>排气筒底部海拔高度/m</w:t>
                  </w:r>
                </w:p>
              </w:tc>
              <w:tc>
                <w:tcPr>
                  <w:tcW w:w="267" w:type="pct"/>
                  <w:vMerge w:val="restart"/>
                  <w:vAlign w:val="center"/>
                </w:tcPr>
                <w:p w14:paraId="173826FE">
                  <w:pPr>
                    <w:widowControl/>
                    <w:adjustRightInd w:val="0"/>
                    <w:snapToGrid w:val="0"/>
                    <w:jc w:val="center"/>
                    <w:rPr>
                      <w:b/>
                      <w:color w:val="auto"/>
                      <w:kern w:val="0"/>
                      <w:szCs w:val="21"/>
                    </w:rPr>
                  </w:pPr>
                  <w:r>
                    <w:rPr>
                      <w:b/>
                      <w:color w:val="auto"/>
                      <w:kern w:val="0"/>
                      <w:szCs w:val="21"/>
                    </w:rPr>
                    <w:t>排气筒高度/m</w:t>
                  </w:r>
                </w:p>
              </w:tc>
              <w:tc>
                <w:tcPr>
                  <w:tcW w:w="210" w:type="pct"/>
                  <w:vMerge w:val="restart"/>
                  <w:vAlign w:val="center"/>
                </w:tcPr>
                <w:p w14:paraId="173826FF">
                  <w:pPr>
                    <w:widowControl/>
                    <w:adjustRightInd w:val="0"/>
                    <w:snapToGrid w:val="0"/>
                    <w:jc w:val="center"/>
                    <w:rPr>
                      <w:b/>
                      <w:color w:val="auto"/>
                      <w:kern w:val="0"/>
                      <w:szCs w:val="21"/>
                    </w:rPr>
                  </w:pPr>
                  <w:r>
                    <w:rPr>
                      <w:b/>
                      <w:color w:val="auto"/>
                      <w:kern w:val="0"/>
                      <w:szCs w:val="21"/>
                    </w:rPr>
                    <w:t>排气筒内径/m</w:t>
                  </w:r>
                </w:p>
              </w:tc>
              <w:tc>
                <w:tcPr>
                  <w:tcW w:w="210" w:type="pct"/>
                  <w:vMerge w:val="restart"/>
                  <w:vAlign w:val="center"/>
                </w:tcPr>
                <w:p w14:paraId="17382700">
                  <w:pPr>
                    <w:widowControl/>
                    <w:adjustRightInd w:val="0"/>
                    <w:snapToGrid w:val="0"/>
                    <w:jc w:val="center"/>
                    <w:rPr>
                      <w:b/>
                      <w:color w:val="auto"/>
                      <w:kern w:val="0"/>
                      <w:szCs w:val="21"/>
                    </w:rPr>
                  </w:pPr>
                  <w:r>
                    <w:rPr>
                      <w:b/>
                      <w:color w:val="auto"/>
                      <w:kern w:val="0"/>
                      <w:szCs w:val="21"/>
                    </w:rPr>
                    <w:t>烟气温度/℃</w:t>
                  </w:r>
                </w:p>
              </w:tc>
              <w:tc>
                <w:tcPr>
                  <w:tcW w:w="189" w:type="pct"/>
                  <w:vMerge w:val="restart"/>
                  <w:vAlign w:val="center"/>
                </w:tcPr>
                <w:p w14:paraId="17382701">
                  <w:pPr>
                    <w:widowControl/>
                    <w:adjustRightInd w:val="0"/>
                    <w:snapToGrid w:val="0"/>
                    <w:jc w:val="center"/>
                    <w:rPr>
                      <w:b/>
                      <w:color w:val="auto"/>
                      <w:kern w:val="0"/>
                      <w:szCs w:val="21"/>
                    </w:rPr>
                  </w:pPr>
                  <w:r>
                    <w:rPr>
                      <w:b/>
                      <w:color w:val="auto"/>
                      <w:kern w:val="0"/>
                      <w:szCs w:val="21"/>
                    </w:rPr>
                    <w:t>排放工况</w:t>
                  </w:r>
                </w:p>
              </w:tc>
              <w:tc>
                <w:tcPr>
                  <w:tcW w:w="334" w:type="pct"/>
                  <w:vMerge w:val="restart"/>
                  <w:vAlign w:val="center"/>
                </w:tcPr>
                <w:p w14:paraId="17382702">
                  <w:pPr>
                    <w:widowControl/>
                    <w:adjustRightInd w:val="0"/>
                    <w:snapToGrid w:val="0"/>
                    <w:jc w:val="center"/>
                    <w:rPr>
                      <w:b/>
                      <w:color w:val="auto"/>
                      <w:kern w:val="0"/>
                      <w:szCs w:val="21"/>
                    </w:rPr>
                  </w:pPr>
                  <w:r>
                    <w:rPr>
                      <w:b/>
                      <w:color w:val="auto"/>
                      <w:kern w:val="0"/>
                      <w:szCs w:val="21"/>
                    </w:rPr>
                    <w:t>污染物类型</w:t>
                  </w:r>
                </w:p>
              </w:tc>
              <w:tc>
                <w:tcPr>
                  <w:tcW w:w="1230" w:type="pct"/>
                  <w:gridSpan w:val="3"/>
                  <w:vAlign w:val="center"/>
                </w:tcPr>
                <w:p w14:paraId="17382703">
                  <w:pPr>
                    <w:widowControl/>
                    <w:adjustRightInd w:val="0"/>
                    <w:snapToGrid w:val="0"/>
                    <w:jc w:val="center"/>
                    <w:rPr>
                      <w:color w:val="auto"/>
                    </w:rPr>
                  </w:pPr>
                  <w:r>
                    <w:rPr>
                      <w:b/>
                      <w:bCs/>
                      <w:color w:val="auto"/>
                    </w:rPr>
                    <w:t>排放情况</w:t>
                  </w:r>
                </w:p>
              </w:tc>
            </w:tr>
            <w:tr w14:paraId="1738271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105" w:type="pct"/>
                  <w:vMerge w:val="continue"/>
                  <w:vAlign w:val="center"/>
                </w:tcPr>
                <w:p w14:paraId="17382705">
                  <w:pPr>
                    <w:adjustRightInd w:val="0"/>
                    <w:snapToGrid w:val="0"/>
                    <w:jc w:val="center"/>
                    <w:rPr>
                      <w:color w:val="auto"/>
                      <w:szCs w:val="21"/>
                    </w:rPr>
                  </w:pPr>
                </w:p>
              </w:tc>
              <w:tc>
                <w:tcPr>
                  <w:tcW w:w="326" w:type="pct"/>
                  <w:vMerge w:val="continue"/>
                  <w:vAlign w:val="center"/>
                </w:tcPr>
                <w:p w14:paraId="17382706">
                  <w:pPr>
                    <w:adjustRightInd w:val="0"/>
                    <w:snapToGrid w:val="0"/>
                    <w:jc w:val="center"/>
                    <w:rPr>
                      <w:color w:val="auto"/>
                      <w:szCs w:val="21"/>
                    </w:rPr>
                  </w:pPr>
                </w:p>
              </w:tc>
              <w:tc>
                <w:tcPr>
                  <w:tcW w:w="338" w:type="pct"/>
                  <w:vMerge w:val="continue"/>
                  <w:vAlign w:val="center"/>
                </w:tcPr>
                <w:p w14:paraId="17382707">
                  <w:pPr>
                    <w:adjustRightInd w:val="0"/>
                    <w:snapToGrid w:val="0"/>
                    <w:jc w:val="center"/>
                    <w:rPr>
                      <w:color w:val="auto"/>
                      <w:szCs w:val="21"/>
                    </w:rPr>
                  </w:pPr>
                </w:p>
              </w:tc>
              <w:tc>
                <w:tcPr>
                  <w:tcW w:w="1440" w:type="pct"/>
                  <w:gridSpan w:val="2"/>
                  <w:vMerge w:val="continue"/>
                  <w:vAlign w:val="center"/>
                </w:tcPr>
                <w:p w14:paraId="17382708">
                  <w:pPr>
                    <w:adjustRightInd w:val="0"/>
                    <w:snapToGrid w:val="0"/>
                    <w:jc w:val="center"/>
                    <w:rPr>
                      <w:color w:val="auto"/>
                      <w:szCs w:val="21"/>
                    </w:rPr>
                  </w:pPr>
                </w:p>
              </w:tc>
              <w:tc>
                <w:tcPr>
                  <w:tcW w:w="345" w:type="pct"/>
                  <w:vMerge w:val="continue"/>
                  <w:vAlign w:val="center"/>
                </w:tcPr>
                <w:p w14:paraId="17382709">
                  <w:pPr>
                    <w:adjustRightInd w:val="0"/>
                    <w:snapToGrid w:val="0"/>
                    <w:jc w:val="center"/>
                    <w:rPr>
                      <w:color w:val="auto"/>
                      <w:szCs w:val="21"/>
                    </w:rPr>
                  </w:pPr>
                </w:p>
              </w:tc>
              <w:tc>
                <w:tcPr>
                  <w:tcW w:w="267" w:type="pct"/>
                  <w:vMerge w:val="continue"/>
                  <w:vAlign w:val="center"/>
                </w:tcPr>
                <w:p w14:paraId="1738270A">
                  <w:pPr>
                    <w:adjustRightInd w:val="0"/>
                    <w:snapToGrid w:val="0"/>
                    <w:jc w:val="center"/>
                    <w:rPr>
                      <w:color w:val="auto"/>
                      <w:szCs w:val="21"/>
                    </w:rPr>
                  </w:pPr>
                </w:p>
              </w:tc>
              <w:tc>
                <w:tcPr>
                  <w:tcW w:w="210" w:type="pct"/>
                  <w:vMerge w:val="continue"/>
                  <w:vAlign w:val="center"/>
                </w:tcPr>
                <w:p w14:paraId="1738270B">
                  <w:pPr>
                    <w:adjustRightInd w:val="0"/>
                    <w:snapToGrid w:val="0"/>
                    <w:jc w:val="center"/>
                    <w:rPr>
                      <w:color w:val="auto"/>
                      <w:szCs w:val="21"/>
                    </w:rPr>
                  </w:pPr>
                </w:p>
              </w:tc>
              <w:tc>
                <w:tcPr>
                  <w:tcW w:w="210" w:type="pct"/>
                  <w:vMerge w:val="continue"/>
                  <w:vAlign w:val="center"/>
                </w:tcPr>
                <w:p w14:paraId="1738270C">
                  <w:pPr>
                    <w:adjustRightInd w:val="0"/>
                    <w:snapToGrid w:val="0"/>
                    <w:jc w:val="center"/>
                    <w:rPr>
                      <w:color w:val="auto"/>
                      <w:szCs w:val="21"/>
                    </w:rPr>
                  </w:pPr>
                </w:p>
              </w:tc>
              <w:tc>
                <w:tcPr>
                  <w:tcW w:w="189" w:type="pct"/>
                  <w:vMerge w:val="continue"/>
                  <w:vAlign w:val="center"/>
                </w:tcPr>
                <w:p w14:paraId="1738270D">
                  <w:pPr>
                    <w:adjustRightInd w:val="0"/>
                    <w:snapToGrid w:val="0"/>
                    <w:jc w:val="center"/>
                    <w:rPr>
                      <w:color w:val="auto"/>
                      <w:szCs w:val="21"/>
                    </w:rPr>
                  </w:pPr>
                </w:p>
              </w:tc>
              <w:tc>
                <w:tcPr>
                  <w:tcW w:w="334" w:type="pct"/>
                  <w:vMerge w:val="continue"/>
                  <w:vAlign w:val="center"/>
                </w:tcPr>
                <w:p w14:paraId="1738270E">
                  <w:pPr>
                    <w:adjustRightInd w:val="0"/>
                    <w:snapToGrid w:val="0"/>
                    <w:jc w:val="center"/>
                    <w:rPr>
                      <w:color w:val="auto"/>
                      <w:szCs w:val="21"/>
                    </w:rPr>
                  </w:pPr>
                </w:p>
              </w:tc>
              <w:tc>
                <w:tcPr>
                  <w:tcW w:w="426" w:type="pct"/>
                  <w:vMerge w:val="restart"/>
                  <w:vAlign w:val="center"/>
                </w:tcPr>
                <w:p w14:paraId="1738270F">
                  <w:pPr>
                    <w:widowControl/>
                    <w:adjustRightInd w:val="0"/>
                    <w:snapToGrid w:val="0"/>
                    <w:jc w:val="center"/>
                    <w:rPr>
                      <w:b/>
                      <w:color w:val="auto"/>
                      <w:kern w:val="0"/>
                      <w:szCs w:val="21"/>
                    </w:rPr>
                  </w:pPr>
                  <w:r>
                    <w:rPr>
                      <w:b/>
                      <w:color w:val="auto"/>
                      <w:kern w:val="0"/>
                      <w:szCs w:val="21"/>
                    </w:rPr>
                    <w:t>浓度</w:t>
                  </w:r>
                </w:p>
                <w:p w14:paraId="17382710">
                  <w:pPr>
                    <w:widowControl/>
                    <w:adjustRightInd w:val="0"/>
                    <w:snapToGrid w:val="0"/>
                    <w:jc w:val="center"/>
                    <w:rPr>
                      <w:b/>
                      <w:color w:val="auto"/>
                      <w:kern w:val="0"/>
                      <w:szCs w:val="21"/>
                    </w:rPr>
                  </w:pPr>
                  <w:r>
                    <w:rPr>
                      <w:b/>
                      <w:color w:val="auto"/>
                      <w:kern w:val="0"/>
                      <w:szCs w:val="21"/>
                    </w:rPr>
                    <w:t>（mg/m</w:t>
                  </w:r>
                  <w:r>
                    <w:rPr>
                      <w:b/>
                      <w:color w:val="auto"/>
                      <w:kern w:val="0"/>
                      <w:szCs w:val="21"/>
                      <w:vertAlign w:val="superscript"/>
                    </w:rPr>
                    <w:t>3</w:t>
                  </w:r>
                  <w:r>
                    <w:rPr>
                      <w:b/>
                      <w:color w:val="auto"/>
                      <w:kern w:val="0"/>
                      <w:szCs w:val="21"/>
                    </w:rPr>
                    <w:t>）</w:t>
                  </w:r>
                </w:p>
              </w:tc>
              <w:tc>
                <w:tcPr>
                  <w:tcW w:w="399" w:type="pct"/>
                  <w:vMerge w:val="restart"/>
                  <w:vAlign w:val="center"/>
                </w:tcPr>
                <w:p w14:paraId="17382711">
                  <w:pPr>
                    <w:widowControl/>
                    <w:adjustRightInd w:val="0"/>
                    <w:snapToGrid w:val="0"/>
                    <w:jc w:val="center"/>
                    <w:rPr>
                      <w:b/>
                      <w:color w:val="auto"/>
                      <w:kern w:val="0"/>
                      <w:szCs w:val="21"/>
                    </w:rPr>
                  </w:pPr>
                  <w:r>
                    <w:rPr>
                      <w:b/>
                      <w:color w:val="auto"/>
                      <w:kern w:val="0"/>
                      <w:szCs w:val="21"/>
                    </w:rPr>
                    <w:t>速率</w:t>
                  </w:r>
                </w:p>
                <w:p w14:paraId="17382712">
                  <w:pPr>
                    <w:widowControl/>
                    <w:adjustRightInd w:val="0"/>
                    <w:snapToGrid w:val="0"/>
                    <w:jc w:val="center"/>
                    <w:rPr>
                      <w:b/>
                      <w:color w:val="auto"/>
                      <w:kern w:val="0"/>
                      <w:szCs w:val="21"/>
                    </w:rPr>
                  </w:pPr>
                  <w:r>
                    <w:rPr>
                      <w:b/>
                      <w:color w:val="auto"/>
                      <w:kern w:val="0"/>
                      <w:szCs w:val="21"/>
                    </w:rPr>
                    <w:t>（kg/h）</w:t>
                  </w:r>
                </w:p>
              </w:tc>
              <w:tc>
                <w:tcPr>
                  <w:tcW w:w="404" w:type="pct"/>
                  <w:vMerge w:val="restart"/>
                  <w:vAlign w:val="center"/>
                </w:tcPr>
                <w:p w14:paraId="17382713">
                  <w:pPr>
                    <w:widowControl/>
                    <w:adjustRightInd w:val="0"/>
                    <w:snapToGrid w:val="0"/>
                    <w:jc w:val="center"/>
                    <w:rPr>
                      <w:b/>
                      <w:color w:val="auto"/>
                      <w:kern w:val="0"/>
                      <w:szCs w:val="21"/>
                    </w:rPr>
                  </w:pPr>
                  <w:r>
                    <w:rPr>
                      <w:b/>
                      <w:color w:val="auto"/>
                      <w:kern w:val="0"/>
                      <w:szCs w:val="21"/>
                    </w:rPr>
                    <w:t>排放量（t/a）</w:t>
                  </w:r>
                </w:p>
              </w:tc>
            </w:tr>
            <w:tr w14:paraId="1738272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105" w:type="pct"/>
                  <w:vMerge w:val="continue"/>
                  <w:vAlign w:val="center"/>
                </w:tcPr>
                <w:p w14:paraId="17382715">
                  <w:pPr>
                    <w:adjustRightInd w:val="0"/>
                    <w:snapToGrid w:val="0"/>
                    <w:jc w:val="center"/>
                    <w:rPr>
                      <w:color w:val="auto"/>
                      <w:szCs w:val="21"/>
                    </w:rPr>
                  </w:pPr>
                </w:p>
              </w:tc>
              <w:tc>
                <w:tcPr>
                  <w:tcW w:w="326" w:type="pct"/>
                  <w:vMerge w:val="continue"/>
                  <w:vAlign w:val="center"/>
                </w:tcPr>
                <w:p w14:paraId="17382716">
                  <w:pPr>
                    <w:adjustRightInd w:val="0"/>
                    <w:snapToGrid w:val="0"/>
                    <w:jc w:val="center"/>
                    <w:rPr>
                      <w:color w:val="auto"/>
                      <w:szCs w:val="21"/>
                    </w:rPr>
                  </w:pPr>
                </w:p>
              </w:tc>
              <w:tc>
                <w:tcPr>
                  <w:tcW w:w="338" w:type="pct"/>
                  <w:vMerge w:val="continue"/>
                  <w:vAlign w:val="center"/>
                </w:tcPr>
                <w:p w14:paraId="17382717">
                  <w:pPr>
                    <w:adjustRightInd w:val="0"/>
                    <w:snapToGrid w:val="0"/>
                    <w:jc w:val="center"/>
                    <w:rPr>
                      <w:b/>
                      <w:color w:val="auto"/>
                      <w:kern w:val="0"/>
                      <w:szCs w:val="21"/>
                    </w:rPr>
                  </w:pPr>
                </w:p>
              </w:tc>
              <w:tc>
                <w:tcPr>
                  <w:tcW w:w="756" w:type="pct"/>
                  <w:vAlign w:val="center"/>
                </w:tcPr>
                <w:p w14:paraId="17382718">
                  <w:pPr>
                    <w:adjustRightInd w:val="0"/>
                    <w:snapToGrid w:val="0"/>
                    <w:jc w:val="center"/>
                    <w:rPr>
                      <w:b/>
                      <w:color w:val="auto"/>
                      <w:kern w:val="0"/>
                      <w:szCs w:val="21"/>
                    </w:rPr>
                  </w:pPr>
                  <w:r>
                    <w:rPr>
                      <w:b/>
                      <w:color w:val="auto"/>
                      <w:kern w:val="0"/>
                      <w:szCs w:val="21"/>
                    </w:rPr>
                    <w:t>X</w:t>
                  </w:r>
                </w:p>
              </w:tc>
              <w:tc>
                <w:tcPr>
                  <w:tcW w:w="684" w:type="pct"/>
                  <w:vAlign w:val="center"/>
                </w:tcPr>
                <w:p w14:paraId="17382719">
                  <w:pPr>
                    <w:adjustRightInd w:val="0"/>
                    <w:snapToGrid w:val="0"/>
                    <w:jc w:val="center"/>
                    <w:rPr>
                      <w:b/>
                      <w:color w:val="auto"/>
                      <w:kern w:val="0"/>
                      <w:szCs w:val="21"/>
                    </w:rPr>
                  </w:pPr>
                  <w:r>
                    <w:rPr>
                      <w:b/>
                      <w:color w:val="auto"/>
                      <w:kern w:val="0"/>
                      <w:szCs w:val="21"/>
                    </w:rPr>
                    <w:t>Y</w:t>
                  </w:r>
                </w:p>
              </w:tc>
              <w:tc>
                <w:tcPr>
                  <w:tcW w:w="345" w:type="pct"/>
                  <w:vMerge w:val="continue"/>
                  <w:vAlign w:val="center"/>
                </w:tcPr>
                <w:p w14:paraId="1738271A">
                  <w:pPr>
                    <w:adjustRightInd w:val="0"/>
                    <w:snapToGrid w:val="0"/>
                    <w:jc w:val="center"/>
                    <w:rPr>
                      <w:color w:val="auto"/>
                      <w:szCs w:val="21"/>
                    </w:rPr>
                  </w:pPr>
                </w:p>
              </w:tc>
              <w:tc>
                <w:tcPr>
                  <w:tcW w:w="267" w:type="pct"/>
                  <w:vMerge w:val="continue"/>
                  <w:vAlign w:val="center"/>
                </w:tcPr>
                <w:p w14:paraId="1738271B">
                  <w:pPr>
                    <w:adjustRightInd w:val="0"/>
                    <w:snapToGrid w:val="0"/>
                    <w:jc w:val="center"/>
                    <w:rPr>
                      <w:color w:val="auto"/>
                      <w:szCs w:val="21"/>
                    </w:rPr>
                  </w:pPr>
                </w:p>
              </w:tc>
              <w:tc>
                <w:tcPr>
                  <w:tcW w:w="210" w:type="pct"/>
                  <w:vMerge w:val="continue"/>
                  <w:vAlign w:val="center"/>
                </w:tcPr>
                <w:p w14:paraId="1738271C">
                  <w:pPr>
                    <w:adjustRightInd w:val="0"/>
                    <w:snapToGrid w:val="0"/>
                    <w:jc w:val="center"/>
                    <w:rPr>
                      <w:color w:val="auto"/>
                      <w:szCs w:val="21"/>
                    </w:rPr>
                  </w:pPr>
                </w:p>
              </w:tc>
              <w:tc>
                <w:tcPr>
                  <w:tcW w:w="210" w:type="pct"/>
                  <w:vMerge w:val="continue"/>
                  <w:vAlign w:val="center"/>
                </w:tcPr>
                <w:p w14:paraId="1738271D">
                  <w:pPr>
                    <w:adjustRightInd w:val="0"/>
                    <w:snapToGrid w:val="0"/>
                    <w:jc w:val="center"/>
                    <w:rPr>
                      <w:color w:val="auto"/>
                      <w:szCs w:val="21"/>
                    </w:rPr>
                  </w:pPr>
                </w:p>
              </w:tc>
              <w:tc>
                <w:tcPr>
                  <w:tcW w:w="189" w:type="pct"/>
                  <w:vMerge w:val="continue"/>
                  <w:vAlign w:val="center"/>
                </w:tcPr>
                <w:p w14:paraId="1738271E">
                  <w:pPr>
                    <w:adjustRightInd w:val="0"/>
                    <w:snapToGrid w:val="0"/>
                    <w:jc w:val="center"/>
                    <w:rPr>
                      <w:color w:val="auto"/>
                      <w:szCs w:val="21"/>
                    </w:rPr>
                  </w:pPr>
                </w:p>
              </w:tc>
              <w:tc>
                <w:tcPr>
                  <w:tcW w:w="334" w:type="pct"/>
                  <w:vMerge w:val="continue"/>
                  <w:vAlign w:val="center"/>
                </w:tcPr>
                <w:p w14:paraId="1738271F">
                  <w:pPr>
                    <w:adjustRightInd w:val="0"/>
                    <w:snapToGrid w:val="0"/>
                    <w:jc w:val="center"/>
                    <w:rPr>
                      <w:color w:val="auto"/>
                      <w:szCs w:val="21"/>
                    </w:rPr>
                  </w:pPr>
                </w:p>
              </w:tc>
              <w:tc>
                <w:tcPr>
                  <w:tcW w:w="426" w:type="pct"/>
                  <w:vMerge w:val="continue"/>
                  <w:vAlign w:val="center"/>
                </w:tcPr>
                <w:p w14:paraId="17382720">
                  <w:pPr>
                    <w:adjustRightInd w:val="0"/>
                    <w:snapToGrid w:val="0"/>
                    <w:jc w:val="center"/>
                    <w:rPr>
                      <w:color w:val="auto"/>
                      <w:szCs w:val="21"/>
                    </w:rPr>
                  </w:pPr>
                </w:p>
              </w:tc>
              <w:tc>
                <w:tcPr>
                  <w:tcW w:w="399" w:type="pct"/>
                  <w:vMerge w:val="continue"/>
                  <w:vAlign w:val="center"/>
                </w:tcPr>
                <w:p w14:paraId="17382721">
                  <w:pPr>
                    <w:adjustRightInd w:val="0"/>
                    <w:snapToGrid w:val="0"/>
                    <w:jc w:val="center"/>
                    <w:rPr>
                      <w:color w:val="auto"/>
                      <w:szCs w:val="21"/>
                    </w:rPr>
                  </w:pPr>
                </w:p>
              </w:tc>
              <w:tc>
                <w:tcPr>
                  <w:tcW w:w="404" w:type="pct"/>
                  <w:vMerge w:val="continue"/>
                  <w:vAlign w:val="center"/>
                </w:tcPr>
                <w:p w14:paraId="17382722">
                  <w:pPr>
                    <w:adjustRightInd w:val="0"/>
                    <w:snapToGrid w:val="0"/>
                    <w:jc w:val="center"/>
                    <w:rPr>
                      <w:color w:val="auto"/>
                      <w:szCs w:val="21"/>
                    </w:rPr>
                  </w:pPr>
                </w:p>
              </w:tc>
            </w:tr>
            <w:tr w14:paraId="1738273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105" w:type="pct"/>
                  <w:vMerge w:val="restart"/>
                  <w:vAlign w:val="center"/>
                </w:tcPr>
                <w:p w14:paraId="17382724">
                  <w:pPr>
                    <w:widowControl/>
                    <w:adjustRightInd w:val="0"/>
                    <w:snapToGrid w:val="0"/>
                    <w:jc w:val="center"/>
                    <w:rPr>
                      <w:color w:val="auto"/>
                      <w:kern w:val="0"/>
                      <w:szCs w:val="21"/>
                    </w:rPr>
                  </w:pPr>
                  <w:r>
                    <w:rPr>
                      <w:rFonts w:hint="eastAsia"/>
                      <w:color w:val="auto"/>
                      <w:kern w:val="0"/>
                      <w:szCs w:val="21"/>
                    </w:rPr>
                    <w:t>1</w:t>
                  </w:r>
                </w:p>
              </w:tc>
              <w:tc>
                <w:tcPr>
                  <w:tcW w:w="326" w:type="pct"/>
                  <w:vMerge w:val="restart"/>
                  <w:vAlign w:val="center"/>
                </w:tcPr>
                <w:p w14:paraId="17382725">
                  <w:pPr>
                    <w:widowControl/>
                    <w:adjustRightInd w:val="0"/>
                    <w:snapToGrid w:val="0"/>
                    <w:jc w:val="center"/>
                    <w:rPr>
                      <w:color w:val="auto"/>
                      <w:kern w:val="0"/>
                      <w:szCs w:val="21"/>
                    </w:rPr>
                  </w:pPr>
                  <w:r>
                    <w:rPr>
                      <w:rFonts w:hint="eastAsia"/>
                      <w:color w:val="auto"/>
                      <w:kern w:val="0"/>
                      <w:szCs w:val="21"/>
                    </w:rPr>
                    <w:t>DA001</w:t>
                  </w:r>
                </w:p>
              </w:tc>
              <w:tc>
                <w:tcPr>
                  <w:tcW w:w="338" w:type="pct"/>
                  <w:vMerge w:val="restart"/>
                  <w:vAlign w:val="center"/>
                </w:tcPr>
                <w:p w14:paraId="17382726">
                  <w:pPr>
                    <w:adjustRightInd w:val="0"/>
                    <w:snapToGrid w:val="0"/>
                    <w:jc w:val="center"/>
                    <w:rPr>
                      <w:color w:val="auto"/>
                      <w:szCs w:val="21"/>
                    </w:rPr>
                  </w:pPr>
                  <w:r>
                    <w:rPr>
                      <w:color w:val="auto"/>
                      <w:szCs w:val="21"/>
                    </w:rPr>
                    <w:t>一般排放口</w:t>
                  </w:r>
                </w:p>
              </w:tc>
              <w:tc>
                <w:tcPr>
                  <w:tcW w:w="756" w:type="pct"/>
                  <w:vMerge w:val="restart"/>
                  <w:vAlign w:val="center"/>
                </w:tcPr>
                <w:p w14:paraId="17382727">
                  <w:pPr>
                    <w:pStyle w:val="136"/>
                    <w:spacing w:before="24" w:after="24"/>
                    <w:rPr>
                      <w:rFonts w:ascii="Times New Roman"/>
                      <w:color w:val="auto"/>
                      <w:lang w:val="en-US"/>
                    </w:rPr>
                  </w:pPr>
                  <w:r>
                    <w:rPr>
                      <w:rFonts w:hint="eastAsia" w:ascii="Times New Roman"/>
                      <w:color w:val="auto"/>
                      <w:lang w:val="en-US"/>
                    </w:rPr>
                    <w:t>118.923460</w:t>
                  </w:r>
                </w:p>
              </w:tc>
              <w:tc>
                <w:tcPr>
                  <w:tcW w:w="684" w:type="pct"/>
                  <w:vMerge w:val="restart"/>
                  <w:vAlign w:val="center"/>
                </w:tcPr>
                <w:p w14:paraId="17382728">
                  <w:pPr>
                    <w:pStyle w:val="136"/>
                    <w:spacing w:before="24" w:after="24"/>
                    <w:rPr>
                      <w:rFonts w:ascii="Times New Roman"/>
                      <w:color w:val="auto"/>
                      <w:lang w:val="en-US"/>
                    </w:rPr>
                  </w:pPr>
                  <w:r>
                    <w:rPr>
                      <w:rFonts w:hint="eastAsia" w:ascii="Times New Roman"/>
                      <w:color w:val="auto"/>
                      <w:lang w:val="en-US"/>
                    </w:rPr>
                    <w:t>33.535308</w:t>
                  </w:r>
                </w:p>
              </w:tc>
              <w:tc>
                <w:tcPr>
                  <w:tcW w:w="345" w:type="pct"/>
                  <w:vMerge w:val="restart"/>
                  <w:vAlign w:val="center"/>
                </w:tcPr>
                <w:p w14:paraId="17382729">
                  <w:pPr>
                    <w:adjustRightInd w:val="0"/>
                    <w:snapToGrid w:val="0"/>
                    <w:jc w:val="center"/>
                    <w:rPr>
                      <w:color w:val="auto"/>
                      <w:szCs w:val="21"/>
                    </w:rPr>
                  </w:pPr>
                  <w:r>
                    <w:rPr>
                      <w:rFonts w:hint="eastAsia"/>
                      <w:color w:val="auto"/>
                      <w:szCs w:val="21"/>
                    </w:rPr>
                    <w:t>14.17</w:t>
                  </w:r>
                </w:p>
              </w:tc>
              <w:tc>
                <w:tcPr>
                  <w:tcW w:w="267" w:type="pct"/>
                  <w:vMerge w:val="restart"/>
                  <w:vAlign w:val="center"/>
                </w:tcPr>
                <w:p w14:paraId="1738272A">
                  <w:pPr>
                    <w:adjustRightInd w:val="0"/>
                    <w:snapToGrid w:val="0"/>
                    <w:jc w:val="center"/>
                    <w:rPr>
                      <w:color w:val="auto"/>
                      <w:szCs w:val="21"/>
                    </w:rPr>
                  </w:pPr>
                  <w:r>
                    <w:rPr>
                      <w:color w:val="auto"/>
                      <w:szCs w:val="21"/>
                    </w:rPr>
                    <w:t>15</w:t>
                  </w:r>
                </w:p>
              </w:tc>
              <w:tc>
                <w:tcPr>
                  <w:tcW w:w="210" w:type="pct"/>
                  <w:vMerge w:val="restart"/>
                  <w:vAlign w:val="center"/>
                </w:tcPr>
                <w:p w14:paraId="1738272B">
                  <w:pPr>
                    <w:adjustRightInd w:val="0"/>
                    <w:snapToGrid w:val="0"/>
                    <w:jc w:val="center"/>
                    <w:rPr>
                      <w:color w:val="auto"/>
                      <w:szCs w:val="21"/>
                    </w:rPr>
                  </w:pPr>
                  <w:r>
                    <w:rPr>
                      <w:rFonts w:hint="eastAsia"/>
                      <w:color w:val="auto"/>
                      <w:szCs w:val="21"/>
                    </w:rPr>
                    <w:t>0.5</w:t>
                  </w:r>
                </w:p>
              </w:tc>
              <w:tc>
                <w:tcPr>
                  <w:tcW w:w="210" w:type="pct"/>
                  <w:vMerge w:val="restart"/>
                  <w:vAlign w:val="center"/>
                </w:tcPr>
                <w:p w14:paraId="1738272C">
                  <w:pPr>
                    <w:adjustRightInd w:val="0"/>
                    <w:snapToGrid w:val="0"/>
                    <w:jc w:val="center"/>
                    <w:rPr>
                      <w:color w:val="auto"/>
                      <w:kern w:val="0"/>
                      <w:szCs w:val="21"/>
                    </w:rPr>
                  </w:pPr>
                  <w:r>
                    <w:rPr>
                      <w:color w:val="auto"/>
                      <w:kern w:val="0"/>
                      <w:szCs w:val="21"/>
                    </w:rPr>
                    <w:t>25</w:t>
                  </w:r>
                </w:p>
              </w:tc>
              <w:tc>
                <w:tcPr>
                  <w:tcW w:w="189" w:type="pct"/>
                  <w:vMerge w:val="restart"/>
                  <w:vAlign w:val="center"/>
                </w:tcPr>
                <w:p w14:paraId="1738272D">
                  <w:pPr>
                    <w:widowControl/>
                    <w:adjustRightInd w:val="0"/>
                    <w:snapToGrid w:val="0"/>
                    <w:jc w:val="center"/>
                    <w:rPr>
                      <w:color w:val="auto"/>
                      <w:kern w:val="0"/>
                      <w:szCs w:val="21"/>
                    </w:rPr>
                  </w:pPr>
                  <w:r>
                    <w:rPr>
                      <w:color w:val="auto"/>
                      <w:kern w:val="0"/>
                      <w:szCs w:val="21"/>
                    </w:rPr>
                    <w:t>正常</w:t>
                  </w:r>
                </w:p>
              </w:tc>
              <w:tc>
                <w:tcPr>
                  <w:tcW w:w="868" w:type="dxa"/>
                  <w:vAlign w:val="center"/>
                </w:tcPr>
                <w:p w14:paraId="1738272E">
                  <w:pPr>
                    <w:adjustRightInd w:val="0"/>
                    <w:snapToGrid w:val="0"/>
                    <w:jc w:val="center"/>
                    <w:rPr>
                      <w:color w:val="auto"/>
                      <w:kern w:val="0"/>
                      <w:sz w:val="20"/>
                      <w:szCs w:val="20"/>
                    </w:rPr>
                  </w:pPr>
                  <w:r>
                    <w:rPr>
                      <w:bCs/>
                      <w:color w:val="auto"/>
                      <w:kern w:val="0"/>
                      <w:szCs w:val="21"/>
                    </w:rPr>
                    <w:t>颗粒物</w:t>
                  </w:r>
                </w:p>
              </w:tc>
              <w:tc>
                <w:tcPr>
                  <w:tcW w:w="1107" w:type="dxa"/>
                  <w:vAlign w:val="center"/>
                </w:tcPr>
                <w:p w14:paraId="1738272F">
                  <w:pPr>
                    <w:widowControl/>
                    <w:jc w:val="center"/>
                    <w:textAlignment w:val="center"/>
                    <w:rPr>
                      <w:color w:val="auto"/>
                      <w:kern w:val="0"/>
                      <w:szCs w:val="21"/>
                      <w:lang w:bidi="ar"/>
                    </w:rPr>
                  </w:pPr>
                  <w:r>
                    <w:rPr>
                      <w:color w:val="auto"/>
                      <w:kern w:val="0"/>
                      <w:szCs w:val="21"/>
                      <w:lang w:bidi="ar"/>
                    </w:rPr>
                    <w:t xml:space="preserve">0.1111 </w:t>
                  </w:r>
                </w:p>
              </w:tc>
              <w:tc>
                <w:tcPr>
                  <w:tcW w:w="1037" w:type="dxa"/>
                  <w:vAlign w:val="center"/>
                </w:tcPr>
                <w:p w14:paraId="17382730">
                  <w:pPr>
                    <w:widowControl/>
                    <w:jc w:val="center"/>
                    <w:textAlignment w:val="center"/>
                    <w:rPr>
                      <w:color w:val="auto"/>
                      <w:kern w:val="0"/>
                      <w:szCs w:val="21"/>
                      <w:lang w:bidi="ar"/>
                    </w:rPr>
                  </w:pPr>
                  <w:r>
                    <w:rPr>
                      <w:color w:val="auto"/>
                      <w:kern w:val="0"/>
                      <w:szCs w:val="21"/>
                      <w:lang w:bidi="ar"/>
                    </w:rPr>
                    <w:t xml:space="preserve">0.0010 </w:t>
                  </w:r>
                </w:p>
              </w:tc>
              <w:tc>
                <w:tcPr>
                  <w:tcW w:w="1052" w:type="dxa"/>
                  <w:vAlign w:val="center"/>
                </w:tcPr>
                <w:p w14:paraId="17382731">
                  <w:pPr>
                    <w:widowControl/>
                    <w:jc w:val="center"/>
                    <w:textAlignment w:val="center"/>
                    <w:rPr>
                      <w:color w:val="auto"/>
                      <w:kern w:val="0"/>
                      <w:szCs w:val="21"/>
                      <w:lang w:bidi="ar"/>
                    </w:rPr>
                  </w:pPr>
                  <w:r>
                    <w:rPr>
                      <w:color w:val="auto"/>
                      <w:kern w:val="0"/>
                      <w:szCs w:val="21"/>
                      <w:lang w:bidi="ar"/>
                    </w:rPr>
                    <w:t xml:space="preserve">0.0024 </w:t>
                  </w:r>
                </w:p>
              </w:tc>
            </w:tr>
            <w:tr w14:paraId="1738274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105" w:type="pct"/>
                  <w:vMerge w:val="continue"/>
                  <w:vAlign w:val="center"/>
                </w:tcPr>
                <w:p w14:paraId="17382733">
                  <w:pPr>
                    <w:widowControl/>
                    <w:adjustRightInd w:val="0"/>
                    <w:snapToGrid w:val="0"/>
                    <w:jc w:val="center"/>
                    <w:rPr>
                      <w:color w:val="auto"/>
                      <w:kern w:val="0"/>
                      <w:szCs w:val="21"/>
                    </w:rPr>
                  </w:pPr>
                </w:p>
              </w:tc>
              <w:tc>
                <w:tcPr>
                  <w:tcW w:w="326" w:type="pct"/>
                  <w:vMerge w:val="continue"/>
                  <w:vAlign w:val="center"/>
                </w:tcPr>
                <w:p w14:paraId="17382734">
                  <w:pPr>
                    <w:widowControl/>
                    <w:adjustRightInd w:val="0"/>
                    <w:snapToGrid w:val="0"/>
                    <w:jc w:val="center"/>
                    <w:rPr>
                      <w:color w:val="auto"/>
                      <w:kern w:val="0"/>
                      <w:szCs w:val="21"/>
                    </w:rPr>
                  </w:pPr>
                </w:p>
              </w:tc>
              <w:tc>
                <w:tcPr>
                  <w:tcW w:w="338" w:type="pct"/>
                  <w:vMerge w:val="continue"/>
                  <w:vAlign w:val="center"/>
                </w:tcPr>
                <w:p w14:paraId="17382735">
                  <w:pPr>
                    <w:adjustRightInd w:val="0"/>
                    <w:snapToGrid w:val="0"/>
                    <w:jc w:val="center"/>
                    <w:rPr>
                      <w:color w:val="auto"/>
                      <w:szCs w:val="21"/>
                    </w:rPr>
                  </w:pPr>
                </w:p>
              </w:tc>
              <w:tc>
                <w:tcPr>
                  <w:tcW w:w="756" w:type="pct"/>
                  <w:vMerge w:val="continue"/>
                  <w:vAlign w:val="center"/>
                </w:tcPr>
                <w:p w14:paraId="17382736">
                  <w:pPr>
                    <w:pStyle w:val="136"/>
                    <w:spacing w:before="24" w:after="24"/>
                    <w:rPr>
                      <w:rFonts w:ascii="Times New Roman"/>
                      <w:color w:val="auto"/>
                    </w:rPr>
                  </w:pPr>
                </w:p>
              </w:tc>
              <w:tc>
                <w:tcPr>
                  <w:tcW w:w="684" w:type="pct"/>
                  <w:vMerge w:val="continue"/>
                  <w:vAlign w:val="center"/>
                </w:tcPr>
                <w:p w14:paraId="17382737">
                  <w:pPr>
                    <w:pStyle w:val="136"/>
                    <w:spacing w:before="24" w:after="24"/>
                    <w:rPr>
                      <w:rFonts w:ascii="Times New Roman"/>
                      <w:color w:val="auto"/>
                    </w:rPr>
                  </w:pPr>
                </w:p>
              </w:tc>
              <w:tc>
                <w:tcPr>
                  <w:tcW w:w="345" w:type="pct"/>
                  <w:vMerge w:val="continue"/>
                  <w:vAlign w:val="center"/>
                </w:tcPr>
                <w:p w14:paraId="17382738">
                  <w:pPr>
                    <w:adjustRightInd w:val="0"/>
                    <w:snapToGrid w:val="0"/>
                    <w:jc w:val="center"/>
                    <w:rPr>
                      <w:color w:val="auto"/>
                      <w:szCs w:val="21"/>
                    </w:rPr>
                  </w:pPr>
                </w:p>
              </w:tc>
              <w:tc>
                <w:tcPr>
                  <w:tcW w:w="267" w:type="pct"/>
                  <w:vMerge w:val="continue"/>
                  <w:vAlign w:val="center"/>
                </w:tcPr>
                <w:p w14:paraId="17382739">
                  <w:pPr>
                    <w:adjustRightInd w:val="0"/>
                    <w:snapToGrid w:val="0"/>
                    <w:jc w:val="center"/>
                    <w:rPr>
                      <w:color w:val="auto"/>
                      <w:szCs w:val="21"/>
                    </w:rPr>
                  </w:pPr>
                </w:p>
              </w:tc>
              <w:tc>
                <w:tcPr>
                  <w:tcW w:w="210" w:type="pct"/>
                  <w:vMerge w:val="continue"/>
                  <w:vAlign w:val="center"/>
                </w:tcPr>
                <w:p w14:paraId="1738273A">
                  <w:pPr>
                    <w:adjustRightInd w:val="0"/>
                    <w:snapToGrid w:val="0"/>
                    <w:jc w:val="center"/>
                    <w:rPr>
                      <w:color w:val="auto"/>
                      <w:szCs w:val="21"/>
                    </w:rPr>
                  </w:pPr>
                </w:p>
              </w:tc>
              <w:tc>
                <w:tcPr>
                  <w:tcW w:w="210" w:type="pct"/>
                  <w:vMerge w:val="continue"/>
                  <w:vAlign w:val="center"/>
                </w:tcPr>
                <w:p w14:paraId="1738273B">
                  <w:pPr>
                    <w:adjustRightInd w:val="0"/>
                    <w:snapToGrid w:val="0"/>
                    <w:jc w:val="center"/>
                    <w:rPr>
                      <w:color w:val="auto"/>
                      <w:kern w:val="0"/>
                      <w:szCs w:val="21"/>
                    </w:rPr>
                  </w:pPr>
                </w:p>
              </w:tc>
              <w:tc>
                <w:tcPr>
                  <w:tcW w:w="189" w:type="pct"/>
                  <w:vMerge w:val="continue"/>
                  <w:vAlign w:val="center"/>
                </w:tcPr>
                <w:p w14:paraId="1738273C">
                  <w:pPr>
                    <w:widowControl/>
                    <w:adjustRightInd w:val="0"/>
                    <w:snapToGrid w:val="0"/>
                    <w:jc w:val="center"/>
                    <w:rPr>
                      <w:color w:val="auto"/>
                      <w:kern w:val="0"/>
                      <w:szCs w:val="21"/>
                    </w:rPr>
                  </w:pPr>
                </w:p>
              </w:tc>
              <w:tc>
                <w:tcPr>
                  <w:tcW w:w="868" w:type="dxa"/>
                  <w:vAlign w:val="center"/>
                </w:tcPr>
                <w:p w14:paraId="1738273D">
                  <w:pPr>
                    <w:adjustRightInd w:val="0"/>
                    <w:snapToGrid w:val="0"/>
                    <w:jc w:val="center"/>
                    <w:rPr>
                      <w:color w:val="auto"/>
                      <w:kern w:val="0"/>
                      <w:szCs w:val="21"/>
                    </w:rPr>
                  </w:pPr>
                  <w:r>
                    <w:rPr>
                      <w:rFonts w:hint="eastAsia"/>
                      <w:bCs/>
                      <w:color w:val="auto"/>
                      <w:szCs w:val="21"/>
                    </w:rPr>
                    <w:t>非甲烷总烃</w:t>
                  </w:r>
                </w:p>
              </w:tc>
              <w:tc>
                <w:tcPr>
                  <w:tcW w:w="1107" w:type="dxa"/>
                  <w:vAlign w:val="center"/>
                </w:tcPr>
                <w:p w14:paraId="1738273E">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0.8484 </w:t>
                  </w:r>
                </w:p>
              </w:tc>
              <w:tc>
                <w:tcPr>
                  <w:tcW w:w="1037" w:type="dxa"/>
                  <w:vAlign w:val="center"/>
                </w:tcPr>
                <w:p w14:paraId="1738273F">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0.0076 </w:t>
                  </w:r>
                </w:p>
              </w:tc>
              <w:tc>
                <w:tcPr>
                  <w:tcW w:w="1052" w:type="dxa"/>
                  <w:vAlign w:val="center"/>
                </w:tcPr>
                <w:p w14:paraId="17382740">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0.0183 </w:t>
                  </w:r>
                </w:p>
              </w:tc>
            </w:tr>
            <w:tr w14:paraId="1738275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105" w:type="pct"/>
                  <w:vMerge w:val="continue"/>
                  <w:vAlign w:val="center"/>
                </w:tcPr>
                <w:p w14:paraId="17382742">
                  <w:pPr>
                    <w:widowControl/>
                    <w:adjustRightInd w:val="0"/>
                    <w:snapToGrid w:val="0"/>
                    <w:jc w:val="center"/>
                    <w:rPr>
                      <w:color w:val="auto"/>
                      <w:kern w:val="0"/>
                      <w:szCs w:val="21"/>
                    </w:rPr>
                  </w:pPr>
                </w:p>
              </w:tc>
              <w:tc>
                <w:tcPr>
                  <w:tcW w:w="326" w:type="pct"/>
                  <w:vMerge w:val="continue"/>
                  <w:vAlign w:val="center"/>
                </w:tcPr>
                <w:p w14:paraId="17382743">
                  <w:pPr>
                    <w:widowControl/>
                    <w:adjustRightInd w:val="0"/>
                    <w:snapToGrid w:val="0"/>
                    <w:jc w:val="center"/>
                    <w:rPr>
                      <w:color w:val="auto"/>
                      <w:kern w:val="0"/>
                      <w:szCs w:val="21"/>
                    </w:rPr>
                  </w:pPr>
                </w:p>
              </w:tc>
              <w:tc>
                <w:tcPr>
                  <w:tcW w:w="338" w:type="pct"/>
                  <w:vMerge w:val="continue"/>
                  <w:vAlign w:val="center"/>
                </w:tcPr>
                <w:p w14:paraId="17382744">
                  <w:pPr>
                    <w:adjustRightInd w:val="0"/>
                    <w:snapToGrid w:val="0"/>
                    <w:jc w:val="center"/>
                    <w:rPr>
                      <w:color w:val="auto"/>
                      <w:szCs w:val="21"/>
                    </w:rPr>
                  </w:pPr>
                </w:p>
              </w:tc>
              <w:tc>
                <w:tcPr>
                  <w:tcW w:w="756" w:type="pct"/>
                  <w:vMerge w:val="continue"/>
                  <w:vAlign w:val="center"/>
                </w:tcPr>
                <w:p w14:paraId="17382745">
                  <w:pPr>
                    <w:pStyle w:val="136"/>
                    <w:spacing w:before="24" w:after="24"/>
                    <w:rPr>
                      <w:rFonts w:ascii="Times New Roman"/>
                      <w:color w:val="auto"/>
                    </w:rPr>
                  </w:pPr>
                </w:p>
              </w:tc>
              <w:tc>
                <w:tcPr>
                  <w:tcW w:w="684" w:type="pct"/>
                  <w:vMerge w:val="continue"/>
                  <w:vAlign w:val="center"/>
                </w:tcPr>
                <w:p w14:paraId="17382746">
                  <w:pPr>
                    <w:pStyle w:val="136"/>
                    <w:spacing w:before="24" w:after="24"/>
                    <w:rPr>
                      <w:rFonts w:ascii="Times New Roman"/>
                      <w:color w:val="auto"/>
                    </w:rPr>
                  </w:pPr>
                </w:p>
              </w:tc>
              <w:tc>
                <w:tcPr>
                  <w:tcW w:w="345" w:type="pct"/>
                  <w:vMerge w:val="continue"/>
                  <w:vAlign w:val="center"/>
                </w:tcPr>
                <w:p w14:paraId="17382747">
                  <w:pPr>
                    <w:adjustRightInd w:val="0"/>
                    <w:snapToGrid w:val="0"/>
                    <w:jc w:val="center"/>
                    <w:rPr>
                      <w:color w:val="auto"/>
                      <w:szCs w:val="21"/>
                    </w:rPr>
                  </w:pPr>
                </w:p>
              </w:tc>
              <w:tc>
                <w:tcPr>
                  <w:tcW w:w="267" w:type="pct"/>
                  <w:vMerge w:val="continue"/>
                  <w:vAlign w:val="center"/>
                </w:tcPr>
                <w:p w14:paraId="17382748">
                  <w:pPr>
                    <w:adjustRightInd w:val="0"/>
                    <w:snapToGrid w:val="0"/>
                    <w:jc w:val="center"/>
                    <w:rPr>
                      <w:color w:val="auto"/>
                      <w:szCs w:val="21"/>
                    </w:rPr>
                  </w:pPr>
                </w:p>
              </w:tc>
              <w:tc>
                <w:tcPr>
                  <w:tcW w:w="210" w:type="pct"/>
                  <w:vMerge w:val="continue"/>
                  <w:vAlign w:val="center"/>
                </w:tcPr>
                <w:p w14:paraId="17382749">
                  <w:pPr>
                    <w:adjustRightInd w:val="0"/>
                    <w:snapToGrid w:val="0"/>
                    <w:jc w:val="center"/>
                    <w:rPr>
                      <w:color w:val="auto"/>
                      <w:szCs w:val="21"/>
                    </w:rPr>
                  </w:pPr>
                </w:p>
              </w:tc>
              <w:tc>
                <w:tcPr>
                  <w:tcW w:w="210" w:type="pct"/>
                  <w:vMerge w:val="continue"/>
                  <w:vAlign w:val="center"/>
                </w:tcPr>
                <w:p w14:paraId="1738274A">
                  <w:pPr>
                    <w:adjustRightInd w:val="0"/>
                    <w:snapToGrid w:val="0"/>
                    <w:jc w:val="center"/>
                    <w:rPr>
                      <w:color w:val="auto"/>
                      <w:kern w:val="0"/>
                      <w:szCs w:val="21"/>
                    </w:rPr>
                  </w:pPr>
                </w:p>
              </w:tc>
              <w:tc>
                <w:tcPr>
                  <w:tcW w:w="189" w:type="pct"/>
                  <w:vMerge w:val="continue"/>
                  <w:vAlign w:val="center"/>
                </w:tcPr>
                <w:p w14:paraId="1738274B">
                  <w:pPr>
                    <w:widowControl/>
                    <w:adjustRightInd w:val="0"/>
                    <w:snapToGrid w:val="0"/>
                    <w:jc w:val="center"/>
                    <w:rPr>
                      <w:color w:val="auto"/>
                      <w:kern w:val="0"/>
                      <w:szCs w:val="21"/>
                    </w:rPr>
                  </w:pPr>
                </w:p>
              </w:tc>
              <w:tc>
                <w:tcPr>
                  <w:tcW w:w="868" w:type="dxa"/>
                  <w:vAlign w:val="center"/>
                </w:tcPr>
                <w:p w14:paraId="1738274C">
                  <w:pPr>
                    <w:adjustRightInd w:val="0"/>
                    <w:snapToGrid w:val="0"/>
                    <w:jc w:val="center"/>
                    <w:rPr>
                      <w:color w:val="auto"/>
                      <w:kern w:val="0"/>
                      <w:szCs w:val="21"/>
                    </w:rPr>
                  </w:pPr>
                  <w:r>
                    <w:rPr>
                      <w:rFonts w:hint="eastAsia"/>
                      <w:bCs/>
                      <w:color w:val="auto"/>
                      <w:szCs w:val="21"/>
                    </w:rPr>
                    <w:t>苯乙烯</w:t>
                  </w:r>
                </w:p>
              </w:tc>
              <w:tc>
                <w:tcPr>
                  <w:tcW w:w="1107" w:type="dxa"/>
                  <w:vAlign w:val="center"/>
                </w:tcPr>
                <w:p w14:paraId="1738274D">
                  <w:pPr>
                    <w:widowControl/>
                    <w:jc w:val="center"/>
                    <w:textAlignment w:val="center"/>
                    <w:rPr>
                      <w:color w:val="auto"/>
                      <w:kern w:val="0"/>
                      <w:szCs w:val="21"/>
                      <w:lang w:bidi="ar"/>
                    </w:rPr>
                  </w:pPr>
                  <w:r>
                    <w:rPr>
                      <w:color w:val="auto"/>
                      <w:kern w:val="0"/>
                      <w:szCs w:val="21"/>
                      <w:lang w:bidi="ar"/>
                    </w:rPr>
                    <w:t xml:space="preserve">0.2083 </w:t>
                  </w:r>
                </w:p>
              </w:tc>
              <w:tc>
                <w:tcPr>
                  <w:tcW w:w="1037" w:type="dxa"/>
                  <w:vAlign w:val="center"/>
                </w:tcPr>
                <w:p w14:paraId="1738274E">
                  <w:pPr>
                    <w:widowControl/>
                    <w:jc w:val="center"/>
                    <w:textAlignment w:val="center"/>
                    <w:rPr>
                      <w:color w:val="auto"/>
                      <w:kern w:val="0"/>
                      <w:szCs w:val="21"/>
                      <w:lang w:bidi="ar"/>
                    </w:rPr>
                  </w:pPr>
                  <w:r>
                    <w:rPr>
                      <w:color w:val="auto"/>
                      <w:kern w:val="0"/>
                      <w:szCs w:val="21"/>
                      <w:lang w:bidi="ar"/>
                    </w:rPr>
                    <w:t xml:space="preserve">0.0019 </w:t>
                  </w:r>
                </w:p>
              </w:tc>
              <w:tc>
                <w:tcPr>
                  <w:tcW w:w="1052" w:type="dxa"/>
                  <w:vAlign w:val="center"/>
                </w:tcPr>
                <w:p w14:paraId="1738274F">
                  <w:pPr>
                    <w:widowControl/>
                    <w:jc w:val="center"/>
                    <w:textAlignment w:val="center"/>
                    <w:rPr>
                      <w:color w:val="auto"/>
                      <w:kern w:val="0"/>
                      <w:szCs w:val="21"/>
                      <w:lang w:bidi="ar"/>
                    </w:rPr>
                  </w:pPr>
                  <w:r>
                    <w:rPr>
                      <w:color w:val="auto"/>
                      <w:kern w:val="0"/>
                      <w:szCs w:val="21"/>
                      <w:lang w:bidi="ar"/>
                    </w:rPr>
                    <w:t xml:space="preserve">0.0045 </w:t>
                  </w:r>
                </w:p>
              </w:tc>
            </w:tr>
            <w:tr w14:paraId="1738275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105" w:type="pct"/>
                  <w:vAlign w:val="center"/>
                </w:tcPr>
                <w:p w14:paraId="17382751">
                  <w:pPr>
                    <w:widowControl/>
                    <w:adjustRightInd w:val="0"/>
                    <w:snapToGrid w:val="0"/>
                    <w:jc w:val="center"/>
                    <w:rPr>
                      <w:color w:val="auto"/>
                      <w:kern w:val="0"/>
                      <w:szCs w:val="21"/>
                    </w:rPr>
                  </w:pPr>
                  <w:r>
                    <w:rPr>
                      <w:rFonts w:hint="eastAsia"/>
                      <w:color w:val="auto"/>
                      <w:kern w:val="0"/>
                      <w:szCs w:val="21"/>
                    </w:rPr>
                    <w:t>2</w:t>
                  </w:r>
                </w:p>
              </w:tc>
              <w:tc>
                <w:tcPr>
                  <w:tcW w:w="326" w:type="pct"/>
                  <w:vAlign w:val="center"/>
                </w:tcPr>
                <w:p w14:paraId="17382752">
                  <w:pPr>
                    <w:widowControl/>
                    <w:adjustRightInd w:val="0"/>
                    <w:snapToGrid w:val="0"/>
                    <w:jc w:val="center"/>
                    <w:rPr>
                      <w:color w:val="auto"/>
                      <w:kern w:val="0"/>
                      <w:szCs w:val="21"/>
                    </w:rPr>
                  </w:pPr>
                  <w:r>
                    <w:rPr>
                      <w:rFonts w:hint="eastAsia"/>
                      <w:color w:val="auto"/>
                      <w:kern w:val="0"/>
                      <w:szCs w:val="21"/>
                    </w:rPr>
                    <w:t>DA002</w:t>
                  </w:r>
                </w:p>
              </w:tc>
              <w:tc>
                <w:tcPr>
                  <w:tcW w:w="338" w:type="pct"/>
                  <w:vAlign w:val="center"/>
                </w:tcPr>
                <w:p w14:paraId="17382753">
                  <w:pPr>
                    <w:adjustRightInd w:val="0"/>
                    <w:snapToGrid w:val="0"/>
                    <w:jc w:val="center"/>
                    <w:rPr>
                      <w:color w:val="auto"/>
                      <w:szCs w:val="21"/>
                    </w:rPr>
                  </w:pPr>
                  <w:r>
                    <w:rPr>
                      <w:color w:val="auto"/>
                      <w:szCs w:val="21"/>
                    </w:rPr>
                    <w:t>一般排放口</w:t>
                  </w:r>
                </w:p>
              </w:tc>
              <w:tc>
                <w:tcPr>
                  <w:tcW w:w="756" w:type="pct"/>
                  <w:vAlign w:val="center"/>
                </w:tcPr>
                <w:p w14:paraId="17382754">
                  <w:pPr>
                    <w:pStyle w:val="136"/>
                    <w:spacing w:before="24" w:after="24"/>
                    <w:rPr>
                      <w:rFonts w:ascii="Times New Roman"/>
                      <w:color w:val="auto"/>
                      <w:lang w:val="en-US"/>
                    </w:rPr>
                  </w:pPr>
                  <w:r>
                    <w:rPr>
                      <w:rFonts w:hint="eastAsia" w:ascii="Times New Roman"/>
                      <w:color w:val="auto"/>
                      <w:lang w:val="en-US"/>
                    </w:rPr>
                    <w:t>118.923336</w:t>
                  </w:r>
                </w:p>
              </w:tc>
              <w:tc>
                <w:tcPr>
                  <w:tcW w:w="684" w:type="pct"/>
                  <w:vAlign w:val="center"/>
                </w:tcPr>
                <w:p w14:paraId="17382755">
                  <w:pPr>
                    <w:pStyle w:val="136"/>
                    <w:spacing w:before="24" w:after="24"/>
                    <w:rPr>
                      <w:rFonts w:ascii="Times New Roman"/>
                      <w:color w:val="auto"/>
                      <w:lang w:val="en-US"/>
                    </w:rPr>
                  </w:pPr>
                  <w:r>
                    <w:rPr>
                      <w:rFonts w:hint="eastAsia" w:ascii="Times New Roman"/>
                      <w:color w:val="auto"/>
                      <w:lang w:val="en-US"/>
                    </w:rPr>
                    <w:t>33.535308</w:t>
                  </w:r>
                </w:p>
              </w:tc>
              <w:tc>
                <w:tcPr>
                  <w:tcW w:w="345" w:type="pct"/>
                  <w:vAlign w:val="center"/>
                </w:tcPr>
                <w:p w14:paraId="17382756">
                  <w:pPr>
                    <w:adjustRightInd w:val="0"/>
                    <w:snapToGrid w:val="0"/>
                    <w:jc w:val="center"/>
                    <w:rPr>
                      <w:color w:val="auto"/>
                      <w:szCs w:val="21"/>
                    </w:rPr>
                  </w:pPr>
                  <w:r>
                    <w:rPr>
                      <w:rFonts w:hint="eastAsia"/>
                      <w:color w:val="auto"/>
                      <w:szCs w:val="21"/>
                    </w:rPr>
                    <w:t>13.50</w:t>
                  </w:r>
                </w:p>
              </w:tc>
              <w:tc>
                <w:tcPr>
                  <w:tcW w:w="267" w:type="pct"/>
                  <w:vAlign w:val="center"/>
                </w:tcPr>
                <w:p w14:paraId="17382757">
                  <w:pPr>
                    <w:adjustRightInd w:val="0"/>
                    <w:snapToGrid w:val="0"/>
                    <w:jc w:val="center"/>
                    <w:rPr>
                      <w:color w:val="auto"/>
                      <w:szCs w:val="21"/>
                    </w:rPr>
                  </w:pPr>
                  <w:r>
                    <w:rPr>
                      <w:color w:val="auto"/>
                      <w:szCs w:val="21"/>
                    </w:rPr>
                    <w:t>15</w:t>
                  </w:r>
                </w:p>
              </w:tc>
              <w:tc>
                <w:tcPr>
                  <w:tcW w:w="210" w:type="pct"/>
                  <w:vAlign w:val="center"/>
                </w:tcPr>
                <w:p w14:paraId="17382758">
                  <w:pPr>
                    <w:adjustRightInd w:val="0"/>
                    <w:snapToGrid w:val="0"/>
                    <w:jc w:val="center"/>
                    <w:rPr>
                      <w:color w:val="auto"/>
                      <w:szCs w:val="21"/>
                    </w:rPr>
                  </w:pPr>
                  <w:r>
                    <w:rPr>
                      <w:rFonts w:hint="eastAsia"/>
                      <w:color w:val="auto"/>
                      <w:szCs w:val="21"/>
                    </w:rPr>
                    <w:t>0.5</w:t>
                  </w:r>
                </w:p>
              </w:tc>
              <w:tc>
                <w:tcPr>
                  <w:tcW w:w="210" w:type="pct"/>
                  <w:vAlign w:val="center"/>
                </w:tcPr>
                <w:p w14:paraId="17382759">
                  <w:pPr>
                    <w:adjustRightInd w:val="0"/>
                    <w:snapToGrid w:val="0"/>
                    <w:jc w:val="center"/>
                    <w:rPr>
                      <w:color w:val="auto"/>
                      <w:kern w:val="0"/>
                      <w:szCs w:val="21"/>
                    </w:rPr>
                  </w:pPr>
                  <w:r>
                    <w:rPr>
                      <w:color w:val="auto"/>
                      <w:kern w:val="0"/>
                      <w:szCs w:val="21"/>
                    </w:rPr>
                    <w:t>25</w:t>
                  </w:r>
                </w:p>
              </w:tc>
              <w:tc>
                <w:tcPr>
                  <w:tcW w:w="189" w:type="pct"/>
                  <w:vAlign w:val="center"/>
                </w:tcPr>
                <w:p w14:paraId="1738275A">
                  <w:pPr>
                    <w:widowControl/>
                    <w:adjustRightInd w:val="0"/>
                    <w:snapToGrid w:val="0"/>
                    <w:jc w:val="center"/>
                    <w:rPr>
                      <w:color w:val="auto"/>
                      <w:kern w:val="0"/>
                      <w:szCs w:val="21"/>
                    </w:rPr>
                  </w:pPr>
                  <w:r>
                    <w:rPr>
                      <w:color w:val="auto"/>
                      <w:kern w:val="0"/>
                      <w:szCs w:val="21"/>
                    </w:rPr>
                    <w:t>正常</w:t>
                  </w:r>
                </w:p>
              </w:tc>
              <w:tc>
                <w:tcPr>
                  <w:tcW w:w="334" w:type="pct"/>
                  <w:vAlign w:val="center"/>
                </w:tcPr>
                <w:p w14:paraId="1738275B">
                  <w:pPr>
                    <w:adjustRightInd w:val="0"/>
                    <w:snapToGrid w:val="0"/>
                    <w:jc w:val="center"/>
                    <w:rPr>
                      <w:color w:val="auto"/>
                      <w:kern w:val="0"/>
                      <w:szCs w:val="21"/>
                    </w:rPr>
                  </w:pPr>
                  <w:r>
                    <w:rPr>
                      <w:color w:val="auto"/>
                      <w:kern w:val="0"/>
                      <w:szCs w:val="21"/>
                    </w:rPr>
                    <w:t>颗粒物</w:t>
                  </w:r>
                </w:p>
              </w:tc>
              <w:tc>
                <w:tcPr>
                  <w:tcW w:w="1107" w:type="dxa"/>
                  <w:vAlign w:val="center"/>
                </w:tcPr>
                <w:p w14:paraId="1738275C">
                  <w:pPr>
                    <w:widowControl/>
                    <w:jc w:val="center"/>
                    <w:textAlignment w:val="center"/>
                    <w:rPr>
                      <w:color w:val="auto"/>
                      <w:kern w:val="0"/>
                      <w:szCs w:val="21"/>
                      <w:lang w:bidi="ar"/>
                    </w:rPr>
                  </w:pPr>
                  <w:r>
                    <w:rPr>
                      <w:color w:val="auto"/>
                      <w:kern w:val="0"/>
                      <w:szCs w:val="21"/>
                      <w:lang w:bidi="ar"/>
                    </w:rPr>
                    <w:t xml:space="preserve">3.2402 </w:t>
                  </w:r>
                </w:p>
              </w:tc>
              <w:tc>
                <w:tcPr>
                  <w:tcW w:w="1037" w:type="dxa"/>
                  <w:vAlign w:val="center"/>
                </w:tcPr>
                <w:p w14:paraId="1738275D">
                  <w:pPr>
                    <w:widowControl/>
                    <w:jc w:val="center"/>
                    <w:textAlignment w:val="center"/>
                    <w:rPr>
                      <w:color w:val="auto"/>
                      <w:kern w:val="0"/>
                      <w:szCs w:val="21"/>
                      <w:lang w:bidi="ar"/>
                    </w:rPr>
                  </w:pPr>
                  <w:r>
                    <w:rPr>
                      <w:color w:val="auto"/>
                      <w:kern w:val="0"/>
                      <w:szCs w:val="21"/>
                      <w:lang w:bidi="ar"/>
                    </w:rPr>
                    <w:t xml:space="preserve">0.0324 </w:t>
                  </w:r>
                </w:p>
              </w:tc>
              <w:tc>
                <w:tcPr>
                  <w:tcW w:w="1052" w:type="dxa"/>
                  <w:vAlign w:val="center"/>
                </w:tcPr>
                <w:p w14:paraId="1738275E">
                  <w:pPr>
                    <w:widowControl/>
                    <w:jc w:val="center"/>
                    <w:textAlignment w:val="center"/>
                    <w:rPr>
                      <w:color w:val="auto"/>
                      <w:kern w:val="0"/>
                      <w:szCs w:val="21"/>
                      <w:lang w:bidi="ar"/>
                    </w:rPr>
                  </w:pPr>
                  <w:r>
                    <w:rPr>
                      <w:color w:val="auto"/>
                      <w:kern w:val="0"/>
                      <w:szCs w:val="21"/>
                      <w:lang w:bidi="ar"/>
                    </w:rPr>
                    <w:t xml:space="preserve">0.0778 </w:t>
                  </w:r>
                </w:p>
              </w:tc>
            </w:tr>
            <w:tr w14:paraId="1738276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trHeight w:val="482" w:hRule="atLeast"/>
              </w:trPr>
              <w:tc>
                <w:tcPr>
                  <w:tcW w:w="105" w:type="pct"/>
                  <w:vAlign w:val="center"/>
                </w:tcPr>
                <w:p w14:paraId="17382760">
                  <w:pPr>
                    <w:widowControl/>
                    <w:adjustRightInd w:val="0"/>
                    <w:snapToGrid w:val="0"/>
                    <w:jc w:val="center"/>
                    <w:rPr>
                      <w:color w:val="auto"/>
                      <w:kern w:val="0"/>
                      <w:szCs w:val="21"/>
                    </w:rPr>
                  </w:pPr>
                  <w:r>
                    <w:rPr>
                      <w:rFonts w:hint="eastAsia"/>
                      <w:color w:val="auto"/>
                      <w:kern w:val="0"/>
                      <w:szCs w:val="21"/>
                    </w:rPr>
                    <w:t>3</w:t>
                  </w:r>
                </w:p>
              </w:tc>
              <w:tc>
                <w:tcPr>
                  <w:tcW w:w="326" w:type="pct"/>
                  <w:vAlign w:val="center"/>
                </w:tcPr>
                <w:p w14:paraId="17382761">
                  <w:pPr>
                    <w:widowControl/>
                    <w:adjustRightInd w:val="0"/>
                    <w:snapToGrid w:val="0"/>
                    <w:jc w:val="center"/>
                    <w:rPr>
                      <w:color w:val="auto"/>
                      <w:kern w:val="0"/>
                      <w:szCs w:val="21"/>
                    </w:rPr>
                  </w:pPr>
                  <w:r>
                    <w:rPr>
                      <w:rFonts w:hint="eastAsia"/>
                      <w:color w:val="auto"/>
                      <w:kern w:val="0"/>
                      <w:szCs w:val="21"/>
                    </w:rPr>
                    <w:t>DA003</w:t>
                  </w:r>
                </w:p>
              </w:tc>
              <w:tc>
                <w:tcPr>
                  <w:tcW w:w="338" w:type="pct"/>
                  <w:vAlign w:val="center"/>
                </w:tcPr>
                <w:p w14:paraId="17382762">
                  <w:pPr>
                    <w:adjustRightInd w:val="0"/>
                    <w:snapToGrid w:val="0"/>
                    <w:jc w:val="center"/>
                    <w:rPr>
                      <w:color w:val="auto"/>
                      <w:szCs w:val="21"/>
                    </w:rPr>
                  </w:pPr>
                  <w:r>
                    <w:rPr>
                      <w:color w:val="auto"/>
                      <w:szCs w:val="21"/>
                    </w:rPr>
                    <w:t>一般排放口</w:t>
                  </w:r>
                </w:p>
              </w:tc>
              <w:tc>
                <w:tcPr>
                  <w:tcW w:w="756" w:type="pct"/>
                  <w:vAlign w:val="center"/>
                </w:tcPr>
                <w:p w14:paraId="17382763">
                  <w:pPr>
                    <w:pStyle w:val="136"/>
                    <w:spacing w:before="24" w:after="24"/>
                    <w:rPr>
                      <w:rFonts w:ascii="Times New Roman"/>
                      <w:color w:val="auto"/>
                      <w:lang w:val="en-US"/>
                    </w:rPr>
                  </w:pPr>
                  <w:r>
                    <w:rPr>
                      <w:rFonts w:hint="eastAsia" w:ascii="Times New Roman"/>
                      <w:color w:val="auto"/>
                      <w:lang w:val="en-US"/>
                    </w:rPr>
                    <w:t>118.923293</w:t>
                  </w:r>
                </w:p>
              </w:tc>
              <w:tc>
                <w:tcPr>
                  <w:tcW w:w="684" w:type="pct"/>
                  <w:vAlign w:val="center"/>
                </w:tcPr>
                <w:p w14:paraId="17382764">
                  <w:pPr>
                    <w:pStyle w:val="136"/>
                    <w:spacing w:before="24" w:after="24"/>
                    <w:rPr>
                      <w:rFonts w:ascii="Times New Roman"/>
                      <w:color w:val="auto"/>
                      <w:lang w:val="en-US"/>
                    </w:rPr>
                  </w:pPr>
                  <w:r>
                    <w:rPr>
                      <w:rFonts w:hint="eastAsia" w:ascii="Times New Roman"/>
                      <w:color w:val="auto"/>
                      <w:lang w:val="en-US"/>
                    </w:rPr>
                    <w:t>33.535267</w:t>
                  </w:r>
                </w:p>
              </w:tc>
              <w:tc>
                <w:tcPr>
                  <w:tcW w:w="345" w:type="pct"/>
                  <w:vAlign w:val="center"/>
                </w:tcPr>
                <w:p w14:paraId="17382765">
                  <w:pPr>
                    <w:adjustRightInd w:val="0"/>
                    <w:snapToGrid w:val="0"/>
                    <w:jc w:val="center"/>
                    <w:rPr>
                      <w:color w:val="auto"/>
                      <w:szCs w:val="21"/>
                    </w:rPr>
                  </w:pPr>
                  <w:r>
                    <w:rPr>
                      <w:rFonts w:hint="eastAsia"/>
                      <w:color w:val="auto"/>
                      <w:szCs w:val="21"/>
                    </w:rPr>
                    <w:t>13.50</w:t>
                  </w:r>
                </w:p>
              </w:tc>
              <w:tc>
                <w:tcPr>
                  <w:tcW w:w="267" w:type="pct"/>
                  <w:vAlign w:val="center"/>
                </w:tcPr>
                <w:p w14:paraId="17382766">
                  <w:pPr>
                    <w:adjustRightInd w:val="0"/>
                    <w:snapToGrid w:val="0"/>
                    <w:jc w:val="center"/>
                    <w:rPr>
                      <w:color w:val="auto"/>
                      <w:szCs w:val="21"/>
                    </w:rPr>
                  </w:pPr>
                  <w:r>
                    <w:rPr>
                      <w:color w:val="auto"/>
                      <w:szCs w:val="21"/>
                    </w:rPr>
                    <w:t>15</w:t>
                  </w:r>
                </w:p>
              </w:tc>
              <w:tc>
                <w:tcPr>
                  <w:tcW w:w="210" w:type="pct"/>
                  <w:vAlign w:val="center"/>
                </w:tcPr>
                <w:p w14:paraId="17382767">
                  <w:pPr>
                    <w:adjustRightInd w:val="0"/>
                    <w:snapToGrid w:val="0"/>
                    <w:jc w:val="center"/>
                    <w:rPr>
                      <w:color w:val="auto"/>
                      <w:szCs w:val="21"/>
                    </w:rPr>
                  </w:pPr>
                  <w:r>
                    <w:rPr>
                      <w:rFonts w:hint="eastAsia"/>
                      <w:color w:val="auto"/>
                      <w:szCs w:val="21"/>
                    </w:rPr>
                    <w:t>0.3</w:t>
                  </w:r>
                </w:p>
              </w:tc>
              <w:tc>
                <w:tcPr>
                  <w:tcW w:w="210" w:type="pct"/>
                  <w:vAlign w:val="center"/>
                </w:tcPr>
                <w:p w14:paraId="17382768">
                  <w:pPr>
                    <w:adjustRightInd w:val="0"/>
                    <w:snapToGrid w:val="0"/>
                    <w:jc w:val="center"/>
                    <w:rPr>
                      <w:color w:val="auto"/>
                      <w:kern w:val="0"/>
                      <w:szCs w:val="21"/>
                    </w:rPr>
                  </w:pPr>
                  <w:r>
                    <w:rPr>
                      <w:rFonts w:hint="eastAsia"/>
                      <w:color w:val="auto"/>
                      <w:kern w:val="0"/>
                      <w:szCs w:val="21"/>
                    </w:rPr>
                    <w:t>25</w:t>
                  </w:r>
                </w:p>
              </w:tc>
              <w:tc>
                <w:tcPr>
                  <w:tcW w:w="189" w:type="pct"/>
                  <w:vAlign w:val="center"/>
                </w:tcPr>
                <w:p w14:paraId="17382769">
                  <w:pPr>
                    <w:widowControl/>
                    <w:adjustRightInd w:val="0"/>
                    <w:snapToGrid w:val="0"/>
                    <w:jc w:val="center"/>
                    <w:rPr>
                      <w:color w:val="auto"/>
                      <w:kern w:val="0"/>
                      <w:szCs w:val="21"/>
                    </w:rPr>
                  </w:pPr>
                  <w:r>
                    <w:rPr>
                      <w:color w:val="auto"/>
                      <w:kern w:val="0"/>
                      <w:szCs w:val="21"/>
                    </w:rPr>
                    <w:t>正常</w:t>
                  </w:r>
                </w:p>
              </w:tc>
              <w:tc>
                <w:tcPr>
                  <w:tcW w:w="334" w:type="pct"/>
                  <w:vAlign w:val="center"/>
                </w:tcPr>
                <w:p w14:paraId="1738276A">
                  <w:pPr>
                    <w:adjustRightInd w:val="0"/>
                    <w:snapToGrid w:val="0"/>
                    <w:jc w:val="center"/>
                    <w:rPr>
                      <w:color w:val="auto"/>
                      <w:kern w:val="0"/>
                      <w:szCs w:val="21"/>
                    </w:rPr>
                  </w:pPr>
                  <w:r>
                    <w:rPr>
                      <w:bCs/>
                      <w:color w:val="auto"/>
                      <w:kern w:val="0"/>
                      <w:szCs w:val="21"/>
                    </w:rPr>
                    <w:t>颗粒物</w:t>
                  </w:r>
                </w:p>
              </w:tc>
              <w:tc>
                <w:tcPr>
                  <w:tcW w:w="1107" w:type="dxa"/>
                  <w:vAlign w:val="center"/>
                </w:tcPr>
                <w:p w14:paraId="1738276B">
                  <w:pPr>
                    <w:widowControl/>
                    <w:jc w:val="center"/>
                    <w:textAlignment w:val="center"/>
                    <w:rPr>
                      <w:color w:val="auto"/>
                      <w:kern w:val="0"/>
                      <w:szCs w:val="21"/>
                      <w:lang w:bidi="ar"/>
                    </w:rPr>
                  </w:pPr>
                  <w:r>
                    <w:rPr>
                      <w:color w:val="auto"/>
                      <w:kern w:val="0"/>
                      <w:szCs w:val="21"/>
                      <w:lang w:bidi="ar"/>
                    </w:rPr>
                    <w:t xml:space="preserve">6.8438 </w:t>
                  </w:r>
                </w:p>
              </w:tc>
              <w:tc>
                <w:tcPr>
                  <w:tcW w:w="1037" w:type="dxa"/>
                  <w:vAlign w:val="center"/>
                </w:tcPr>
                <w:p w14:paraId="1738276C">
                  <w:pPr>
                    <w:widowControl/>
                    <w:jc w:val="center"/>
                    <w:textAlignment w:val="center"/>
                    <w:rPr>
                      <w:color w:val="auto"/>
                      <w:kern w:val="0"/>
                      <w:szCs w:val="21"/>
                      <w:lang w:bidi="ar"/>
                    </w:rPr>
                  </w:pPr>
                  <w:r>
                    <w:rPr>
                      <w:color w:val="auto"/>
                      <w:kern w:val="0"/>
                      <w:szCs w:val="21"/>
                      <w:lang w:bidi="ar"/>
                    </w:rPr>
                    <w:t xml:space="preserve">0.0205 </w:t>
                  </w:r>
                </w:p>
              </w:tc>
              <w:tc>
                <w:tcPr>
                  <w:tcW w:w="1052" w:type="dxa"/>
                  <w:vAlign w:val="center"/>
                </w:tcPr>
                <w:p w14:paraId="1738276D">
                  <w:pPr>
                    <w:widowControl/>
                    <w:jc w:val="center"/>
                    <w:textAlignment w:val="center"/>
                    <w:rPr>
                      <w:color w:val="auto"/>
                      <w:kern w:val="0"/>
                      <w:szCs w:val="21"/>
                      <w:lang w:bidi="ar"/>
                    </w:rPr>
                  </w:pPr>
                  <w:r>
                    <w:rPr>
                      <w:color w:val="auto"/>
                      <w:kern w:val="0"/>
                      <w:szCs w:val="21"/>
                      <w:lang w:bidi="ar"/>
                    </w:rPr>
                    <w:t xml:space="preserve">0.0493 </w:t>
                  </w:r>
                </w:p>
              </w:tc>
            </w:tr>
          </w:tbl>
          <w:p w14:paraId="6735FEF7">
            <w:pPr>
              <w:adjustRightInd w:val="0"/>
              <w:snapToGrid w:val="0"/>
              <w:rPr>
                <w:bCs/>
                <w:color w:val="auto"/>
                <w:sz w:val="24"/>
              </w:rPr>
            </w:pPr>
          </w:p>
        </w:tc>
      </w:tr>
    </w:tbl>
    <w:p w14:paraId="17382771">
      <w:pPr>
        <w:adjustRightInd w:val="0"/>
        <w:snapToGrid w:val="0"/>
        <w:jc w:val="center"/>
        <w:rPr>
          <w:bCs/>
          <w:color w:val="auto"/>
          <w:sz w:val="24"/>
        </w:rPr>
      </w:pPr>
      <w:r>
        <w:rPr>
          <w:bCs/>
          <w:color w:val="auto"/>
          <w:sz w:val="24"/>
        </w:rPr>
        <w:br w:type="page"/>
      </w:r>
    </w:p>
    <w:p w14:paraId="38719AB2">
      <w:pPr>
        <w:adjustRightInd w:val="0"/>
        <w:snapToGrid w:val="0"/>
        <w:jc w:val="center"/>
        <w:rPr>
          <w:bCs/>
          <w:color w:val="auto"/>
          <w:sz w:val="24"/>
        </w:rPr>
        <w:sectPr>
          <w:pgSz w:w="16838" w:h="11906" w:orient="landscape"/>
          <w:pgMar w:top="1531" w:right="1701" w:bottom="1531" w:left="1701" w:header="851" w:footer="851" w:gutter="0"/>
          <w:cols w:space="720" w:num="1"/>
          <w:docGrid w:linePitch="312" w:charSpace="0"/>
        </w:sectPr>
      </w:pPr>
    </w:p>
    <w:tbl>
      <w:tblPr>
        <w:tblStyle w:val="88"/>
        <w:tblW w:w="5044"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384"/>
        <w:gridCol w:w="8675"/>
      </w:tblGrid>
      <w:tr w14:paraId="17382EC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381" w:type="dxa"/>
            <w:tcMar>
              <w:left w:w="28" w:type="dxa"/>
              <w:right w:w="28" w:type="dxa"/>
            </w:tcMar>
            <w:vAlign w:val="center"/>
          </w:tcPr>
          <w:p w14:paraId="17382773">
            <w:pPr>
              <w:adjustRightInd w:val="0"/>
              <w:snapToGrid w:val="0"/>
              <w:jc w:val="center"/>
              <w:rPr>
                <w:bCs/>
                <w:color w:val="auto"/>
                <w:sz w:val="24"/>
              </w:rPr>
            </w:pPr>
            <w:r>
              <w:rPr>
                <w:bCs/>
                <w:color w:val="auto"/>
                <w:sz w:val="24"/>
              </w:rPr>
              <w:t>运营</w:t>
            </w:r>
          </w:p>
          <w:p w14:paraId="17382774">
            <w:pPr>
              <w:adjustRightInd w:val="0"/>
              <w:snapToGrid w:val="0"/>
              <w:jc w:val="center"/>
              <w:rPr>
                <w:bCs/>
                <w:color w:val="auto"/>
                <w:sz w:val="24"/>
              </w:rPr>
            </w:pPr>
            <w:r>
              <w:rPr>
                <w:bCs/>
                <w:color w:val="auto"/>
                <w:sz w:val="24"/>
              </w:rPr>
              <w:t>期环</w:t>
            </w:r>
          </w:p>
          <w:p w14:paraId="17382775">
            <w:pPr>
              <w:adjustRightInd w:val="0"/>
              <w:snapToGrid w:val="0"/>
              <w:jc w:val="center"/>
              <w:rPr>
                <w:bCs/>
                <w:color w:val="auto"/>
                <w:sz w:val="24"/>
              </w:rPr>
            </w:pPr>
            <w:r>
              <w:rPr>
                <w:bCs/>
                <w:color w:val="auto"/>
                <w:sz w:val="24"/>
              </w:rPr>
              <w:t>境影</w:t>
            </w:r>
          </w:p>
          <w:p w14:paraId="17382776">
            <w:pPr>
              <w:adjustRightInd w:val="0"/>
              <w:snapToGrid w:val="0"/>
              <w:jc w:val="center"/>
              <w:rPr>
                <w:bCs/>
                <w:color w:val="auto"/>
                <w:sz w:val="24"/>
              </w:rPr>
            </w:pPr>
            <w:r>
              <w:rPr>
                <w:bCs/>
                <w:color w:val="auto"/>
                <w:sz w:val="24"/>
              </w:rPr>
              <w:t>响和</w:t>
            </w:r>
          </w:p>
          <w:p w14:paraId="17382777">
            <w:pPr>
              <w:adjustRightInd w:val="0"/>
              <w:snapToGrid w:val="0"/>
              <w:jc w:val="center"/>
              <w:rPr>
                <w:bCs/>
                <w:color w:val="auto"/>
                <w:sz w:val="24"/>
              </w:rPr>
            </w:pPr>
            <w:r>
              <w:rPr>
                <w:bCs/>
                <w:color w:val="auto"/>
                <w:sz w:val="24"/>
              </w:rPr>
              <w:t>保护</w:t>
            </w:r>
          </w:p>
          <w:p w14:paraId="17382778">
            <w:pPr>
              <w:adjustRightInd w:val="0"/>
              <w:snapToGrid w:val="0"/>
              <w:jc w:val="center"/>
              <w:rPr>
                <w:bCs/>
                <w:color w:val="auto"/>
                <w:sz w:val="24"/>
              </w:rPr>
            </w:pPr>
            <w:r>
              <w:rPr>
                <w:bCs/>
                <w:color w:val="auto"/>
                <w:sz w:val="24"/>
              </w:rPr>
              <w:t>措施</w:t>
            </w:r>
          </w:p>
        </w:tc>
        <w:tc>
          <w:tcPr>
            <w:tcW w:w="8599" w:type="dxa"/>
            <w:vAlign w:val="center"/>
          </w:tcPr>
          <w:p w14:paraId="17382779">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1.</w:t>
            </w:r>
            <w:r>
              <w:rPr>
                <w:rFonts w:hint="eastAsia"/>
                <w:b/>
                <w:bCs/>
                <w:color w:val="auto"/>
                <w:sz w:val="24"/>
              </w:rPr>
              <w:t>1</w:t>
            </w:r>
            <w:r>
              <w:rPr>
                <w:b/>
                <w:bCs/>
                <w:color w:val="auto"/>
                <w:sz w:val="24"/>
              </w:rPr>
              <w:t>污染源强核算过程简述</w:t>
            </w:r>
          </w:p>
          <w:p w14:paraId="1738277A">
            <w:pPr>
              <w:widowControl/>
              <w:spacing w:line="360" w:lineRule="auto"/>
              <w:ind w:firstLine="482" w:firstLineChars="200"/>
              <w:rPr>
                <w:b/>
                <w:bCs/>
                <w:color w:val="auto"/>
                <w:sz w:val="24"/>
              </w:rPr>
            </w:pPr>
            <w:r>
              <w:rPr>
                <w:rFonts w:hint="eastAsia"/>
                <w:b/>
                <w:bCs/>
                <w:color w:val="auto"/>
                <w:sz w:val="24"/>
              </w:rPr>
              <w:t>一、废气源强核算</w:t>
            </w:r>
          </w:p>
          <w:p w14:paraId="1738277B">
            <w:pPr>
              <w:widowControl/>
              <w:spacing w:line="360" w:lineRule="auto"/>
              <w:ind w:firstLine="480" w:firstLineChars="200"/>
              <w:rPr>
                <w:color w:val="auto"/>
                <w:sz w:val="24"/>
              </w:rPr>
            </w:pPr>
            <w:r>
              <w:rPr>
                <w:color w:val="auto"/>
                <w:sz w:val="24"/>
              </w:rPr>
              <w:t>（1）投料粉尘</w:t>
            </w:r>
            <w:r>
              <w:rPr>
                <w:rFonts w:hint="eastAsia"/>
                <w:color w:val="auto"/>
                <w:sz w:val="24"/>
              </w:rPr>
              <w:t>G1</w:t>
            </w:r>
          </w:p>
          <w:p w14:paraId="1738277C">
            <w:pPr>
              <w:widowControl/>
              <w:spacing w:line="360" w:lineRule="auto"/>
              <w:ind w:firstLine="480" w:firstLineChars="200"/>
              <w:jc w:val="left"/>
              <w:rPr>
                <w:color w:val="auto"/>
                <w:kern w:val="0"/>
                <w:sz w:val="24"/>
                <w:lang w:bidi="ar"/>
              </w:rPr>
            </w:pPr>
            <w:r>
              <w:rPr>
                <w:rFonts w:hint="eastAsia"/>
                <w:color w:val="auto"/>
                <w:kern w:val="0"/>
                <w:sz w:val="24"/>
                <w:lang w:bidi="ar"/>
              </w:rPr>
              <w:t>本</w:t>
            </w:r>
            <w:r>
              <w:rPr>
                <w:color w:val="auto"/>
                <w:kern w:val="0"/>
                <w:sz w:val="24"/>
                <w:lang w:bidi="ar"/>
              </w:rPr>
              <w:t>项目使用的原辅材料</w:t>
            </w:r>
            <w:r>
              <w:rPr>
                <w:rFonts w:hint="eastAsia"/>
                <w:color w:val="auto"/>
                <w:kern w:val="0"/>
                <w:sz w:val="24"/>
                <w:lang w:bidi="ar"/>
              </w:rPr>
              <w:t>中碳酸钙</w:t>
            </w:r>
            <w:r>
              <w:rPr>
                <w:color w:val="auto"/>
                <w:kern w:val="0"/>
                <w:sz w:val="24"/>
                <w:lang w:bidi="ar"/>
              </w:rPr>
              <w:t>为</w:t>
            </w:r>
            <w:r>
              <w:rPr>
                <w:rFonts w:hint="eastAsia"/>
                <w:color w:val="auto"/>
                <w:kern w:val="0"/>
                <w:sz w:val="24"/>
                <w:lang w:bidi="ar"/>
              </w:rPr>
              <w:t>粉末</w:t>
            </w:r>
            <w:r>
              <w:rPr>
                <w:color w:val="auto"/>
                <w:kern w:val="0"/>
                <w:sz w:val="24"/>
                <w:lang w:bidi="ar"/>
              </w:rPr>
              <w:t>，因此在投料过程</w:t>
            </w:r>
            <w:r>
              <w:rPr>
                <w:rFonts w:hint="eastAsia"/>
                <w:color w:val="auto"/>
                <w:kern w:val="0"/>
                <w:sz w:val="24"/>
                <w:lang w:bidi="ar"/>
              </w:rPr>
              <w:t>中</w:t>
            </w:r>
            <w:r>
              <w:rPr>
                <w:color w:val="auto"/>
                <w:kern w:val="0"/>
                <w:sz w:val="24"/>
                <w:lang w:bidi="ar"/>
              </w:rPr>
              <w:t>将产生一定量的粉尘。参考《逸散性工业粉尘控制技术》</w:t>
            </w:r>
            <w:r>
              <w:rPr>
                <w:rFonts w:hint="eastAsia"/>
                <w:color w:val="auto"/>
                <w:kern w:val="0"/>
                <w:sz w:val="24"/>
                <w:lang w:bidi="ar"/>
              </w:rPr>
              <w:t>（中国环境科学出版社）</w:t>
            </w:r>
            <w:r>
              <w:rPr>
                <w:color w:val="auto"/>
                <w:kern w:val="0"/>
                <w:sz w:val="24"/>
                <w:lang w:bidi="ar"/>
              </w:rPr>
              <w:t>中</w:t>
            </w:r>
            <w:r>
              <w:rPr>
                <w:rFonts w:hint="eastAsia"/>
                <w:color w:val="auto"/>
                <w:kern w:val="0"/>
                <w:sz w:val="24"/>
                <w:lang w:bidi="ar"/>
              </w:rPr>
              <w:t>关于投料粉尘的说明，产生量约为原料用量的0.1%，</w:t>
            </w:r>
            <w:r>
              <w:rPr>
                <w:color w:val="auto"/>
                <w:kern w:val="0"/>
                <w:sz w:val="24"/>
                <w:lang w:bidi="ar"/>
              </w:rPr>
              <w:t>本项目</w:t>
            </w:r>
            <w:r>
              <w:rPr>
                <w:rFonts w:hint="eastAsia"/>
                <w:color w:val="auto"/>
                <w:kern w:val="0"/>
                <w:sz w:val="24"/>
                <w:lang w:bidi="ar"/>
              </w:rPr>
              <w:t>碳酸钙</w:t>
            </w:r>
            <w:r>
              <w:rPr>
                <w:color w:val="auto"/>
                <w:kern w:val="0"/>
                <w:sz w:val="24"/>
                <w:lang w:bidi="ar"/>
              </w:rPr>
              <w:t>用量为</w:t>
            </w:r>
            <w:r>
              <w:rPr>
                <w:rFonts w:hint="eastAsia"/>
                <w:color w:val="auto"/>
                <w:kern w:val="0"/>
                <w:sz w:val="24"/>
                <w:lang w:bidi="ar"/>
              </w:rPr>
              <w:t>2.5</w:t>
            </w:r>
            <w:r>
              <w:rPr>
                <w:color w:val="auto"/>
                <w:kern w:val="0"/>
                <w:sz w:val="24"/>
                <w:lang w:bidi="ar"/>
              </w:rPr>
              <w:t>t/a，则投料过程中产生的粉尘量为0.0</w:t>
            </w:r>
            <w:r>
              <w:rPr>
                <w:rFonts w:hint="eastAsia"/>
                <w:color w:val="auto"/>
                <w:kern w:val="0"/>
                <w:sz w:val="24"/>
                <w:lang w:bidi="ar"/>
              </w:rPr>
              <w:t>025</w:t>
            </w:r>
            <w:r>
              <w:rPr>
                <w:color w:val="auto"/>
                <w:kern w:val="0"/>
                <w:sz w:val="24"/>
                <w:lang w:bidi="ar"/>
              </w:rPr>
              <w:t>t/a。</w:t>
            </w:r>
          </w:p>
          <w:p w14:paraId="0977B9C4">
            <w:pPr>
              <w:widowControl/>
              <w:spacing w:line="360" w:lineRule="auto"/>
              <w:ind w:firstLine="480" w:firstLineChars="200"/>
              <w:rPr>
                <w:rFonts w:hint="eastAsia" w:ascii="Times New Roman" w:hAnsi="Times New Roman" w:eastAsia="宋体" w:cs="Times New Roman"/>
                <w:color w:val="auto"/>
                <w:sz w:val="24"/>
              </w:rPr>
            </w:pPr>
            <w:r>
              <w:rPr>
                <w:rFonts w:hint="eastAsia" w:ascii="Times New Roman" w:hAnsi="Times New Roman" w:eastAsia="宋体" w:cs="Times New Roman"/>
                <w:color w:val="auto"/>
                <w:sz w:val="24"/>
                <w:lang w:val="en-US" w:eastAsia="zh-CN"/>
              </w:rPr>
              <w:t>本项目投料、搅拌、浸纱、拉挤固化工段由1台一体化拉挤切割机及1台搅拌机工作完成，均布设于玻璃纤维杆生产车间内，</w:t>
            </w:r>
            <w:r>
              <w:rPr>
                <w:rFonts w:hint="eastAsia"/>
                <w:color w:val="auto"/>
                <w:sz w:val="24"/>
              </w:rPr>
              <w:t>该车间参数为长9m*宽3.5m*高8.5m，换气次数取值12次/h（根据《工业企业设计卫生标准》（GBZ1-2010）中“换气次数不宜小于12次/h”要求，本项目换气次数取值12次/h，符合相关要求），密闭车间风量根据公式风量（m</w:t>
            </w:r>
            <w:r>
              <w:rPr>
                <w:rFonts w:hint="eastAsia"/>
                <w:color w:val="auto"/>
                <w:sz w:val="24"/>
                <w:vertAlign w:val="superscript"/>
              </w:rPr>
              <w:t>3</w:t>
            </w:r>
            <w:r>
              <w:rPr>
                <w:rFonts w:hint="eastAsia"/>
                <w:color w:val="auto"/>
                <w:sz w:val="24"/>
              </w:rPr>
              <w:t>/h）=室内面积（m</w:t>
            </w:r>
            <w:r>
              <w:rPr>
                <w:rFonts w:hint="eastAsia"/>
                <w:color w:val="auto"/>
                <w:sz w:val="24"/>
                <w:vertAlign w:val="superscript"/>
              </w:rPr>
              <w:t>2</w:t>
            </w:r>
            <w:r>
              <w:rPr>
                <w:rFonts w:hint="eastAsia"/>
                <w:color w:val="auto"/>
                <w:sz w:val="24"/>
              </w:rPr>
              <w:t>）*层高（m）*换气次数（次/h）计算。经计算，风量=3213m</w:t>
            </w:r>
            <w:r>
              <w:rPr>
                <w:rFonts w:hint="eastAsia"/>
                <w:color w:val="auto"/>
                <w:sz w:val="24"/>
                <w:vertAlign w:val="superscript"/>
              </w:rPr>
              <w:t>3</w:t>
            </w:r>
            <w:r>
              <w:rPr>
                <w:rFonts w:hint="eastAsia"/>
                <w:color w:val="auto"/>
                <w:sz w:val="24"/>
              </w:rPr>
              <w:t>/h，为保证收集效率，风量设置为3500m</w:t>
            </w:r>
            <w:r>
              <w:rPr>
                <w:rFonts w:hint="eastAsia"/>
                <w:color w:val="auto"/>
                <w:sz w:val="24"/>
                <w:vertAlign w:val="superscript"/>
              </w:rPr>
              <w:t>3</w:t>
            </w:r>
            <w:r>
              <w:rPr>
                <w:rFonts w:hint="eastAsia"/>
                <w:color w:val="auto"/>
                <w:sz w:val="24"/>
              </w:rPr>
              <w:t>/h，可满足要求，收集效率以95%计。</w:t>
            </w:r>
            <w:r>
              <w:rPr>
                <w:rFonts w:hint="eastAsia"/>
                <w:color w:val="auto"/>
                <w:sz w:val="24"/>
                <w:lang w:val="en-US" w:eastAsia="zh-CN"/>
              </w:rPr>
              <w:t>该</w:t>
            </w:r>
            <w:r>
              <w:rPr>
                <w:rFonts w:hint="default" w:ascii="Times New Roman" w:hAnsi="Times New Roman" w:eastAsia="宋体" w:cs="Times New Roman"/>
                <w:color w:val="auto"/>
                <w:sz w:val="24"/>
              </w:rPr>
              <w:t>废气经密闭车间负压收集后，有组织</w:t>
            </w:r>
            <w:r>
              <w:rPr>
                <w:rFonts w:hint="eastAsia" w:ascii="Times New Roman" w:hAnsi="Times New Roman" w:eastAsia="宋体" w:cs="Times New Roman"/>
                <w:color w:val="auto"/>
                <w:sz w:val="24"/>
                <w:lang w:val="en-US" w:eastAsia="zh-CN"/>
              </w:rPr>
              <w:t>颗粒物</w:t>
            </w:r>
            <w:r>
              <w:rPr>
                <w:rFonts w:hint="default" w:ascii="Times New Roman" w:hAnsi="Times New Roman" w:eastAsia="宋体" w:cs="Times New Roman"/>
                <w:color w:val="auto"/>
                <w:sz w:val="24"/>
              </w:rPr>
              <w:t>产生量为</w:t>
            </w:r>
            <w:r>
              <w:rPr>
                <w:rFonts w:hint="eastAsia" w:ascii="Times New Roman" w:hAnsi="Times New Roman" w:eastAsia="宋体" w:cs="Times New Roman"/>
                <w:color w:val="auto"/>
                <w:sz w:val="24"/>
                <w:lang w:val="en-US" w:eastAsia="zh-CN"/>
              </w:rPr>
              <w:t>0.0024</w:t>
            </w:r>
            <w:r>
              <w:rPr>
                <w:rFonts w:hint="default" w:ascii="Times New Roman" w:hAnsi="Times New Roman" w:eastAsia="宋体" w:cs="Times New Roman"/>
                <w:color w:val="auto"/>
                <w:sz w:val="24"/>
              </w:rPr>
              <w:t>t/a（产生速率</w:t>
            </w:r>
            <w:r>
              <w:rPr>
                <w:rFonts w:hint="eastAsia" w:ascii="Times New Roman" w:hAnsi="Times New Roman" w:eastAsia="宋体" w:cs="Times New Roman"/>
                <w:color w:val="auto"/>
                <w:sz w:val="24"/>
                <w:lang w:val="en-US" w:eastAsia="zh-CN"/>
              </w:rPr>
              <w:t>0.0010</w:t>
            </w:r>
            <w:r>
              <w:rPr>
                <w:rFonts w:hint="default" w:ascii="Times New Roman" w:hAnsi="Times New Roman" w:eastAsia="宋体" w:cs="Times New Roman"/>
                <w:color w:val="auto"/>
                <w:sz w:val="24"/>
              </w:rPr>
              <w:t>kg/h），年工作2400h，</w:t>
            </w:r>
            <w:r>
              <w:rPr>
                <w:rFonts w:hint="eastAsia" w:ascii="Times New Roman" w:hAnsi="Times New Roman" w:eastAsia="宋体" w:cs="Times New Roman"/>
                <w:color w:val="auto"/>
                <w:sz w:val="24"/>
                <w:lang w:val="en-US" w:eastAsia="zh-CN"/>
              </w:rPr>
              <w:t>收集后的废气</w:t>
            </w:r>
            <w:r>
              <w:rPr>
                <w:rFonts w:hint="default" w:ascii="Times New Roman" w:hAnsi="Times New Roman" w:eastAsia="宋体" w:cs="Times New Roman"/>
                <w:color w:val="auto"/>
                <w:sz w:val="24"/>
              </w:rPr>
              <w:t>经1根15m</w:t>
            </w:r>
            <w:r>
              <w:rPr>
                <w:rFonts w:hint="eastAsia" w:ascii="Times New Roman" w:hAnsi="Times New Roman" w:eastAsia="宋体" w:cs="Times New Roman"/>
                <w:color w:val="auto"/>
                <w:sz w:val="24"/>
                <w:lang w:val="en-US" w:eastAsia="zh-CN"/>
              </w:rPr>
              <w:t>高</w:t>
            </w:r>
            <w:r>
              <w:rPr>
                <w:rFonts w:hint="default" w:ascii="Times New Roman" w:hAnsi="Times New Roman" w:eastAsia="宋体" w:cs="Times New Roman"/>
                <w:color w:val="auto"/>
                <w:sz w:val="24"/>
              </w:rPr>
              <w:t>DA001排气筒</w:t>
            </w:r>
            <w:r>
              <w:rPr>
                <w:rFonts w:hint="eastAsia" w:ascii="Times New Roman" w:hAnsi="Times New Roman" w:eastAsia="宋体" w:cs="Times New Roman"/>
                <w:color w:val="auto"/>
                <w:sz w:val="24"/>
                <w:lang w:val="en-US" w:eastAsia="zh-CN"/>
              </w:rPr>
              <w:t>高空</w:t>
            </w:r>
            <w:r>
              <w:rPr>
                <w:rFonts w:hint="default" w:ascii="Times New Roman" w:hAnsi="Times New Roman" w:eastAsia="宋体" w:cs="Times New Roman"/>
                <w:color w:val="auto"/>
                <w:sz w:val="24"/>
              </w:rPr>
              <w:t>排放，则有组织</w:t>
            </w:r>
            <w:r>
              <w:rPr>
                <w:rFonts w:hint="eastAsia" w:ascii="Times New Roman" w:hAnsi="Times New Roman" w:eastAsia="宋体" w:cs="Times New Roman"/>
                <w:color w:val="auto"/>
                <w:sz w:val="24"/>
                <w:lang w:val="en-US" w:eastAsia="zh-CN"/>
              </w:rPr>
              <w:t>颗粒物</w:t>
            </w:r>
            <w:r>
              <w:rPr>
                <w:rFonts w:hint="default" w:ascii="Times New Roman" w:hAnsi="Times New Roman" w:eastAsia="宋体" w:cs="Times New Roman"/>
                <w:color w:val="auto"/>
                <w:sz w:val="24"/>
              </w:rPr>
              <w:t>排放量为</w:t>
            </w:r>
            <w:r>
              <w:rPr>
                <w:rFonts w:hint="eastAsia" w:ascii="Times New Roman" w:hAnsi="Times New Roman" w:eastAsia="宋体" w:cs="Times New Roman"/>
                <w:color w:val="auto"/>
                <w:sz w:val="24"/>
                <w:lang w:val="en-US" w:eastAsia="zh-CN"/>
              </w:rPr>
              <w:t>0.0024</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0.0010</w:t>
            </w:r>
            <w:r>
              <w:rPr>
                <w:rFonts w:hint="default" w:ascii="Times New Roman" w:hAnsi="Times New Roman" w:eastAsia="宋体" w:cs="Times New Roman"/>
                <w:color w:val="auto"/>
                <w:sz w:val="24"/>
              </w:rPr>
              <w:t>kg/h）；无组织</w:t>
            </w:r>
            <w:r>
              <w:rPr>
                <w:rFonts w:hint="eastAsia" w:ascii="Times New Roman" w:hAnsi="Times New Roman" w:eastAsia="宋体" w:cs="Times New Roman"/>
                <w:color w:val="auto"/>
                <w:sz w:val="24"/>
                <w:lang w:val="en-US" w:eastAsia="zh-CN"/>
              </w:rPr>
              <w:t>颗粒物</w:t>
            </w:r>
            <w:r>
              <w:rPr>
                <w:rFonts w:hint="default" w:ascii="Times New Roman" w:hAnsi="Times New Roman" w:eastAsia="宋体" w:cs="Times New Roman"/>
                <w:color w:val="auto"/>
                <w:sz w:val="24"/>
              </w:rPr>
              <w:t>排放量为</w:t>
            </w:r>
            <w:r>
              <w:rPr>
                <w:rFonts w:hint="eastAsia" w:ascii="Times New Roman" w:hAnsi="Times New Roman" w:eastAsia="宋体" w:cs="Times New Roman"/>
                <w:color w:val="auto"/>
                <w:sz w:val="24"/>
                <w:lang w:val="en-US" w:eastAsia="zh-CN"/>
              </w:rPr>
              <w:t>0.0001</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0.00004</w:t>
            </w:r>
            <w:r>
              <w:rPr>
                <w:rFonts w:hint="default" w:ascii="Times New Roman" w:hAnsi="Times New Roman" w:eastAsia="宋体" w:cs="Times New Roman"/>
                <w:color w:val="auto"/>
                <w:sz w:val="24"/>
              </w:rPr>
              <w:t>kg/h）。</w:t>
            </w:r>
          </w:p>
          <w:p w14:paraId="1738277D">
            <w:pPr>
              <w:widowControl/>
              <w:spacing w:line="360" w:lineRule="auto"/>
              <w:ind w:firstLine="480" w:firstLineChars="200"/>
              <w:rPr>
                <w:color w:val="auto"/>
                <w:sz w:val="24"/>
              </w:rPr>
            </w:pPr>
            <w:r>
              <w:rPr>
                <w:rFonts w:hint="eastAsia"/>
                <w:color w:val="auto"/>
                <w:sz w:val="24"/>
              </w:rPr>
              <w:t>（2）搅拌废气G2、浸纱废气G3、固化废气G4</w:t>
            </w:r>
          </w:p>
          <w:p w14:paraId="1738277E">
            <w:pPr>
              <w:widowControl/>
              <w:spacing w:line="360" w:lineRule="auto"/>
              <w:ind w:firstLine="480" w:firstLineChars="200"/>
              <w:rPr>
                <w:color w:val="auto"/>
                <w:sz w:val="24"/>
              </w:rPr>
            </w:pPr>
            <w:r>
              <w:rPr>
                <w:rFonts w:hint="eastAsia"/>
                <w:color w:val="auto"/>
                <w:sz w:val="24"/>
              </w:rPr>
              <w:t>本项目原料使用不饱和聚酯树脂和固化剂。固化剂主要为过氧化二苯甲酰、过氧化苯甲酸叔丁酯；不饱和聚酯树脂由固体分和挥发分组成，固体分包括聚酯，挥发分指苯乙烯。因此，不饱和聚酯树脂在生产过程中会产生非甲烷总烃、苯乙烯，固化剂在生产过程中会产生非甲烷总烃。</w:t>
            </w:r>
          </w:p>
          <w:p w14:paraId="17382780">
            <w:pPr>
              <w:widowControl/>
              <w:spacing w:line="360" w:lineRule="auto"/>
              <w:ind w:firstLine="480" w:firstLineChars="200"/>
              <w:rPr>
                <w:color w:val="auto"/>
                <w:sz w:val="24"/>
              </w:rPr>
            </w:pPr>
            <w:r>
              <w:rPr>
                <w:rFonts w:hint="eastAsia"/>
                <w:color w:val="auto"/>
                <w:sz w:val="24"/>
              </w:rPr>
              <w:t>本项目一体化拉挤切割机牵引玻璃纤维纱穿过含有不饱和聚酯树脂槽，被树脂胶浸润的玻璃纤维纱通过挤拉固化为长条的玻璃纤维杆，挤拉温度</w:t>
            </w:r>
            <w:r>
              <w:rPr>
                <w:color w:val="auto"/>
                <w:sz w:val="24"/>
              </w:rPr>
              <w:t>120-</w:t>
            </w:r>
            <w:r>
              <w:rPr>
                <w:rFonts w:hint="eastAsia"/>
                <w:color w:val="auto"/>
                <w:sz w:val="24"/>
              </w:rPr>
              <w:t>160℃，搅拌、浸润、拉挤固化成型工序会产生一定量的有机废气，以非甲烷总烃、苯乙烯进行表征。由于《排放源统计调查产排污核算方案和系数手册》中“</w:t>
            </w:r>
            <w:r>
              <w:rPr>
                <w:color w:val="auto"/>
                <w:sz w:val="24"/>
              </w:rPr>
              <w:t>3062</w:t>
            </w:r>
            <w:r>
              <w:rPr>
                <w:rFonts w:hint="eastAsia"/>
                <w:color w:val="auto"/>
                <w:sz w:val="24"/>
              </w:rPr>
              <w:t>玻璃纤维增强塑料制品制造行业系数手册”未列出相关有机废气产污系数，故本项目评价参照《排放源统计调查产排污核算方案和系数手册》中“</w:t>
            </w:r>
            <w:r>
              <w:rPr>
                <w:color w:val="auto"/>
                <w:sz w:val="24"/>
              </w:rPr>
              <w:t xml:space="preserve">2922 </w:t>
            </w:r>
            <w:r>
              <w:rPr>
                <w:rFonts w:hint="eastAsia"/>
                <w:color w:val="auto"/>
                <w:sz w:val="24"/>
              </w:rPr>
              <w:t>塑料板、管、型材制造行业系数表” 的投料、混合、挤出环节产污系数，非甲烷总烃产污系数为</w:t>
            </w:r>
            <w:r>
              <w:rPr>
                <w:color w:val="auto"/>
                <w:sz w:val="24"/>
              </w:rPr>
              <w:t>1.5kg/t-</w:t>
            </w:r>
            <w:r>
              <w:rPr>
                <w:rFonts w:hint="eastAsia"/>
                <w:color w:val="auto"/>
                <w:sz w:val="24"/>
              </w:rPr>
              <w:t>产品。根据建设单位提供的不饱和聚酯树脂</w:t>
            </w:r>
            <w:r>
              <w:rPr>
                <w:color w:val="auto"/>
                <w:sz w:val="24"/>
              </w:rPr>
              <w:t>MSDS</w:t>
            </w:r>
            <w:r>
              <w:rPr>
                <w:rFonts w:hint="eastAsia"/>
                <w:color w:val="auto"/>
                <w:sz w:val="24"/>
              </w:rPr>
              <w:t>可知，不饱和树脂中的苯乙烯含量约为</w:t>
            </w:r>
            <w:r>
              <w:rPr>
                <w:color w:val="auto"/>
                <w:sz w:val="24"/>
              </w:rPr>
              <w:t>33~40%</w:t>
            </w:r>
            <w:r>
              <w:rPr>
                <w:rFonts w:hint="eastAsia"/>
                <w:color w:val="auto"/>
                <w:sz w:val="24"/>
              </w:rPr>
              <w:t>（取中间值</w:t>
            </w:r>
            <w:r>
              <w:rPr>
                <w:color w:val="auto"/>
                <w:sz w:val="24"/>
              </w:rPr>
              <w:t>35%</w:t>
            </w:r>
            <w:r>
              <w:rPr>
                <w:rFonts w:hint="eastAsia"/>
                <w:color w:val="auto"/>
                <w:sz w:val="24"/>
              </w:rPr>
              <w:t>），苯乙烯在树脂固化过程中作为交联剂，在挤拉过程中在高温条件下会有少量挥发。苯乙烯的挥发率与凝胶时间、加工温度、树脂中苯乙烯的含量以及模具型面上空气流动等诸多因素息息相关，本项目引用《上虞市雅盛纤维制品厂年产</w:t>
            </w:r>
            <w:r>
              <w:rPr>
                <w:color w:val="auto"/>
                <w:sz w:val="24"/>
              </w:rPr>
              <w:t>5000</w:t>
            </w:r>
            <w:r>
              <w:rPr>
                <w:rFonts w:hint="eastAsia"/>
                <w:color w:val="auto"/>
                <w:sz w:val="24"/>
              </w:rPr>
              <w:t>吨玻璃纤维杆项目环境影响报告表》中对企业所用的不饱和聚酯树脂进行静态试验的数据。 根据试验数据可知，</w:t>
            </w:r>
            <w:r>
              <w:rPr>
                <w:color w:val="auto"/>
                <w:sz w:val="24"/>
              </w:rPr>
              <w:t>2</w:t>
            </w:r>
            <w:r>
              <w:rPr>
                <w:rFonts w:hint="eastAsia"/>
                <w:color w:val="auto"/>
                <w:sz w:val="24"/>
              </w:rPr>
              <w:t>组不饱和聚酯树脂的苯乙烯挥发比例分别为</w:t>
            </w:r>
            <w:r>
              <w:rPr>
                <w:color w:val="auto"/>
                <w:sz w:val="24"/>
              </w:rPr>
              <w:t>1.40%</w:t>
            </w:r>
            <w:r>
              <w:rPr>
                <w:rFonts w:hint="eastAsia"/>
                <w:color w:val="auto"/>
                <w:sz w:val="24"/>
              </w:rPr>
              <w:t>和</w:t>
            </w:r>
            <w:r>
              <w:rPr>
                <w:color w:val="auto"/>
                <w:sz w:val="24"/>
              </w:rPr>
              <w:t>l.32%</w:t>
            </w:r>
            <w:r>
              <w:rPr>
                <w:rFonts w:hint="eastAsia"/>
                <w:color w:val="auto"/>
                <w:sz w:val="24"/>
              </w:rPr>
              <w:t>，取其平均值为</w:t>
            </w:r>
            <w:r>
              <w:rPr>
                <w:color w:val="auto"/>
                <w:sz w:val="24"/>
              </w:rPr>
              <w:t>1.36%</w:t>
            </w:r>
            <w:r>
              <w:rPr>
                <w:rFonts w:hint="eastAsia"/>
                <w:color w:val="auto"/>
                <w:sz w:val="24"/>
              </w:rPr>
              <w:t>。本项目玻璃纤维杆年产量为35</w:t>
            </w:r>
            <w:r>
              <w:rPr>
                <w:color w:val="auto"/>
                <w:sz w:val="24"/>
              </w:rPr>
              <w:t>t/a</w:t>
            </w:r>
            <w:r>
              <w:rPr>
                <w:rFonts w:hint="eastAsia"/>
                <w:color w:val="auto"/>
                <w:sz w:val="24"/>
              </w:rPr>
              <w:t>，不饱和聚酯树脂原料量约10</w:t>
            </w:r>
            <w:r>
              <w:rPr>
                <w:color w:val="auto"/>
                <w:sz w:val="24"/>
              </w:rPr>
              <w:t>t/a</w:t>
            </w:r>
            <w:r>
              <w:rPr>
                <w:rFonts w:hint="eastAsia"/>
                <w:color w:val="auto"/>
                <w:sz w:val="24"/>
              </w:rPr>
              <w:t>，则非甲烷总烃产生量约0.0525</w:t>
            </w:r>
            <w:r>
              <w:rPr>
                <w:color w:val="auto"/>
                <w:sz w:val="24"/>
              </w:rPr>
              <w:t>t/a</w:t>
            </w:r>
            <w:r>
              <w:rPr>
                <w:rFonts w:hint="eastAsia"/>
                <w:color w:val="auto"/>
                <w:sz w:val="24"/>
              </w:rPr>
              <w:t>，其中苯乙烯产生量约为0.0476</w:t>
            </w:r>
            <w:r>
              <w:rPr>
                <w:color w:val="auto"/>
                <w:sz w:val="24"/>
              </w:rPr>
              <w:t>t/a</w:t>
            </w:r>
            <w:r>
              <w:rPr>
                <w:rFonts w:hint="eastAsia"/>
                <w:color w:val="auto"/>
                <w:sz w:val="24"/>
              </w:rPr>
              <w:t>。</w:t>
            </w:r>
          </w:p>
          <w:p w14:paraId="17382781">
            <w:pPr>
              <w:widowControl/>
              <w:spacing w:line="360" w:lineRule="auto"/>
              <w:ind w:firstLine="480" w:firstLineChars="200"/>
              <w:rPr>
                <w:rFonts w:hint="eastAsia"/>
                <w:color w:val="auto"/>
                <w:sz w:val="24"/>
              </w:rPr>
            </w:pPr>
            <w:r>
              <w:rPr>
                <w:rFonts w:hint="eastAsia"/>
                <w:color w:val="auto"/>
                <w:sz w:val="24"/>
                <w:lang w:val="en-US" w:eastAsia="zh-CN"/>
              </w:rPr>
              <w:t>该</w:t>
            </w:r>
            <w:r>
              <w:rPr>
                <w:rFonts w:hint="default" w:ascii="Times New Roman" w:hAnsi="Times New Roman" w:eastAsia="宋体" w:cs="Times New Roman"/>
                <w:color w:val="auto"/>
                <w:sz w:val="24"/>
              </w:rPr>
              <w:t>废气经密闭车间负压收集后，有组织</w:t>
            </w:r>
            <w:r>
              <w:rPr>
                <w:rFonts w:hint="eastAsia" w:ascii="Times New Roman" w:hAnsi="Times New Roman" w:eastAsia="宋体" w:cs="Times New Roman"/>
                <w:color w:val="auto"/>
                <w:sz w:val="24"/>
                <w:lang w:val="en-US" w:eastAsia="zh-CN"/>
              </w:rPr>
              <w:t>非甲烷总烃</w:t>
            </w:r>
            <w:r>
              <w:rPr>
                <w:rFonts w:hint="default" w:ascii="Times New Roman" w:hAnsi="Times New Roman" w:eastAsia="宋体" w:cs="Times New Roman"/>
                <w:color w:val="auto"/>
                <w:sz w:val="24"/>
              </w:rPr>
              <w:t>产生量为</w:t>
            </w:r>
            <w:r>
              <w:rPr>
                <w:rFonts w:hint="eastAsia" w:ascii="Times New Roman" w:hAnsi="Times New Roman" w:eastAsia="宋体" w:cs="Times New Roman"/>
                <w:color w:val="auto"/>
                <w:sz w:val="24"/>
                <w:lang w:val="en-US" w:eastAsia="zh-CN"/>
              </w:rPr>
              <w:t>0.0499</w:t>
            </w:r>
            <w:r>
              <w:rPr>
                <w:rFonts w:hint="default" w:ascii="Times New Roman" w:hAnsi="Times New Roman" w:eastAsia="宋体" w:cs="Times New Roman"/>
                <w:color w:val="auto"/>
                <w:sz w:val="24"/>
              </w:rPr>
              <w:t>t/a（产生速率</w:t>
            </w:r>
            <w:r>
              <w:rPr>
                <w:rFonts w:hint="eastAsia" w:ascii="Times New Roman" w:hAnsi="Times New Roman" w:eastAsia="宋体" w:cs="Times New Roman"/>
                <w:color w:val="auto"/>
                <w:sz w:val="24"/>
                <w:lang w:val="en-US" w:eastAsia="zh-CN"/>
              </w:rPr>
              <w:t>0.0208</w:t>
            </w:r>
            <w:r>
              <w:rPr>
                <w:rFonts w:hint="default" w:ascii="Times New Roman" w:hAnsi="Times New Roman" w:eastAsia="宋体" w:cs="Times New Roman"/>
                <w:color w:val="auto"/>
                <w:sz w:val="24"/>
              </w:rPr>
              <w:t>kg/h）</w:t>
            </w:r>
            <w:r>
              <w:rPr>
                <w:rFonts w:hint="eastAsia" w:ascii="Times New Roman" w:hAnsi="Times New Roman" w:eastAsia="宋体" w:cs="Times New Roman"/>
                <w:color w:val="auto"/>
                <w:sz w:val="24"/>
                <w:lang w:eastAsia="zh-CN"/>
              </w:rPr>
              <w:t>、</w:t>
            </w:r>
            <w:r>
              <w:rPr>
                <w:rFonts w:hint="eastAsia" w:ascii="Times New Roman" w:hAnsi="Times New Roman" w:eastAsia="宋体" w:cs="Times New Roman"/>
                <w:color w:val="auto"/>
                <w:sz w:val="24"/>
                <w:lang w:val="en-US" w:eastAsia="zh-CN"/>
              </w:rPr>
              <w:t>有组织苯乙烯产生量为0.0452</w:t>
            </w:r>
            <w:r>
              <w:rPr>
                <w:rFonts w:hint="default" w:ascii="Times New Roman" w:hAnsi="Times New Roman" w:eastAsia="宋体" w:cs="Times New Roman"/>
                <w:color w:val="auto"/>
                <w:sz w:val="24"/>
              </w:rPr>
              <w:t>t/a（产生速率</w:t>
            </w:r>
            <w:r>
              <w:rPr>
                <w:rFonts w:hint="eastAsia" w:ascii="Times New Roman" w:hAnsi="Times New Roman" w:eastAsia="宋体" w:cs="Times New Roman"/>
                <w:color w:val="auto"/>
                <w:sz w:val="24"/>
                <w:lang w:val="en-US" w:eastAsia="zh-CN"/>
              </w:rPr>
              <w:t>0.0188</w:t>
            </w:r>
            <w:r>
              <w:rPr>
                <w:rFonts w:hint="default" w:ascii="Times New Roman" w:hAnsi="Times New Roman" w:eastAsia="宋体" w:cs="Times New Roman"/>
                <w:color w:val="auto"/>
                <w:sz w:val="24"/>
              </w:rPr>
              <w:t>kg/h），年工作2400h，</w:t>
            </w:r>
            <w:r>
              <w:rPr>
                <w:rFonts w:hint="eastAsia" w:ascii="Times New Roman" w:hAnsi="Times New Roman" w:eastAsia="宋体" w:cs="Times New Roman"/>
                <w:color w:val="auto"/>
                <w:sz w:val="24"/>
                <w:lang w:val="en-US" w:eastAsia="zh-CN"/>
              </w:rPr>
              <w:t>收集后的废气</w:t>
            </w:r>
            <w:r>
              <w:rPr>
                <w:rFonts w:hint="default" w:ascii="Times New Roman" w:hAnsi="Times New Roman" w:eastAsia="宋体" w:cs="Times New Roman"/>
                <w:color w:val="auto"/>
                <w:sz w:val="24"/>
              </w:rPr>
              <w:t>经</w:t>
            </w:r>
            <w:r>
              <w:rPr>
                <w:rFonts w:hint="eastAsia" w:ascii="Times New Roman" w:hAnsi="Times New Roman" w:eastAsia="宋体" w:cs="Times New Roman"/>
                <w:color w:val="auto"/>
                <w:sz w:val="24"/>
                <w:lang w:val="en-US" w:eastAsia="zh-CN"/>
              </w:rPr>
              <w:t>二级活性炭处理后通过</w:t>
            </w:r>
            <w:r>
              <w:rPr>
                <w:rFonts w:hint="default" w:ascii="Times New Roman" w:hAnsi="Times New Roman" w:eastAsia="宋体" w:cs="Times New Roman"/>
                <w:color w:val="auto"/>
                <w:sz w:val="24"/>
              </w:rPr>
              <w:t>1根15m</w:t>
            </w:r>
            <w:r>
              <w:rPr>
                <w:rFonts w:hint="eastAsia" w:ascii="Times New Roman" w:hAnsi="Times New Roman" w:eastAsia="宋体" w:cs="Times New Roman"/>
                <w:color w:val="auto"/>
                <w:sz w:val="24"/>
                <w:lang w:val="en-US" w:eastAsia="zh-CN"/>
              </w:rPr>
              <w:t>高</w:t>
            </w:r>
            <w:r>
              <w:rPr>
                <w:rFonts w:hint="default" w:ascii="Times New Roman" w:hAnsi="Times New Roman" w:eastAsia="宋体" w:cs="Times New Roman"/>
                <w:color w:val="auto"/>
                <w:sz w:val="24"/>
              </w:rPr>
              <w:t>DA001排气筒</w:t>
            </w:r>
            <w:r>
              <w:rPr>
                <w:rFonts w:hint="eastAsia" w:ascii="Times New Roman" w:hAnsi="Times New Roman" w:eastAsia="宋体" w:cs="Times New Roman"/>
                <w:color w:val="auto"/>
                <w:sz w:val="24"/>
                <w:lang w:val="en-US" w:eastAsia="zh-CN"/>
              </w:rPr>
              <w:t>高空</w:t>
            </w:r>
            <w:r>
              <w:rPr>
                <w:rFonts w:hint="default" w:ascii="Times New Roman" w:hAnsi="Times New Roman" w:eastAsia="宋体" w:cs="Times New Roman"/>
                <w:color w:val="auto"/>
                <w:sz w:val="24"/>
              </w:rPr>
              <w:t>排放，则有组织</w:t>
            </w:r>
            <w:r>
              <w:rPr>
                <w:rFonts w:hint="eastAsia" w:ascii="Times New Roman" w:hAnsi="Times New Roman" w:eastAsia="宋体" w:cs="Times New Roman"/>
                <w:color w:val="auto"/>
                <w:sz w:val="24"/>
                <w:lang w:val="en-US" w:eastAsia="zh-CN"/>
              </w:rPr>
              <w:t>非甲烷总烃</w:t>
            </w:r>
            <w:r>
              <w:rPr>
                <w:rFonts w:hint="default" w:ascii="Times New Roman" w:hAnsi="Times New Roman" w:eastAsia="宋体" w:cs="Times New Roman"/>
                <w:color w:val="auto"/>
                <w:sz w:val="24"/>
              </w:rPr>
              <w:t>排放量为</w:t>
            </w:r>
            <w:r>
              <w:rPr>
                <w:rFonts w:hint="eastAsia" w:ascii="Times New Roman" w:hAnsi="Times New Roman" w:eastAsia="宋体" w:cs="Times New Roman"/>
                <w:color w:val="auto"/>
                <w:sz w:val="24"/>
                <w:lang w:val="en-US" w:eastAsia="zh-CN"/>
              </w:rPr>
              <w:t>0.0050</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0.0021</w:t>
            </w:r>
            <w:r>
              <w:rPr>
                <w:rFonts w:hint="default" w:ascii="Times New Roman" w:hAnsi="Times New Roman" w:eastAsia="宋体" w:cs="Times New Roman"/>
                <w:color w:val="auto"/>
                <w:sz w:val="24"/>
              </w:rPr>
              <w:t>kg/h）</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有组织</w:t>
            </w:r>
            <w:r>
              <w:rPr>
                <w:rFonts w:hint="eastAsia" w:ascii="Times New Roman" w:hAnsi="Times New Roman" w:eastAsia="宋体" w:cs="Times New Roman"/>
                <w:color w:val="auto"/>
                <w:sz w:val="24"/>
                <w:lang w:val="en-US" w:eastAsia="zh-CN"/>
              </w:rPr>
              <w:t>苯乙烯</w:t>
            </w:r>
            <w:r>
              <w:rPr>
                <w:rFonts w:hint="default" w:ascii="Times New Roman" w:hAnsi="Times New Roman" w:eastAsia="宋体" w:cs="Times New Roman"/>
                <w:color w:val="auto"/>
                <w:sz w:val="24"/>
              </w:rPr>
              <w:t>排放量为</w:t>
            </w:r>
            <w:r>
              <w:rPr>
                <w:rFonts w:hint="eastAsia" w:ascii="Times New Roman" w:hAnsi="Times New Roman" w:eastAsia="宋体" w:cs="Times New Roman"/>
                <w:color w:val="auto"/>
                <w:sz w:val="24"/>
                <w:lang w:val="en-US" w:eastAsia="zh-CN"/>
              </w:rPr>
              <w:t>0.0045</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0.0019</w:t>
            </w:r>
            <w:r>
              <w:rPr>
                <w:rFonts w:hint="default" w:ascii="Times New Roman" w:hAnsi="Times New Roman" w:eastAsia="宋体" w:cs="Times New Roman"/>
                <w:color w:val="auto"/>
                <w:sz w:val="24"/>
              </w:rPr>
              <w:t>kg/h）；无组织</w:t>
            </w:r>
            <w:r>
              <w:rPr>
                <w:rFonts w:hint="eastAsia" w:ascii="Times New Roman" w:hAnsi="Times New Roman" w:eastAsia="宋体" w:cs="Times New Roman"/>
                <w:color w:val="auto"/>
                <w:sz w:val="24"/>
                <w:lang w:val="en-US" w:eastAsia="zh-CN"/>
              </w:rPr>
              <w:t>非甲烷总烃</w:t>
            </w:r>
            <w:r>
              <w:rPr>
                <w:rFonts w:hint="default" w:ascii="Times New Roman" w:hAnsi="Times New Roman" w:eastAsia="宋体" w:cs="Times New Roman"/>
                <w:color w:val="auto"/>
                <w:sz w:val="24"/>
              </w:rPr>
              <w:t>排放量为</w:t>
            </w:r>
            <w:r>
              <w:rPr>
                <w:rFonts w:hint="eastAsia" w:ascii="Times New Roman" w:hAnsi="Times New Roman" w:eastAsia="宋体" w:cs="Times New Roman"/>
                <w:color w:val="auto"/>
                <w:sz w:val="24"/>
                <w:lang w:val="en-US" w:eastAsia="zh-CN"/>
              </w:rPr>
              <w:t>0.0026</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0.0011</w:t>
            </w:r>
            <w:r>
              <w:rPr>
                <w:rFonts w:hint="default" w:ascii="Times New Roman" w:hAnsi="Times New Roman" w:eastAsia="宋体" w:cs="Times New Roman"/>
                <w:color w:val="auto"/>
                <w:sz w:val="24"/>
              </w:rPr>
              <w:t>kg/h）</w:t>
            </w:r>
            <w:r>
              <w:rPr>
                <w:rFonts w:hint="eastAsia" w:ascii="Times New Roman" w:hAnsi="Times New Roman" w:eastAsia="宋体" w:cs="Times New Roman"/>
                <w:color w:val="auto"/>
                <w:sz w:val="24"/>
                <w:lang w:eastAsia="zh-CN"/>
              </w:rPr>
              <w:t>、</w:t>
            </w:r>
            <w:r>
              <w:rPr>
                <w:rFonts w:hint="default" w:ascii="Times New Roman" w:hAnsi="Times New Roman" w:eastAsia="宋体" w:cs="Times New Roman"/>
                <w:color w:val="auto"/>
                <w:sz w:val="24"/>
              </w:rPr>
              <w:t>无组织</w:t>
            </w:r>
            <w:r>
              <w:rPr>
                <w:rFonts w:hint="eastAsia" w:ascii="Times New Roman" w:hAnsi="Times New Roman" w:eastAsia="宋体" w:cs="Times New Roman"/>
                <w:color w:val="auto"/>
                <w:sz w:val="24"/>
                <w:lang w:val="en-US" w:eastAsia="zh-CN"/>
              </w:rPr>
              <w:t>苯乙烯</w:t>
            </w:r>
            <w:r>
              <w:rPr>
                <w:rFonts w:hint="default" w:ascii="Times New Roman" w:hAnsi="Times New Roman" w:eastAsia="宋体" w:cs="Times New Roman"/>
                <w:color w:val="auto"/>
                <w:sz w:val="24"/>
              </w:rPr>
              <w:t>排放量为</w:t>
            </w:r>
            <w:r>
              <w:rPr>
                <w:rFonts w:hint="eastAsia" w:ascii="Times New Roman" w:hAnsi="Times New Roman" w:eastAsia="宋体" w:cs="Times New Roman"/>
                <w:color w:val="auto"/>
                <w:sz w:val="24"/>
                <w:lang w:val="en-US" w:eastAsia="zh-CN"/>
              </w:rPr>
              <w:t>0.0024</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0.0010</w:t>
            </w:r>
            <w:r>
              <w:rPr>
                <w:rFonts w:hint="default" w:ascii="Times New Roman" w:hAnsi="Times New Roman" w:eastAsia="宋体" w:cs="Times New Roman"/>
                <w:color w:val="auto"/>
                <w:sz w:val="24"/>
              </w:rPr>
              <w:t>kg/h）。</w:t>
            </w:r>
          </w:p>
          <w:p w14:paraId="17382782">
            <w:pPr>
              <w:widowControl/>
              <w:spacing w:line="360" w:lineRule="auto"/>
              <w:ind w:firstLine="480" w:firstLineChars="200"/>
              <w:rPr>
                <w:color w:val="auto"/>
                <w:sz w:val="24"/>
              </w:rPr>
            </w:pPr>
            <w:r>
              <w:rPr>
                <w:rFonts w:hint="eastAsia"/>
                <w:color w:val="auto"/>
                <w:sz w:val="24"/>
              </w:rPr>
              <w:t>（3）注塑废气G5</w:t>
            </w:r>
          </w:p>
          <w:p w14:paraId="17382783">
            <w:pPr>
              <w:widowControl/>
              <w:spacing w:line="360" w:lineRule="auto"/>
              <w:ind w:firstLine="480" w:firstLineChars="200"/>
              <w:rPr>
                <w:color w:val="auto"/>
                <w:sz w:val="24"/>
              </w:rPr>
            </w:pPr>
            <w:r>
              <w:rPr>
                <w:rFonts w:hint="eastAsia"/>
                <w:color w:val="auto"/>
                <w:sz w:val="24"/>
              </w:rPr>
              <w:t>本项目使用PP、PE通过注塑机两次对玻璃纤维杆</w:t>
            </w:r>
            <w:r>
              <w:rPr>
                <w:rFonts w:hint="eastAsia"/>
                <w:color w:val="auto"/>
                <w:sz w:val="24"/>
                <w:lang w:val="en-US" w:eastAsia="zh-CN"/>
              </w:rPr>
              <w:t>整体</w:t>
            </w:r>
            <w:r>
              <w:rPr>
                <w:rFonts w:hint="eastAsia"/>
                <w:color w:val="auto"/>
                <w:sz w:val="24"/>
              </w:rPr>
              <w:t>进行注塑制成成品手柄，注塑过程产生非甲烷总烃，由于《排放源统计调查产排污核算方案和系数手册》中“</w:t>
            </w:r>
            <w:r>
              <w:rPr>
                <w:color w:val="auto"/>
                <w:sz w:val="24"/>
              </w:rPr>
              <w:t>3062</w:t>
            </w:r>
            <w:r>
              <w:rPr>
                <w:rFonts w:hint="eastAsia"/>
                <w:color w:val="auto"/>
                <w:sz w:val="24"/>
              </w:rPr>
              <w:t>玻璃纤维增强塑料制品制造行业系数手册”未列出相关有机废气产污系数，故本项目评价参照《排放源统计调查产排污核算方案和系数手册》中“2929塑料零件及其他塑料制品制造行业系数表”，注塑成型过程非甲烷总烃排放系数以2.7kg/t-产品。根据建设单位提供资料，建设项目实际注塑量为50t/a（PP颗粒40t、PE颗粒10t），则非甲烷总烃产生量为0.1350t/a。</w:t>
            </w:r>
          </w:p>
          <w:p w14:paraId="17382784">
            <w:pPr>
              <w:widowControl/>
              <w:spacing w:line="360" w:lineRule="auto"/>
              <w:ind w:firstLine="480" w:firstLineChars="200"/>
              <w:rPr>
                <w:color w:val="auto"/>
                <w:sz w:val="24"/>
              </w:rPr>
            </w:pPr>
            <w:r>
              <w:rPr>
                <w:rFonts w:hint="eastAsia"/>
                <w:color w:val="auto"/>
                <w:sz w:val="24"/>
              </w:rPr>
              <w:t>本项目共设有5台注塑机，</w:t>
            </w:r>
            <w:r>
              <w:rPr>
                <w:rFonts w:hint="eastAsia"/>
                <w:color w:val="auto"/>
                <w:sz w:val="24"/>
                <w:lang w:val="en-US" w:eastAsia="zh-CN"/>
              </w:rPr>
              <w:t>拟使用彩钢板隔断将注塑机设置在密闭空间内，同时在设备产污点上方设置</w:t>
            </w:r>
            <w:r>
              <w:rPr>
                <w:rFonts w:hint="eastAsia"/>
                <w:color w:val="auto"/>
                <w:sz w:val="24"/>
              </w:rPr>
              <w:t>集气罩，</w:t>
            </w:r>
            <w:r>
              <w:rPr>
                <w:rFonts w:hint="eastAsia"/>
                <w:color w:val="auto"/>
                <w:kern w:val="0"/>
                <w:sz w:val="24"/>
              </w:rPr>
              <w:t>根据</w:t>
            </w:r>
            <w:r>
              <w:rPr>
                <w:rFonts w:hint="eastAsia"/>
                <w:color w:val="auto"/>
                <w:kern w:val="21"/>
                <w:sz w:val="24"/>
              </w:rPr>
              <w:t>《大气污染控制工程》中集气罩的设计规范，需设置较设备宽0.2米的集气罩，因此，本项目</w:t>
            </w:r>
            <w:r>
              <w:rPr>
                <w:rFonts w:hint="eastAsia"/>
                <w:color w:val="auto"/>
                <w:kern w:val="0"/>
                <w:sz w:val="24"/>
              </w:rPr>
              <w:t>设有5个面积为1.96m</w:t>
            </w:r>
            <w:r>
              <w:rPr>
                <w:rFonts w:hint="eastAsia"/>
                <w:color w:val="auto"/>
                <w:kern w:val="0"/>
                <w:sz w:val="24"/>
                <w:vertAlign w:val="superscript"/>
              </w:rPr>
              <w:t>2</w:t>
            </w:r>
            <w:r>
              <w:rPr>
                <w:rFonts w:hint="eastAsia"/>
                <w:color w:val="auto"/>
                <w:kern w:val="0"/>
                <w:sz w:val="24"/>
              </w:rPr>
              <w:t>（1.4m*1.4m）的集气罩，集气罩距离废气产生源的距离为0.3m。</w:t>
            </w:r>
            <w:r>
              <w:rPr>
                <w:rFonts w:hint="eastAsia" w:ascii="宋体" w:hAnsi="宋体" w:cs="宋体"/>
                <w:color w:val="auto"/>
                <w:kern w:val="0"/>
                <w:sz w:val="24"/>
                <w:lang w:bidi="ar"/>
              </w:rPr>
              <w:t>参照王纯、张殿印主编的《废气处理工程技术手册》推荐的适用于上部集气罩的风量计算公式：</w:t>
            </w:r>
          </w:p>
          <w:p w14:paraId="17382785">
            <w:pPr>
              <w:spacing w:line="360" w:lineRule="auto"/>
              <w:ind w:firstLine="480" w:firstLineChars="200"/>
              <w:rPr>
                <w:color w:val="auto"/>
                <w:kern w:val="0"/>
                <w:sz w:val="24"/>
                <w:vertAlign w:val="superscript"/>
              </w:rPr>
            </w:pPr>
            <w:r>
              <w:rPr>
                <w:rFonts w:hint="eastAsia"/>
                <w:color w:val="auto"/>
                <w:kern w:val="0"/>
                <w:sz w:val="24"/>
              </w:rPr>
              <w:t>Q=WHV</w:t>
            </w:r>
            <w:r>
              <w:rPr>
                <w:rFonts w:hint="eastAsia"/>
                <w:color w:val="auto"/>
                <w:kern w:val="0"/>
                <w:sz w:val="24"/>
                <w:vertAlign w:val="subscript"/>
              </w:rPr>
              <w:t>X</w:t>
            </w:r>
            <w:r>
              <w:rPr>
                <w:rFonts w:ascii="Arial" w:hAnsi="Arial" w:cs="Arial"/>
                <w:color w:val="auto"/>
                <w:kern w:val="0"/>
                <w:sz w:val="24"/>
              </w:rPr>
              <w:t>×</w:t>
            </w:r>
            <w:r>
              <w:rPr>
                <w:rFonts w:hint="eastAsia"/>
                <w:color w:val="auto"/>
                <w:kern w:val="0"/>
                <w:sz w:val="24"/>
              </w:rPr>
              <w:t>3600</w:t>
            </w:r>
          </w:p>
          <w:p w14:paraId="17382786">
            <w:pPr>
              <w:spacing w:line="360" w:lineRule="auto"/>
              <w:ind w:firstLine="480" w:firstLineChars="200"/>
              <w:rPr>
                <w:color w:val="auto"/>
                <w:kern w:val="0"/>
                <w:sz w:val="24"/>
              </w:rPr>
            </w:pPr>
            <w:r>
              <w:rPr>
                <w:rFonts w:hint="eastAsia"/>
                <w:color w:val="auto"/>
                <w:kern w:val="0"/>
                <w:sz w:val="24"/>
              </w:rPr>
              <w:t>其中：W-集气罩罩口长度</w:t>
            </w:r>
          </w:p>
          <w:p w14:paraId="17382787">
            <w:pPr>
              <w:spacing w:line="360" w:lineRule="auto"/>
              <w:ind w:firstLine="480" w:firstLineChars="200"/>
              <w:rPr>
                <w:color w:val="auto"/>
                <w:kern w:val="0"/>
                <w:sz w:val="24"/>
              </w:rPr>
            </w:pPr>
            <w:r>
              <w:rPr>
                <w:rFonts w:hint="eastAsia"/>
                <w:color w:val="auto"/>
                <w:kern w:val="0"/>
                <w:sz w:val="24"/>
              </w:rPr>
              <w:t>H-集气罩至污染源的距离；</w:t>
            </w:r>
          </w:p>
          <w:p w14:paraId="17382788">
            <w:pPr>
              <w:spacing w:line="360" w:lineRule="auto"/>
              <w:ind w:firstLine="480" w:firstLineChars="200"/>
              <w:rPr>
                <w:color w:val="auto"/>
                <w:kern w:val="0"/>
                <w:sz w:val="24"/>
              </w:rPr>
            </w:pPr>
            <w:r>
              <w:rPr>
                <w:rFonts w:hint="eastAsia"/>
                <w:color w:val="auto"/>
                <w:kern w:val="0"/>
                <w:sz w:val="24"/>
              </w:rPr>
              <w:t>V</w:t>
            </w:r>
            <w:r>
              <w:rPr>
                <w:rFonts w:hint="eastAsia"/>
                <w:color w:val="auto"/>
                <w:kern w:val="0"/>
                <w:sz w:val="24"/>
                <w:vertAlign w:val="subscript"/>
              </w:rPr>
              <w:t>X</w:t>
            </w:r>
            <w:r>
              <w:rPr>
                <w:rFonts w:hint="eastAsia"/>
                <w:color w:val="auto"/>
                <w:kern w:val="0"/>
                <w:sz w:val="24"/>
              </w:rPr>
              <w:t>-控制风速（根据局部排风设施控制风速检测与评估技术规范（AQ/T4274-2016），伞形罩集气罩的控制风速为0.5m/s，本项目取0.5m/s）。</w:t>
            </w:r>
          </w:p>
          <w:p w14:paraId="02D41538">
            <w:pPr>
              <w:widowControl/>
              <w:spacing w:line="360" w:lineRule="auto"/>
              <w:ind w:firstLine="480" w:firstLineChars="200"/>
              <w:rPr>
                <w:rFonts w:hint="eastAsia"/>
                <w:color w:val="auto"/>
                <w:sz w:val="24"/>
              </w:rPr>
            </w:pPr>
            <w:r>
              <w:rPr>
                <w:rFonts w:hint="eastAsia"/>
                <w:color w:val="auto"/>
                <w:kern w:val="0"/>
                <w:sz w:val="24"/>
              </w:rPr>
              <w:t>经计算，5个集气罩风量应为3780</w:t>
            </w:r>
            <w:r>
              <w:rPr>
                <w:color w:val="auto"/>
                <w:sz w:val="24"/>
              </w:rPr>
              <w:t>m</w:t>
            </w:r>
            <w:r>
              <w:rPr>
                <w:color w:val="auto"/>
                <w:sz w:val="24"/>
                <w:vertAlign w:val="superscript"/>
              </w:rPr>
              <w:t>3</w:t>
            </w:r>
            <w:r>
              <w:rPr>
                <w:color w:val="auto"/>
                <w:sz w:val="24"/>
              </w:rPr>
              <w:t>/</w:t>
            </w:r>
            <w:r>
              <w:rPr>
                <w:rFonts w:hint="eastAsia"/>
                <w:color w:val="auto"/>
                <w:sz w:val="24"/>
              </w:rPr>
              <w:t>h，为保证收集效率，风量设为4000</w:t>
            </w:r>
            <w:r>
              <w:rPr>
                <w:color w:val="auto"/>
                <w:sz w:val="24"/>
              </w:rPr>
              <w:t>m</w:t>
            </w:r>
            <w:r>
              <w:rPr>
                <w:color w:val="auto"/>
                <w:sz w:val="24"/>
                <w:vertAlign w:val="superscript"/>
              </w:rPr>
              <w:t>3</w:t>
            </w:r>
            <w:r>
              <w:rPr>
                <w:color w:val="auto"/>
                <w:sz w:val="24"/>
              </w:rPr>
              <w:t>/</w:t>
            </w:r>
            <w:r>
              <w:rPr>
                <w:rFonts w:hint="eastAsia"/>
                <w:color w:val="auto"/>
                <w:sz w:val="24"/>
              </w:rPr>
              <w:t>h，可满足要求，收集效率以</w:t>
            </w:r>
            <w:r>
              <w:rPr>
                <w:rFonts w:hint="eastAsia"/>
                <w:color w:val="auto"/>
                <w:sz w:val="24"/>
                <w:lang w:val="en-US" w:eastAsia="zh-CN"/>
              </w:rPr>
              <w:t>95</w:t>
            </w:r>
            <w:r>
              <w:rPr>
                <w:rFonts w:hint="eastAsia"/>
                <w:color w:val="auto"/>
                <w:sz w:val="24"/>
              </w:rPr>
              <w:t>%计。</w:t>
            </w:r>
            <w:r>
              <w:rPr>
                <w:rFonts w:hint="eastAsia"/>
                <w:color w:val="auto"/>
                <w:sz w:val="24"/>
                <w:lang w:val="en-US" w:eastAsia="zh-CN"/>
              </w:rPr>
              <w:t>注塑</w:t>
            </w:r>
            <w:r>
              <w:rPr>
                <w:rFonts w:hint="default" w:ascii="Times New Roman" w:hAnsi="Times New Roman" w:eastAsia="宋体" w:cs="Times New Roman"/>
                <w:color w:val="auto"/>
                <w:sz w:val="24"/>
              </w:rPr>
              <w:t>废气经</w:t>
            </w:r>
            <w:r>
              <w:rPr>
                <w:rFonts w:hint="eastAsia" w:cs="Times New Roman"/>
                <w:color w:val="auto"/>
                <w:sz w:val="24"/>
                <w:lang w:val="en-US" w:eastAsia="zh-CN"/>
              </w:rPr>
              <w:t>密闭车间并</w:t>
            </w:r>
            <w:r>
              <w:rPr>
                <w:rFonts w:hint="eastAsia" w:ascii="Times New Roman" w:hAnsi="Times New Roman" w:eastAsia="宋体" w:cs="Times New Roman"/>
                <w:color w:val="auto"/>
                <w:sz w:val="24"/>
                <w:lang w:val="en-US" w:eastAsia="zh-CN"/>
              </w:rPr>
              <w:t>集气罩</w:t>
            </w:r>
            <w:r>
              <w:rPr>
                <w:rFonts w:hint="default" w:ascii="Times New Roman" w:hAnsi="Times New Roman" w:eastAsia="宋体" w:cs="Times New Roman"/>
                <w:color w:val="auto"/>
                <w:sz w:val="24"/>
              </w:rPr>
              <w:t>负压收集后，有组织</w:t>
            </w:r>
            <w:r>
              <w:rPr>
                <w:rFonts w:hint="eastAsia" w:ascii="Times New Roman" w:hAnsi="Times New Roman" w:eastAsia="宋体" w:cs="Times New Roman"/>
                <w:color w:val="auto"/>
                <w:sz w:val="24"/>
                <w:lang w:val="en-US" w:eastAsia="zh-CN"/>
              </w:rPr>
              <w:t>非甲烷总烃</w:t>
            </w:r>
            <w:r>
              <w:rPr>
                <w:rFonts w:hint="default" w:ascii="Times New Roman" w:hAnsi="Times New Roman" w:eastAsia="宋体" w:cs="Times New Roman"/>
                <w:color w:val="auto"/>
                <w:sz w:val="24"/>
              </w:rPr>
              <w:t>产生量为</w:t>
            </w:r>
            <w:r>
              <w:rPr>
                <w:rFonts w:hint="eastAsia" w:ascii="Times New Roman" w:hAnsi="Times New Roman" w:eastAsia="宋体" w:cs="Times New Roman"/>
                <w:color w:val="auto"/>
                <w:sz w:val="24"/>
                <w:lang w:val="en-US" w:eastAsia="zh-CN"/>
              </w:rPr>
              <w:t>0.</w:t>
            </w:r>
            <w:r>
              <w:rPr>
                <w:rFonts w:hint="eastAsia" w:cs="Times New Roman"/>
                <w:color w:val="auto"/>
                <w:sz w:val="24"/>
                <w:lang w:val="en-US" w:eastAsia="zh-CN"/>
              </w:rPr>
              <w:t>1283</w:t>
            </w:r>
            <w:r>
              <w:rPr>
                <w:rFonts w:hint="default" w:ascii="Times New Roman" w:hAnsi="Times New Roman" w:eastAsia="宋体" w:cs="Times New Roman"/>
                <w:color w:val="auto"/>
                <w:sz w:val="24"/>
              </w:rPr>
              <w:t>t/a（产生速率</w:t>
            </w:r>
            <w:r>
              <w:rPr>
                <w:rFonts w:hint="eastAsia" w:ascii="Times New Roman" w:hAnsi="Times New Roman" w:eastAsia="宋体" w:cs="Times New Roman"/>
                <w:color w:val="auto"/>
                <w:sz w:val="24"/>
                <w:lang w:val="en-US" w:eastAsia="zh-CN"/>
              </w:rPr>
              <w:t>0.05</w:t>
            </w:r>
            <w:r>
              <w:rPr>
                <w:rFonts w:hint="eastAsia" w:cs="Times New Roman"/>
                <w:color w:val="auto"/>
                <w:sz w:val="24"/>
                <w:lang w:val="en-US" w:eastAsia="zh-CN"/>
              </w:rPr>
              <w:t>34</w:t>
            </w:r>
            <w:r>
              <w:rPr>
                <w:rFonts w:hint="default" w:ascii="Times New Roman" w:hAnsi="Times New Roman" w:eastAsia="宋体" w:cs="Times New Roman"/>
                <w:color w:val="auto"/>
                <w:sz w:val="24"/>
              </w:rPr>
              <w:t>kg/h），年工作2400h，</w:t>
            </w:r>
            <w:r>
              <w:rPr>
                <w:rFonts w:hint="eastAsia" w:ascii="Times New Roman" w:hAnsi="Times New Roman" w:eastAsia="宋体" w:cs="Times New Roman"/>
                <w:color w:val="auto"/>
                <w:sz w:val="24"/>
                <w:lang w:val="en-US" w:eastAsia="zh-CN"/>
              </w:rPr>
              <w:t>收集后的废气</w:t>
            </w:r>
            <w:r>
              <w:rPr>
                <w:rFonts w:hint="default" w:ascii="Times New Roman" w:hAnsi="Times New Roman" w:eastAsia="宋体" w:cs="Times New Roman"/>
                <w:color w:val="auto"/>
                <w:sz w:val="24"/>
              </w:rPr>
              <w:t>经</w:t>
            </w:r>
            <w:r>
              <w:rPr>
                <w:rFonts w:hint="eastAsia" w:ascii="Times New Roman" w:hAnsi="Times New Roman" w:eastAsia="宋体" w:cs="Times New Roman"/>
                <w:color w:val="auto"/>
                <w:sz w:val="24"/>
                <w:lang w:val="en-US" w:eastAsia="zh-CN"/>
              </w:rPr>
              <w:t>二级活性炭处理后通过</w:t>
            </w:r>
            <w:r>
              <w:rPr>
                <w:rFonts w:hint="default" w:ascii="Times New Roman" w:hAnsi="Times New Roman" w:eastAsia="宋体" w:cs="Times New Roman"/>
                <w:color w:val="auto"/>
                <w:sz w:val="24"/>
              </w:rPr>
              <w:t>1根15m</w:t>
            </w:r>
            <w:r>
              <w:rPr>
                <w:rFonts w:hint="eastAsia" w:ascii="Times New Roman" w:hAnsi="Times New Roman" w:eastAsia="宋体" w:cs="Times New Roman"/>
                <w:color w:val="auto"/>
                <w:sz w:val="24"/>
                <w:lang w:val="en-US" w:eastAsia="zh-CN"/>
              </w:rPr>
              <w:t>高</w:t>
            </w:r>
            <w:r>
              <w:rPr>
                <w:rFonts w:hint="default" w:ascii="Times New Roman" w:hAnsi="Times New Roman" w:eastAsia="宋体" w:cs="Times New Roman"/>
                <w:color w:val="auto"/>
                <w:sz w:val="24"/>
              </w:rPr>
              <w:t>DA001排气筒</w:t>
            </w:r>
            <w:r>
              <w:rPr>
                <w:rFonts w:hint="eastAsia" w:ascii="Times New Roman" w:hAnsi="Times New Roman" w:eastAsia="宋体" w:cs="Times New Roman"/>
                <w:color w:val="auto"/>
                <w:sz w:val="24"/>
                <w:lang w:val="en-US" w:eastAsia="zh-CN"/>
              </w:rPr>
              <w:t>高空</w:t>
            </w:r>
            <w:r>
              <w:rPr>
                <w:rFonts w:hint="default" w:ascii="Times New Roman" w:hAnsi="Times New Roman" w:eastAsia="宋体" w:cs="Times New Roman"/>
                <w:color w:val="auto"/>
                <w:sz w:val="24"/>
              </w:rPr>
              <w:t>排放，则有组织</w:t>
            </w:r>
            <w:r>
              <w:rPr>
                <w:rFonts w:hint="eastAsia" w:ascii="Times New Roman" w:hAnsi="Times New Roman" w:eastAsia="宋体" w:cs="Times New Roman"/>
                <w:color w:val="auto"/>
                <w:sz w:val="24"/>
                <w:lang w:val="en-US" w:eastAsia="zh-CN"/>
              </w:rPr>
              <w:t>非甲烷总烃</w:t>
            </w:r>
            <w:r>
              <w:rPr>
                <w:rFonts w:hint="default" w:ascii="Times New Roman" w:hAnsi="Times New Roman" w:eastAsia="宋体" w:cs="Times New Roman"/>
                <w:color w:val="auto"/>
                <w:sz w:val="24"/>
              </w:rPr>
              <w:t>排放量为</w:t>
            </w:r>
            <w:r>
              <w:rPr>
                <w:rFonts w:hint="eastAsia" w:ascii="Times New Roman" w:hAnsi="Times New Roman" w:eastAsia="宋体" w:cs="Times New Roman"/>
                <w:color w:val="auto"/>
                <w:sz w:val="24"/>
                <w:lang w:val="en-US" w:eastAsia="zh-CN"/>
              </w:rPr>
              <w:t>0.0</w:t>
            </w:r>
            <w:r>
              <w:rPr>
                <w:rFonts w:hint="eastAsia" w:cs="Times New Roman"/>
                <w:color w:val="auto"/>
                <w:sz w:val="24"/>
                <w:lang w:val="en-US" w:eastAsia="zh-CN"/>
              </w:rPr>
              <w:t>128</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0.005</w:t>
            </w:r>
            <w:r>
              <w:rPr>
                <w:rFonts w:hint="eastAsia" w:cs="Times New Roman"/>
                <w:color w:val="auto"/>
                <w:sz w:val="24"/>
                <w:lang w:val="en-US" w:eastAsia="zh-CN"/>
              </w:rPr>
              <w:t>3</w:t>
            </w:r>
            <w:r>
              <w:rPr>
                <w:rFonts w:hint="default" w:ascii="Times New Roman" w:hAnsi="Times New Roman" w:eastAsia="宋体" w:cs="Times New Roman"/>
                <w:color w:val="auto"/>
                <w:sz w:val="24"/>
              </w:rPr>
              <w:t>kg/h）；无组织</w:t>
            </w:r>
            <w:r>
              <w:rPr>
                <w:rFonts w:hint="eastAsia" w:ascii="Times New Roman" w:hAnsi="Times New Roman" w:eastAsia="宋体" w:cs="Times New Roman"/>
                <w:color w:val="auto"/>
                <w:sz w:val="24"/>
                <w:lang w:val="en-US" w:eastAsia="zh-CN"/>
              </w:rPr>
              <w:t>非甲烷总烃</w:t>
            </w:r>
            <w:r>
              <w:rPr>
                <w:rFonts w:hint="default" w:ascii="Times New Roman" w:hAnsi="Times New Roman" w:eastAsia="宋体" w:cs="Times New Roman"/>
                <w:color w:val="auto"/>
                <w:sz w:val="24"/>
              </w:rPr>
              <w:t>排放量为</w:t>
            </w:r>
            <w:r>
              <w:rPr>
                <w:rFonts w:hint="eastAsia" w:cs="Times New Roman"/>
                <w:color w:val="auto"/>
                <w:sz w:val="24"/>
                <w:lang w:val="en-US" w:eastAsia="zh-CN"/>
              </w:rPr>
              <w:t>0.0067</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0.00</w:t>
            </w:r>
            <w:r>
              <w:rPr>
                <w:rFonts w:hint="eastAsia" w:cs="Times New Roman"/>
                <w:color w:val="auto"/>
                <w:sz w:val="24"/>
                <w:lang w:val="en-US" w:eastAsia="zh-CN"/>
              </w:rPr>
              <w:t>28</w:t>
            </w:r>
            <w:r>
              <w:rPr>
                <w:rFonts w:hint="default" w:ascii="Times New Roman" w:hAnsi="Times New Roman" w:eastAsia="宋体" w:cs="Times New Roman"/>
                <w:color w:val="auto"/>
                <w:sz w:val="24"/>
              </w:rPr>
              <w:t>kg/h）。</w:t>
            </w:r>
          </w:p>
          <w:p w14:paraId="1738278A">
            <w:pPr>
              <w:widowControl/>
              <w:spacing w:line="360" w:lineRule="auto"/>
              <w:ind w:firstLine="480" w:firstLineChars="200"/>
              <w:rPr>
                <w:color w:val="auto"/>
                <w:sz w:val="24"/>
              </w:rPr>
            </w:pPr>
            <w:r>
              <w:rPr>
                <w:rFonts w:hint="eastAsia"/>
                <w:color w:val="auto"/>
                <w:sz w:val="24"/>
              </w:rPr>
              <w:t>（4）抛丸废气G6</w:t>
            </w:r>
          </w:p>
          <w:p w14:paraId="1738278C">
            <w:pPr>
              <w:widowControl/>
              <w:spacing w:line="360" w:lineRule="auto"/>
              <w:ind w:firstLine="480" w:firstLineChars="200"/>
              <w:rPr>
                <w:color w:val="auto"/>
                <w:sz w:val="24"/>
              </w:rPr>
            </w:pPr>
            <w:r>
              <w:rPr>
                <w:rFonts w:hint="eastAsia"/>
                <w:color w:val="auto"/>
                <w:sz w:val="24"/>
              </w:rPr>
              <w:t>本项目抛丸过程中会产生抛丸粉尘，产污系数参照《排放源统计调查产排污核算方法和系数手册》“机械行业系数手册”中</w:t>
            </w:r>
            <w:r>
              <w:rPr>
                <w:color w:val="auto"/>
                <w:sz w:val="24"/>
              </w:rPr>
              <w:t>06</w:t>
            </w:r>
            <w:r>
              <w:rPr>
                <w:rFonts w:hint="eastAsia"/>
                <w:color w:val="auto"/>
                <w:sz w:val="24"/>
              </w:rPr>
              <w:t>预处理环节抛丸过程，系数为</w:t>
            </w:r>
            <w:r>
              <w:rPr>
                <w:color w:val="auto"/>
                <w:sz w:val="24"/>
              </w:rPr>
              <w:t>2.19kg/t·</w:t>
            </w:r>
            <w:r>
              <w:rPr>
                <w:rFonts w:hint="eastAsia"/>
                <w:color w:val="auto"/>
                <w:sz w:val="24"/>
              </w:rPr>
              <w:t>原料。本项目需抛丸原料（工件及钢丸）共计约500.5</w:t>
            </w:r>
            <w:r>
              <w:rPr>
                <w:color w:val="auto"/>
                <w:sz w:val="24"/>
              </w:rPr>
              <w:t>t/a</w:t>
            </w:r>
            <w:r>
              <w:rPr>
                <w:rFonts w:hint="eastAsia"/>
                <w:color w:val="auto"/>
                <w:sz w:val="24"/>
              </w:rPr>
              <w:t>，则抛丸粉尘产生量为1.0961</w:t>
            </w:r>
            <w:r>
              <w:rPr>
                <w:color w:val="auto"/>
                <w:sz w:val="24"/>
              </w:rPr>
              <w:t>t/a</w:t>
            </w:r>
            <w:r>
              <w:rPr>
                <w:rFonts w:hint="eastAsia"/>
                <w:color w:val="auto"/>
                <w:sz w:val="24"/>
              </w:rPr>
              <w:t>。本项目抛丸机为封闭结构，设有2台抛丸机，抛丸设备外接风机，抛丸过程中，风机抽风，将钢丸和颗粒物抽到抛丸机自带的分离系统中，可将钢丸、不可用钢丸和颗粒物进一步分离，合格钢丸进入丸料仓，回收再利用，不合格钢丸直接沉降进入钢丸沉降室，颗粒物则通过收集管道进入抛丸机自带的除尘设备处理后通过</w:t>
            </w:r>
            <w:r>
              <w:rPr>
                <w:rFonts w:hint="eastAsia"/>
                <w:color w:val="auto"/>
                <w:sz w:val="24"/>
                <w:lang w:val="en-US" w:eastAsia="zh-CN"/>
              </w:rPr>
              <w:t>1根1</w:t>
            </w:r>
            <w:r>
              <w:rPr>
                <w:rFonts w:hint="eastAsia"/>
                <w:color w:val="auto"/>
                <w:sz w:val="24"/>
              </w:rPr>
              <w:t>5m高</w:t>
            </w:r>
            <w:r>
              <w:rPr>
                <w:rFonts w:hint="eastAsia"/>
                <w:color w:val="auto"/>
                <w:sz w:val="24"/>
                <w:lang w:val="en-US" w:eastAsia="zh-CN"/>
              </w:rPr>
              <w:t>DA002</w:t>
            </w:r>
            <w:r>
              <w:rPr>
                <w:rFonts w:hint="eastAsia"/>
                <w:color w:val="auto"/>
                <w:sz w:val="24"/>
              </w:rPr>
              <w:t>排气筒</w:t>
            </w:r>
            <w:r>
              <w:rPr>
                <w:rFonts w:hint="eastAsia"/>
                <w:color w:val="auto"/>
                <w:sz w:val="24"/>
                <w:lang w:val="en-US" w:eastAsia="zh-CN"/>
              </w:rPr>
              <w:t>高空</w:t>
            </w:r>
            <w:r>
              <w:rPr>
                <w:rFonts w:hint="eastAsia"/>
                <w:color w:val="auto"/>
                <w:sz w:val="24"/>
              </w:rPr>
              <w:t>排放。因此，理论上抛丸工序生产环境是密闭的，集尘效率为</w:t>
            </w:r>
            <w:r>
              <w:rPr>
                <w:color w:val="auto"/>
                <w:sz w:val="24"/>
              </w:rPr>
              <w:t>100%</w:t>
            </w:r>
            <w:r>
              <w:rPr>
                <w:rFonts w:hint="eastAsia"/>
                <w:color w:val="auto"/>
                <w:sz w:val="24"/>
              </w:rPr>
              <w:t>，但考虑因管道、设备以及工件进出有微量的粉尘无组织排放等原因，本次评价收集效率取95</w:t>
            </w:r>
            <w:r>
              <w:rPr>
                <w:color w:val="auto"/>
                <w:sz w:val="24"/>
              </w:rPr>
              <w:t>%</w:t>
            </w:r>
            <w:r>
              <w:rPr>
                <w:rFonts w:hint="eastAsia"/>
                <w:color w:val="auto"/>
                <w:sz w:val="24"/>
              </w:rPr>
              <w:t>，布袋除尘设备处理效率取95</w:t>
            </w:r>
            <w:r>
              <w:rPr>
                <w:color w:val="auto"/>
                <w:sz w:val="24"/>
              </w:rPr>
              <w:t>%</w:t>
            </w:r>
            <w:r>
              <w:rPr>
                <w:rFonts w:hint="eastAsia"/>
                <w:color w:val="auto"/>
                <w:sz w:val="24"/>
              </w:rPr>
              <w:t>，每台抛丸机各设置</w:t>
            </w:r>
            <w:r>
              <w:rPr>
                <w:color w:val="auto"/>
                <w:sz w:val="24"/>
              </w:rPr>
              <w:t>1</w:t>
            </w:r>
            <w:r>
              <w:rPr>
                <w:rFonts w:hint="eastAsia"/>
                <w:color w:val="auto"/>
                <w:sz w:val="24"/>
              </w:rPr>
              <w:t>个吸风口（直径</w:t>
            </w:r>
            <w:r>
              <w:rPr>
                <w:color w:val="auto"/>
                <w:sz w:val="24"/>
              </w:rPr>
              <w:t>400mm</w:t>
            </w:r>
            <w:r>
              <w:rPr>
                <w:rFonts w:hint="eastAsia"/>
                <w:color w:val="auto"/>
                <w:sz w:val="24"/>
              </w:rPr>
              <w:t>），风机风量为25</w:t>
            </w:r>
            <w:r>
              <w:rPr>
                <w:color w:val="auto"/>
                <w:sz w:val="24"/>
              </w:rPr>
              <w:t>00m</w:t>
            </w:r>
            <w:r>
              <w:rPr>
                <w:color w:val="auto"/>
                <w:sz w:val="24"/>
                <w:vertAlign w:val="superscript"/>
              </w:rPr>
              <w:t>3</w:t>
            </w:r>
            <w:r>
              <w:rPr>
                <w:color w:val="auto"/>
                <w:sz w:val="24"/>
              </w:rPr>
              <w:t xml:space="preserve"> /h</w:t>
            </w:r>
            <w:r>
              <w:rPr>
                <w:rFonts w:hint="eastAsia"/>
                <w:color w:val="auto"/>
                <w:sz w:val="24"/>
              </w:rPr>
              <w:t>。经计算，经系统自带布袋除尘器处理后的抛丸粉尘有组织排放量为0.0521</w:t>
            </w:r>
            <w:r>
              <w:rPr>
                <w:color w:val="auto"/>
                <w:sz w:val="24"/>
              </w:rPr>
              <w:t>t/a</w:t>
            </w:r>
            <w:r>
              <w:rPr>
                <w:rFonts w:hint="eastAsia"/>
                <w:color w:val="auto"/>
                <w:sz w:val="24"/>
                <w:lang w:eastAsia="zh-CN"/>
              </w:rPr>
              <w:t>（</w:t>
            </w:r>
            <w:r>
              <w:rPr>
                <w:rFonts w:hint="eastAsia"/>
                <w:color w:val="auto"/>
                <w:sz w:val="24"/>
                <w:lang w:val="en-US" w:eastAsia="zh-CN"/>
              </w:rPr>
              <w:t>排放速率0.0217kg/h</w:t>
            </w:r>
            <w:r>
              <w:rPr>
                <w:rFonts w:hint="eastAsia"/>
                <w:color w:val="auto"/>
                <w:sz w:val="24"/>
                <w:lang w:eastAsia="zh-CN"/>
              </w:rPr>
              <w:t>）</w:t>
            </w:r>
            <w:r>
              <w:rPr>
                <w:rFonts w:hint="eastAsia"/>
                <w:color w:val="auto"/>
                <w:sz w:val="24"/>
              </w:rPr>
              <w:t>、无组织排放量为0.0548</w:t>
            </w:r>
            <w:r>
              <w:rPr>
                <w:color w:val="auto"/>
                <w:sz w:val="24"/>
              </w:rPr>
              <w:t>t/a</w:t>
            </w:r>
            <w:r>
              <w:rPr>
                <w:rFonts w:hint="eastAsia"/>
                <w:color w:val="auto"/>
                <w:sz w:val="24"/>
                <w:lang w:eastAsia="zh-CN"/>
              </w:rPr>
              <w:t>（</w:t>
            </w:r>
            <w:r>
              <w:rPr>
                <w:rFonts w:hint="eastAsia"/>
                <w:color w:val="auto"/>
                <w:sz w:val="24"/>
                <w:lang w:val="en-US" w:eastAsia="zh-CN"/>
              </w:rPr>
              <w:t>排放速率0.0228kg/h</w:t>
            </w:r>
            <w:r>
              <w:rPr>
                <w:rFonts w:hint="eastAsia"/>
                <w:color w:val="auto"/>
                <w:sz w:val="24"/>
                <w:lang w:eastAsia="zh-CN"/>
              </w:rPr>
              <w:t>）</w:t>
            </w:r>
            <w:r>
              <w:rPr>
                <w:rFonts w:hint="eastAsia"/>
                <w:color w:val="auto"/>
                <w:sz w:val="24"/>
              </w:rPr>
              <w:t>。</w:t>
            </w:r>
          </w:p>
          <w:p w14:paraId="1738278D">
            <w:pPr>
              <w:widowControl/>
              <w:spacing w:line="360" w:lineRule="auto"/>
              <w:ind w:firstLine="480" w:firstLineChars="200"/>
              <w:rPr>
                <w:color w:val="auto"/>
                <w:sz w:val="24"/>
              </w:rPr>
            </w:pPr>
            <w:r>
              <w:rPr>
                <w:rFonts w:hint="eastAsia"/>
                <w:color w:val="auto"/>
                <w:sz w:val="24"/>
              </w:rPr>
              <w:t>（5）喷塑废气G7</w:t>
            </w:r>
          </w:p>
          <w:p w14:paraId="1738278E">
            <w:pPr>
              <w:widowControl/>
              <w:spacing w:line="360" w:lineRule="auto"/>
              <w:ind w:firstLine="480" w:firstLineChars="200"/>
              <w:rPr>
                <w:color w:val="auto"/>
                <w:sz w:val="24"/>
              </w:rPr>
            </w:pPr>
            <w:r>
              <w:rPr>
                <w:rFonts w:hint="eastAsia"/>
                <w:color w:val="auto"/>
                <w:sz w:val="24"/>
              </w:rPr>
              <w:t>根据《排放源统计调查产排污核算方法和系数手册》“机械行业系数手册”中</w:t>
            </w:r>
            <w:r>
              <w:rPr>
                <w:color w:val="auto"/>
                <w:sz w:val="24"/>
              </w:rPr>
              <w:t>14</w:t>
            </w:r>
            <w:r>
              <w:rPr>
                <w:rFonts w:hint="eastAsia"/>
                <w:color w:val="auto"/>
                <w:sz w:val="24"/>
              </w:rPr>
              <w:t>涂装环节，喷塑过程中颗粒物的产污系数为</w:t>
            </w:r>
            <w:r>
              <w:rPr>
                <w:color w:val="auto"/>
                <w:sz w:val="24"/>
              </w:rPr>
              <w:t>300</w:t>
            </w:r>
            <w:r>
              <w:rPr>
                <w:rFonts w:hint="eastAsia"/>
                <w:color w:val="auto"/>
                <w:sz w:val="24"/>
              </w:rPr>
              <w:t>千克</w:t>
            </w:r>
            <w:r>
              <w:rPr>
                <w:color w:val="auto"/>
                <w:sz w:val="24"/>
              </w:rPr>
              <w:t>/</w:t>
            </w:r>
            <w:r>
              <w:rPr>
                <w:rFonts w:hint="eastAsia"/>
                <w:color w:val="auto"/>
                <w:sz w:val="24"/>
              </w:rPr>
              <w:t>吨</w:t>
            </w:r>
            <w:r>
              <w:rPr>
                <w:color w:val="auto"/>
                <w:sz w:val="24"/>
              </w:rPr>
              <w:t>-</w:t>
            </w:r>
            <w:r>
              <w:rPr>
                <w:rFonts w:hint="eastAsia"/>
                <w:color w:val="auto"/>
                <w:sz w:val="24"/>
              </w:rPr>
              <w:t>原料。本项目塑粉用量为4.5</w:t>
            </w:r>
            <w:r>
              <w:rPr>
                <w:color w:val="auto"/>
                <w:sz w:val="24"/>
              </w:rPr>
              <w:t>t/a</w:t>
            </w:r>
            <w:r>
              <w:rPr>
                <w:rFonts w:hint="eastAsia"/>
                <w:color w:val="auto"/>
                <w:sz w:val="24"/>
              </w:rPr>
              <w:t>，则喷塑粉尘产生量为1.35</w:t>
            </w:r>
            <w:r>
              <w:rPr>
                <w:color w:val="auto"/>
                <w:sz w:val="24"/>
              </w:rPr>
              <w:t>t/a</w:t>
            </w:r>
            <w:r>
              <w:rPr>
                <w:rFonts w:hint="eastAsia"/>
                <w:color w:val="auto"/>
                <w:sz w:val="24"/>
              </w:rPr>
              <w:t>。</w:t>
            </w:r>
          </w:p>
          <w:p w14:paraId="3B3BC18A">
            <w:pPr>
              <w:widowControl/>
              <w:spacing w:line="360" w:lineRule="auto"/>
              <w:ind w:firstLine="480" w:firstLineChars="200"/>
              <w:rPr>
                <w:rFonts w:hint="eastAsia"/>
                <w:color w:val="auto"/>
                <w:sz w:val="24"/>
              </w:rPr>
            </w:pPr>
            <w:r>
              <w:rPr>
                <w:rFonts w:hint="eastAsia"/>
                <w:color w:val="auto"/>
                <w:sz w:val="24"/>
              </w:rPr>
              <w:t>本项目喷塑线一端开口方便工件进出，其余封闭，产生的粉尘经设备自带旋风+脉冲滤芯除尘器进行收集处理后通过</w:t>
            </w:r>
            <w:r>
              <w:rPr>
                <w:rFonts w:hint="eastAsia"/>
                <w:color w:val="auto"/>
                <w:sz w:val="24"/>
                <w:lang w:val="en-US" w:eastAsia="zh-CN"/>
              </w:rPr>
              <w:t>1根</w:t>
            </w:r>
            <w:r>
              <w:rPr>
                <w:color w:val="auto"/>
                <w:sz w:val="24"/>
              </w:rPr>
              <w:t>15m</w:t>
            </w:r>
            <w:r>
              <w:rPr>
                <w:rFonts w:hint="eastAsia"/>
                <w:color w:val="auto"/>
                <w:sz w:val="24"/>
                <w:lang w:val="en-US" w:eastAsia="zh-CN"/>
              </w:rPr>
              <w:t>高DA002</w:t>
            </w:r>
            <w:r>
              <w:rPr>
                <w:rFonts w:hint="eastAsia"/>
                <w:color w:val="auto"/>
                <w:sz w:val="24"/>
              </w:rPr>
              <w:t>排气筒排放，收集效率按95</w:t>
            </w:r>
            <w:r>
              <w:rPr>
                <w:color w:val="auto"/>
                <w:sz w:val="24"/>
              </w:rPr>
              <w:t>%</w:t>
            </w:r>
            <w:r>
              <w:rPr>
                <w:rFonts w:hint="eastAsia"/>
                <w:color w:val="auto"/>
                <w:sz w:val="24"/>
              </w:rPr>
              <w:t>计，去除效率按</w:t>
            </w:r>
            <w:r>
              <w:rPr>
                <w:color w:val="auto"/>
                <w:sz w:val="24"/>
              </w:rPr>
              <w:t>9</w:t>
            </w:r>
            <w:r>
              <w:rPr>
                <w:rFonts w:hint="eastAsia"/>
                <w:color w:val="auto"/>
                <w:sz w:val="24"/>
              </w:rPr>
              <w:t>8</w:t>
            </w:r>
            <w:r>
              <w:rPr>
                <w:color w:val="auto"/>
                <w:sz w:val="24"/>
              </w:rPr>
              <w:t>%</w:t>
            </w:r>
            <w:r>
              <w:rPr>
                <w:rFonts w:hint="eastAsia"/>
                <w:color w:val="auto"/>
                <w:sz w:val="24"/>
              </w:rPr>
              <w:t>计，风机风量为</w:t>
            </w:r>
            <w:r>
              <w:rPr>
                <w:color w:val="auto"/>
                <w:sz w:val="24"/>
              </w:rPr>
              <w:t>5000m</w:t>
            </w:r>
            <w:r>
              <w:rPr>
                <w:color w:val="auto"/>
                <w:sz w:val="24"/>
                <w:vertAlign w:val="superscript"/>
              </w:rPr>
              <w:t>3</w:t>
            </w:r>
            <w:r>
              <w:rPr>
                <w:color w:val="auto"/>
                <w:sz w:val="24"/>
              </w:rPr>
              <w:t xml:space="preserve"> /h</w:t>
            </w:r>
            <w:r>
              <w:rPr>
                <w:rFonts w:hint="eastAsia"/>
                <w:color w:val="auto"/>
                <w:sz w:val="24"/>
              </w:rPr>
              <w:t>，则喷塑粉尘有组织排放量为</w:t>
            </w:r>
            <w:r>
              <w:rPr>
                <w:color w:val="auto"/>
                <w:sz w:val="24"/>
              </w:rPr>
              <w:t>0.0</w:t>
            </w:r>
            <w:r>
              <w:rPr>
                <w:rFonts w:hint="eastAsia"/>
                <w:color w:val="auto"/>
                <w:sz w:val="24"/>
              </w:rPr>
              <w:t>257</w:t>
            </w:r>
            <w:r>
              <w:rPr>
                <w:color w:val="auto"/>
                <w:sz w:val="24"/>
              </w:rPr>
              <w:t>t/a</w:t>
            </w:r>
            <w:r>
              <w:rPr>
                <w:rFonts w:hint="eastAsia"/>
                <w:color w:val="auto"/>
                <w:sz w:val="24"/>
                <w:lang w:eastAsia="zh-CN"/>
              </w:rPr>
              <w:t>（</w:t>
            </w:r>
            <w:r>
              <w:rPr>
                <w:rFonts w:hint="eastAsia"/>
                <w:color w:val="auto"/>
                <w:sz w:val="24"/>
                <w:lang w:val="en-US" w:eastAsia="zh-CN"/>
              </w:rPr>
              <w:t>排放速率0.0107kg/h</w:t>
            </w:r>
            <w:r>
              <w:rPr>
                <w:rFonts w:hint="eastAsia"/>
                <w:color w:val="auto"/>
                <w:sz w:val="24"/>
                <w:lang w:eastAsia="zh-CN"/>
              </w:rPr>
              <w:t>）</w:t>
            </w:r>
            <w:r>
              <w:rPr>
                <w:rFonts w:hint="eastAsia"/>
                <w:color w:val="auto"/>
                <w:sz w:val="24"/>
              </w:rPr>
              <w:t>、未被收集的粉尘量为0.06</w:t>
            </w:r>
            <w:r>
              <w:rPr>
                <w:rFonts w:hint="eastAsia"/>
                <w:color w:val="auto"/>
                <w:sz w:val="24"/>
                <w:lang w:val="en-US" w:eastAsia="zh-CN"/>
              </w:rPr>
              <w:t>75</w:t>
            </w:r>
            <w:r>
              <w:rPr>
                <w:color w:val="auto"/>
                <w:sz w:val="24"/>
              </w:rPr>
              <w:t>t/a</w:t>
            </w:r>
            <w:r>
              <w:rPr>
                <w:rFonts w:hint="eastAsia"/>
                <w:color w:val="auto"/>
                <w:sz w:val="24"/>
              </w:rPr>
              <w:t>，根据同类型项目，其中</w:t>
            </w:r>
            <w:r>
              <w:rPr>
                <w:color w:val="auto"/>
                <w:sz w:val="24"/>
              </w:rPr>
              <w:t>90%</w:t>
            </w:r>
            <w:r>
              <w:rPr>
                <w:rFonts w:hint="eastAsia"/>
                <w:color w:val="auto"/>
                <w:sz w:val="24"/>
              </w:rPr>
              <w:t>由于自身重力沉降于喷粉柜内，经回收后再利用，其余</w:t>
            </w:r>
            <w:r>
              <w:rPr>
                <w:color w:val="auto"/>
                <w:sz w:val="24"/>
              </w:rPr>
              <w:t>10%</w:t>
            </w:r>
            <w:r>
              <w:rPr>
                <w:rFonts w:hint="eastAsia"/>
                <w:color w:val="auto"/>
                <w:sz w:val="24"/>
              </w:rPr>
              <w:t>以无组织形式逸散于喷粉隔间内，则喷涂粉尘无组织排放总量为0.0068</w:t>
            </w:r>
            <w:r>
              <w:rPr>
                <w:color w:val="auto"/>
                <w:sz w:val="24"/>
              </w:rPr>
              <w:t>t/a</w:t>
            </w:r>
            <w:r>
              <w:rPr>
                <w:rFonts w:hint="eastAsia"/>
                <w:color w:val="auto"/>
                <w:sz w:val="24"/>
                <w:lang w:eastAsia="zh-CN"/>
              </w:rPr>
              <w:t>（</w:t>
            </w:r>
            <w:r>
              <w:rPr>
                <w:rFonts w:hint="eastAsia"/>
                <w:color w:val="auto"/>
                <w:sz w:val="24"/>
                <w:lang w:val="en-US" w:eastAsia="zh-CN"/>
              </w:rPr>
              <w:t>排放速率0.0028kg/h</w:t>
            </w:r>
            <w:r>
              <w:rPr>
                <w:rFonts w:hint="eastAsia"/>
                <w:color w:val="auto"/>
                <w:sz w:val="24"/>
                <w:lang w:eastAsia="zh-CN"/>
              </w:rPr>
              <w:t>）</w:t>
            </w:r>
            <w:r>
              <w:rPr>
                <w:rFonts w:hint="eastAsia"/>
                <w:color w:val="auto"/>
                <w:sz w:val="24"/>
              </w:rPr>
              <w:t>。</w:t>
            </w:r>
          </w:p>
          <w:p w14:paraId="17382790">
            <w:pPr>
              <w:widowControl/>
              <w:spacing w:line="360" w:lineRule="auto"/>
              <w:ind w:firstLine="480" w:firstLineChars="200"/>
              <w:rPr>
                <w:color w:val="auto"/>
                <w:sz w:val="24"/>
              </w:rPr>
            </w:pPr>
            <w:r>
              <w:rPr>
                <w:rFonts w:hint="eastAsia"/>
                <w:color w:val="auto"/>
                <w:sz w:val="24"/>
              </w:rPr>
              <w:t>喷粉室风量核算：根据《涂装作业安全规程 粉末静电喷涂工艺安全》（</w:t>
            </w:r>
            <w:r>
              <w:rPr>
                <w:color w:val="auto"/>
                <w:sz w:val="24"/>
              </w:rPr>
              <w:t>GB15607-2008</w:t>
            </w:r>
            <w:r>
              <w:rPr>
                <w:rFonts w:hint="eastAsia"/>
                <w:color w:val="auto"/>
                <w:sz w:val="24"/>
              </w:rPr>
              <w:t>）附录</w:t>
            </w:r>
            <w:r>
              <w:rPr>
                <w:color w:val="auto"/>
                <w:sz w:val="24"/>
              </w:rPr>
              <w:t xml:space="preserve">A </w:t>
            </w:r>
            <w:r>
              <w:rPr>
                <w:rFonts w:hint="eastAsia"/>
                <w:color w:val="auto"/>
                <w:sz w:val="24"/>
              </w:rPr>
              <w:t>静电喷粉室排放量（抽风量）计算方法，静电喷粉室排风量通常是为了喷粉作业时的安全与操作工人的健康设定的，分别用安全与卫生两种方法计算然后取其大值。两种计算方法如下：</w:t>
            </w:r>
          </w:p>
          <w:p w14:paraId="17382792">
            <w:pPr>
              <w:widowControl/>
              <w:spacing w:line="360" w:lineRule="auto"/>
              <w:jc w:val="center"/>
              <w:rPr>
                <w:color w:val="auto"/>
              </w:rPr>
            </w:pPr>
            <w:r>
              <w:rPr>
                <w:color w:val="auto"/>
                <w:sz w:val="24"/>
              </w:rPr>
              <w:t xml:space="preserve">A.1.1 </w:t>
            </w:r>
            <w:r>
              <w:rPr>
                <w:rFonts w:hint="eastAsia"/>
                <w:color w:val="auto"/>
                <w:sz w:val="24"/>
              </w:rPr>
              <w:t>以安全角度计：</w:t>
            </w:r>
            <w:r>
              <w:rPr>
                <w:color w:val="auto"/>
              </w:rPr>
              <w:drawing>
                <wp:inline distT="0" distB="0" distL="114300" distR="114300">
                  <wp:extent cx="2295525" cy="542925"/>
                  <wp:effectExtent l="0" t="0" r="9525" b="952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11"/>
                          <a:stretch>
                            <a:fillRect/>
                          </a:stretch>
                        </pic:blipFill>
                        <pic:spPr>
                          <a:xfrm>
                            <a:off x="0" y="0"/>
                            <a:ext cx="2295525" cy="542925"/>
                          </a:xfrm>
                          <a:prstGeom prst="rect">
                            <a:avLst/>
                          </a:prstGeom>
                          <a:noFill/>
                          <a:ln>
                            <a:noFill/>
                          </a:ln>
                        </pic:spPr>
                      </pic:pic>
                    </a:graphicData>
                  </a:graphic>
                </wp:inline>
              </w:drawing>
            </w:r>
          </w:p>
          <w:p w14:paraId="392B7869">
            <w:pPr>
              <w:keepNext w:val="0"/>
              <w:keepLines w:val="0"/>
              <w:pageBreakBefore w:val="0"/>
              <w:widowControl/>
              <w:kinsoku/>
              <w:wordWrap/>
              <w:overflowPunct/>
              <w:topLinePunct w:val="0"/>
              <w:autoSpaceDE/>
              <w:autoSpaceDN/>
              <w:bidi w:val="0"/>
              <w:adjustRightInd/>
              <w:snapToGrid/>
              <w:spacing w:line="360" w:lineRule="auto"/>
              <w:ind w:firstLine="480" w:firstLineChars="200"/>
              <w:jc w:val="both"/>
              <w:textAlignment w:val="auto"/>
              <w:rPr>
                <w:rFonts w:hint="eastAsia"/>
                <w:color w:val="auto"/>
                <w:sz w:val="24"/>
              </w:rPr>
            </w:pPr>
            <w:r>
              <w:rPr>
                <w:rFonts w:hint="eastAsia"/>
                <w:color w:val="auto"/>
                <w:sz w:val="24"/>
              </w:rPr>
              <w:t>式中：</w:t>
            </w:r>
            <w:r>
              <w:rPr>
                <w:color w:val="auto"/>
                <w:sz w:val="24"/>
              </w:rPr>
              <w:t>Q</w:t>
            </w:r>
            <w:r>
              <w:rPr>
                <w:color w:val="auto"/>
                <w:sz w:val="24"/>
                <w:vertAlign w:val="subscript"/>
              </w:rPr>
              <w:t>1</w:t>
            </w:r>
            <w:r>
              <w:rPr>
                <w:rFonts w:hint="eastAsia"/>
                <w:color w:val="auto"/>
                <w:sz w:val="24"/>
              </w:rPr>
              <w:t>-按安全方式计算的最小排风量，</w:t>
            </w:r>
            <w:r>
              <w:rPr>
                <w:color w:val="auto"/>
                <w:sz w:val="24"/>
              </w:rPr>
              <w:t>m</w:t>
            </w:r>
            <w:r>
              <w:rPr>
                <w:color w:val="auto"/>
                <w:sz w:val="24"/>
                <w:vertAlign w:val="superscript"/>
              </w:rPr>
              <w:t>3</w:t>
            </w:r>
            <w:r>
              <w:rPr>
                <w:color w:val="auto"/>
                <w:sz w:val="24"/>
              </w:rPr>
              <w:t xml:space="preserve"> /h</w:t>
            </w:r>
            <w:r>
              <w:rPr>
                <w:rFonts w:hint="eastAsia"/>
                <w:color w:val="auto"/>
                <w:sz w:val="24"/>
              </w:rPr>
              <w:t>；</w:t>
            </w:r>
            <w:r>
              <w:rPr>
                <w:color w:val="auto"/>
                <w:sz w:val="24"/>
              </w:rPr>
              <w:t>G</w:t>
            </w:r>
            <w:r>
              <w:rPr>
                <w:rFonts w:hint="eastAsia"/>
                <w:color w:val="auto"/>
                <w:sz w:val="24"/>
              </w:rPr>
              <w:t>-单只喷枪最大出粉量，</w:t>
            </w:r>
            <w:r>
              <w:rPr>
                <w:color w:val="auto"/>
                <w:sz w:val="24"/>
              </w:rPr>
              <w:t>g/min</w:t>
            </w:r>
            <w:r>
              <w:rPr>
                <w:rFonts w:hint="eastAsia"/>
                <w:color w:val="auto"/>
                <w:sz w:val="24"/>
              </w:rPr>
              <w:t>；本项目取100</w:t>
            </w:r>
            <w:r>
              <w:rPr>
                <w:color w:val="auto"/>
                <w:sz w:val="24"/>
              </w:rPr>
              <w:t>g/min</w:t>
            </w:r>
            <w:r>
              <w:rPr>
                <w:rFonts w:hint="eastAsia"/>
                <w:color w:val="auto"/>
                <w:sz w:val="24"/>
              </w:rPr>
              <w:t>；</w:t>
            </w:r>
            <w:r>
              <w:rPr>
                <w:color w:val="auto"/>
                <w:sz w:val="24"/>
              </w:rPr>
              <w:t>N</w:t>
            </w:r>
            <w:r>
              <w:rPr>
                <w:rFonts w:hint="eastAsia"/>
                <w:color w:val="auto"/>
                <w:sz w:val="24"/>
              </w:rPr>
              <w:t>-同时喷涂的喷枪数；本项目取</w:t>
            </w:r>
            <w:r>
              <w:rPr>
                <w:color w:val="auto"/>
                <w:sz w:val="24"/>
              </w:rPr>
              <w:t>2</w:t>
            </w:r>
            <w:r>
              <w:rPr>
                <w:rFonts w:hint="eastAsia"/>
                <w:color w:val="auto"/>
                <w:sz w:val="24"/>
              </w:rPr>
              <w:t>；</w:t>
            </w:r>
            <w:r>
              <w:rPr>
                <w:color w:val="auto"/>
                <w:sz w:val="24"/>
              </w:rPr>
              <w:t>K</w:t>
            </w:r>
            <w:r>
              <w:rPr>
                <w:rFonts w:hint="eastAsia"/>
                <w:color w:val="auto"/>
                <w:sz w:val="24"/>
              </w:rPr>
              <w:t>粉末的上粉率，一般取</w:t>
            </w:r>
            <w:r>
              <w:rPr>
                <w:color w:val="auto"/>
                <w:sz w:val="24"/>
              </w:rPr>
              <w:t>0.4-0.8</w:t>
            </w:r>
            <w:r>
              <w:rPr>
                <w:rFonts w:hint="eastAsia"/>
                <w:color w:val="auto"/>
                <w:sz w:val="24"/>
              </w:rPr>
              <w:t>；本项目取</w:t>
            </w:r>
            <w:r>
              <w:rPr>
                <w:color w:val="auto"/>
                <w:sz w:val="24"/>
              </w:rPr>
              <w:t>0.7</w:t>
            </w:r>
            <w:r>
              <w:rPr>
                <w:rFonts w:hint="eastAsia"/>
                <w:color w:val="auto"/>
                <w:sz w:val="24"/>
              </w:rPr>
              <w:t>；</w:t>
            </w:r>
            <w:r>
              <w:rPr>
                <w:color w:val="auto"/>
                <w:sz w:val="24"/>
              </w:rPr>
              <w:t>K</w:t>
            </w:r>
            <w:r>
              <w:rPr>
                <w:color w:val="auto"/>
                <w:sz w:val="24"/>
                <w:vertAlign w:val="subscript"/>
              </w:rPr>
              <w:t>1</w:t>
            </w:r>
            <w:r>
              <w:rPr>
                <w:rFonts w:hint="eastAsia"/>
                <w:color w:val="auto"/>
                <w:sz w:val="24"/>
              </w:rPr>
              <w:t xml:space="preserve">-工件不连续进入（工件有空隙）积粉系数 </w:t>
            </w:r>
            <w:r>
              <w:rPr>
                <w:color w:val="auto"/>
                <w:sz w:val="24"/>
              </w:rPr>
              <w:t>1.2-1.6</w:t>
            </w:r>
            <w:r>
              <w:rPr>
                <w:rFonts w:hint="eastAsia"/>
                <w:color w:val="auto"/>
                <w:sz w:val="24"/>
              </w:rPr>
              <w:t>；本项目取</w:t>
            </w:r>
            <w:r>
              <w:rPr>
                <w:color w:val="auto"/>
                <w:sz w:val="24"/>
              </w:rPr>
              <w:t>1.4</w:t>
            </w:r>
            <w:r>
              <w:rPr>
                <w:rFonts w:hint="eastAsia"/>
                <w:color w:val="auto"/>
                <w:sz w:val="24"/>
              </w:rPr>
              <w:t>；</w:t>
            </w:r>
            <w:r>
              <w:rPr>
                <w:color w:val="auto"/>
                <w:sz w:val="24"/>
              </w:rPr>
              <w:t>K</w:t>
            </w:r>
            <w:r>
              <w:rPr>
                <w:color w:val="auto"/>
                <w:sz w:val="24"/>
                <w:vertAlign w:val="subscript"/>
              </w:rPr>
              <w:t>2</w:t>
            </w:r>
            <w:r>
              <w:rPr>
                <w:rFonts w:hint="eastAsia"/>
                <w:color w:val="auto"/>
                <w:sz w:val="24"/>
              </w:rPr>
              <w:t>—粉末在喷室内悬浮系数，一般为</w:t>
            </w:r>
            <w:r>
              <w:rPr>
                <w:color w:val="auto"/>
                <w:sz w:val="24"/>
              </w:rPr>
              <w:t>0.5-0.7</w:t>
            </w:r>
            <w:r>
              <w:rPr>
                <w:rFonts w:hint="eastAsia"/>
                <w:color w:val="auto"/>
                <w:sz w:val="24"/>
              </w:rPr>
              <w:t xml:space="preserve">；本项目取 </w:t>
            </w:r>
            <w:r>
              <w:rPr>
                <w:color w:val="auto"/>
                <w:sz w:val="24"/>
              </w:rPr>
              <w:t>0.6</w:t>
            </w:r>
            <w:r>
              <w:rPr>
                <w:rFonts w:hint="eastAsia"/>
                <w:color w:val="auto"/>
                <w:sz w:val="24"/>
              </w:rPr>
              <w:t>；</w:t>
            </w:r>
            <w:r>
              <w:rPr>
                <w:color w:val="auto"/>
                <w:sz w:val="24"/>
              </w:rPr>
              <w:t>C</w:t>
            </w:r>
            <w:r>
              <w:rPr>
                <w:rFonts w:hint="eastAsia"/>
                <w:color w:val="auto"/>
                <w:sz w:val="24"/>
              </w:rPr>
              <w:t>-粉末爆炸最低浓度，</w:t>
            </w:r>
            <w:r>
              <w:rPr>
                <w:color w:val="auto"/>
                <w:sz w:val="24"/>
              </w:rPr>
              <w:t>g/m</w:t>
            </w:r>
            <w:r>
              <w:rPr>
                <w:color w:val="auto"/>
                <w:sz w:val="24"/>
                <w:vertAlign w:val="superscript"/>
              </w:rPr>
              <w:t>3</w:t>
            </w:r>
            <w:r>
              <w:rPr>
                <w:rFonts w:hint="eastAsia"/>
                <w:color w:val="auto"/>
                <w:sz w:val="24"/>
              </w:rPr>
              <w:t>。根据上式计算可得</w:t>
            </w:r>
            <w:r>
              <w:rPr>
                <w:color w:val="auto"/>
                <w:sz w:val="24"/>
              </w:rPr>
              <w:t>Q</w:t>
            </w:r>
            <w:r>
              <w:rPr>
                <w:color w:val="auto"/>
                <w:sz w:val="24"/>
                <w:vertAlign w:val="subscript"/>
              </w:rPr>
              <w:t>1</w:t>
            </w:r>
            <w:r>
              <w:rPr>
                <w:color w:val="auto"/>
                <w:sz w:val="24"/>
              </w:rPr>
              <w:t>=</w:t>
            </w:r>
            <w:r>
              <w:rPr>
                <w:rFonts w:hint="eastAsia"/>
                <w:color w:val="auto"/>
                <w:sz w:val="24"/>
              </w:rPr>
              <w:t>302.4</w:t>
            </w:r>
            <w:r>
              <w:rPr>
                <w:color w:val="auto"/>
                <w:sz w:val="24"/>
              </w:rPr>
              <w:t>m</w:t>
            </w:r>
            <w:r>
              <w:rPr>
                <w:color w:val="auto"/>
                <w:sz w:val="24"/>
                <w:vertAlign w:val="superscript"/>
              </w:rPr>
              <w:t xml:space="preserve">3 </w:t>
            </w:r>
            <w:r>
              <w:rPr>
                <w:color w:val="auto"/>
                <w:sz w:val="24"/>
              </w:rPr>
              <w:t>/h</w:t>
            </w:r>
            <w:r>
              <w:rPr>
                <w:rFonts w:hint="eastAsia"/>
                <w:color w:val="auto"/>
                <w:sz w:val="24"/>
              </w:rPr>
              <w:t>。</w:t>
            </w:r>
          </w:p>
          <w:p w14:paraId="1738279C">
            <w:pPr>
              <w:widowControl/>
              <w:spacing w:line="360" w:lineRule="auto"/>
              <w:jc w:val="center"/>
              <w:rPr>
                <w:color w:val="auto"/>
                <w:sz w:val="24"/>
              </w:rPr>
            </w:pPr>
            <w:r>
              <w:rPr>
                <w:color w:val="auto"/>
                <w:sz w:val="24"/>
              </w:rPr>
              <w:t xml:space="preserve">A.1.2 </w:t>
            </w:r>
            <w:r>
              <w:rPr>
                <w:rFonts w:hint="eastAsia"/>
                <w:color w:val="auto"/>
                <w:sz w:val="24"/>
              </w:rPr>
              <w:t>以防止粉尘外逸计：</w:t>
            </w:r>
            <w:r>
              <w:rPr>
                <w:color w:val="auto"/>
                <w:sz w:val="24"/>
              </w:rPr>
              <w:t></w:t>
            </w:r>
            <w:r>
              <w:rPr>
                <w:color w:val="auto"/>
              </w:rPr>
              <w:drawing>
                <wp:inline distT="0" distB="0" distL="114300" distR="114300">
                  <wp:extent cx="2038350" cy="400050"/>
                  <wp:effectExtent l="0" t="0" r="0" b="0"/>
                  <wp:docPr id="2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5"/>
                          <pic:cNvPicPr>
                            <a:picLocks noChangeAspect="1"/>
                          </pic:cNvPicPr>
                        </pic:nvPicPr>
                        <pic:blipFill>
                          <a:blip r:embed="rId12"/>
                          <a:stretch>
                            <a:fillRect/>
                          </a:stretch>
                        </pic:blipFill>
                        <pic:spPr>
                          <a:xfrm>
                            <a:off x="0" y="0"/>
                            <a:ext cx="2038350" cy="400050"/>
                          </a:xfrm>
                          <a:prstGeom prst="rect">
                            <a:avLst/>
                          </a:prstGeom>
                          <a:noFill/>
                          <a:ln>
                            <a:noFill/>
                          </a:ln>
                        </pic:spPr>
                      </pic:pic>
                    </a:graphicData>
                  </a:graphic>
                </wp:inline>
              </w:drawing>
            </w:r>
          </w:p>
          <w:p w14:paraId="173827A3">
            <w:pPr>
              <w:widowControl/>
              <w:spacing w:line="360" w:lineRule="auto"/>
              <w:ind w:firstLine="480" w:firstLineChars="200"/>
              <w:rPr>
                <w:rFonts w:hint="eastAsia"/>
                <w:color w:val="auto"/>
                <w:sz w:val="24"/>
              </w:rPr>
            </w:pPr>
            <w:r>
              <w:rPr>
                <w:rFonts w:hint="eastAsia"/>
                <w:color w:val="auto"/>
                <w:sz w:val="24"/>
              </w:rPr>
              <w:t>式中：</w:t>
            </w:r>
            <w:r>
              <w:rPr>
                <w:color w:val="auto"/>
                <w:sz w:val="24"/>
              </w:rPr>
              <w:t>Q</w:t>
            </w:r>
            <w:r>
              <w:rPr>
                <w:color w:val="auto"/>
                <w:sz w:val="24"/>
                <w:vertAlign w:val="subscript"/>
              </w:rPr>
              <w:t>2</w:t>
            </w:r>
            <w:r>
              <w:rPr>
                <w:rFonts w:hint="eastAsia"/>
                <w:color w:val="auto"/>
                <w:sz w:val="24"/>
              </w:rPr>
              <w:t>—按卫生要求计最小排风量，</w:t>
            </w:r>
            <w:r>
              <w:rPr>
                <w:color w:val="auto"/>
                <w:sz w:val="24"/>
              </w:rPr>
              <w:t>m</w:t>
            </w:r>
            <w:r>
              <w:rPr>
                <w:color w:val="auto"/>
                <w:sz w:val="24"/>
                <w:vertAlign w:val="superscript"/>
              </w:rPr>
              <w:t>3</w:t>
            </w:r>
            <w:r>
              <w:rPr>
                <w:color w:val="auto"/>
                <w:sz w:val="24"/>
              </w:rPr>
              <w:t xml:space="preserve"> /h</w:t>
            </w:r>
            <w:r>
              <w:rPr>
                <w:rFonts w:hint="eastAsia"/>
                <w:color w:val="auto"/>
                <w:sz w:val="24"/>
              </w:rPr>
              <w:t>；</w:t>
            </w:r>
            <w:r>
              <w:rPr>
                <w:color w:val="auto"/>
                <w:sz w:val="24"/>
              </w:rPr>
              <w:t>A</w:t>
            </w:r>
            <w:r>
              <w:rPr>
                <w:color w:val="auto"/>
                <w:sz w:val="24"/>
                <w:vertAlign w:val="subscript"/>
              </w:rPr>
              <w:t>1</w:t>
            </w:r>
            <w:r>
              <w:rPr>
                <w:color w:val="auto"/>
                <w:sz w:val="24"/>
              </w:rPr>
              <w:t>—</w:t>
            </w:r>
            <w:r>
              <w:rPr>
                <w:rFonts w:hint="eastAsia"/>
                <w:color w:val="auto"/>
                <w:sz w:val="24"/>
              </w:rPr>
              <w:t>操作面开口面积，</w:t>
            </w:r>
            <w:r>
              <w:rPr>
                <w:color w:val="auto"/>
                <w:sz w:val="24"/>
              </w:rPr>
              <w:t>m</w:t>
            </w:r>
            <w:r>
              <w:rPr>
                <w:color w:val="auto"/>
                <w:sz w:val="24"/>
                <w:vertAlign w:val="superscript"/>
              </w:rPr>
              <w:t>2</w:t>
            </w:r>
            <w:r>
              <w:rPr>
                <w:rFonts w:hint="eastAsia"/>
                <w:color w:val="auto"/>
                <w:sz w:val="24"/>
              </w:rPr>
              <w:t>；自动流水线，本项目取</w:t>
            </w:r>
            <w:r>
              <w:rPr>
                <w:color w:val="auto"/>
                <w:sz w:val="24"/>
              </w:rPr>
              <w:t>1.0m</w:t>
            </w:r>
            <w:r>
              <w:rPr>
                <w:color w:val="auto"/>
                <w:sz w:val="24"/>
                <w:vertAlign w:val="superscript"/>
              </w:rPr>
              <w:t>2</w:t>
            </w:r>
            <w:r>
              <w:rPr>
                <w:rFonts w:hint="eastAsia"/>
                <w:color w:val="auto"/>
                <w:sz w:val="24"/>
              </w:rPr>
              <w:t>；</w:t>
            </w:r>
            <w:r>
              <w:rPr>
                <w:color w:val="auto"/>
                <w:sz w:val="24"/>
              </w:rPr>
              <w:t>A</w:t>
            </w:r>
            <w:r>
              <w:rPr>
                <w:color w:val="auto"/>
                <w:sz w:val="24"/>
                <w:vertAlign w:val="subscript"/>
              </w:rPr>
              <w:t>2</w:t>
            </w:r>
            <w:r>
              <w:rPr>
                <w:color w:val="auto"/>
                <w:sz w:val="24"/>
              </w:rPr>
              <w:t>—</w:t>
            </w:r>
            <w:r>
              <w:rPr>
                <w:rFonts w:hint="eastAsia"/>
                <w:color w:val="auto"/>
                <w:sz w:val="24"/>
              </w:rPr>
              <w:t>工件进出口面积，</w:t>
            </w:r>
            <w:r>
              <w:rPr>
                <w:color w:val="auto"/>
                <w:sz w:val="24"/>
              </w:rPr>
              <w:t>m</w:t>
            </w:r>
            <w:r>
              <w:rPr>
                <w:color w:val="auto"/>
                <w:sz w:val="24"/>
                <w:vertAlign w:val="superscript"/>
              </w:rPr>
              <w:t>2</w:t>
            </w:r>
            <w:r>
              <w:rPr>
                <w:rFonts w:hint="eastAsia"/>
                <w:color w:val="auto"/>
                <w:sz w:val="24"/>
              </w:rPr>
              <w:t>；本项目取</w:t>
            </w:r>
            <w:r>
              <w:rPr>
                <w:color w:val="auto"/>
                <w:sz w:val="24"/>
              </w:rPr>
              <w:t>2.0m</w:t>
            </w:r>
            <w:r>
              <w:rPr>
                <w:color w:val="auto"/>
                <w:sz w:val="24"/>
                <w:vertAlign w:val="superscript"/>
              </w:rPr>
              <w:t>2</w:t>
            </w:r>
            <w:r>
              <w:rPr>
                <w:rFonts w:hint="eastAsia"/>
                <w:color w:val="auto"/>
                <w:sz w:val="24"/>
              </w:rPr>
              <w:t>；</w:t>
            </w:r>
            <w:r>
              <w:rPr>
                <w:color w:val="auto"/>
                <w:sz w:val="24"/>
              </w:rPr>
              <w:t>A</w:t>
            </w:r>
            <w:r>
              <w:rPr>
                <w:color w:val="auto"/>
                <w:sz w:val="24"/>
                <w:vertAlign w:val="subscript"/>
              </w:rPr>
              <w:t>3</w:t>
            </w:r>
            <w:r>
              <w:rPr>
                <w:color w:val="auto"/>
                <w:sz w:val="24"/>
              </w:rPr>
              <w:t>—</w:t>
            </w:r>
            <w:r>
              <w:rPr>
                <w:rFonts w:hint="eastAsia"/>
                <w:color w:val="auto"/>
                <w:sz w:val="24"/>
              </w:rPr>
              <w:t>工艺及其他孔径面积，</w:t>
            </w:r>
            <w:r>
              <w:rPr>
                <w:color w:val="auto"/>
                <w:sz w:val="24"/>
              </w:rPr>
              <w:t>m</w:t>
            </w:r>
            <w:r>
              <w:rPr>
                <w:color w:val="auto"/>
                <w:sz w:val="24"/>
                <w:vertAlign w:val="superscript"/>
              </w:rPr>
              <w:t>2</w:t>
            </w:r>
            <w:r>
              <w:rPr>
                <w:rFonts w:hint="eastAsia"/>
                <w:color w:val="auto"/>
                <w:sz w:val="24"/>
              </w:rPr>
              <w:t xml:space="preserve">；本项目为 </w:t>
            </w:r>
            <w:r>
              <w:rPr>
                <w:color w:val="auto"/>
                <w:sz w:val="24"/>
              </w:rPr>
              <w:t>0</w:t>
            </w:r>
            <w:r>
              <w:rPr>
                <w:rFonts w:hint="eastAsia"/>
                <w:color w:val="auto"/>
                <w:sz w:val="24"/>
              </w:rPr>
              <w:t>；</w:t>
            </w:r>
            <w:r>
              <w:rPr>
                <w:color w:val="auto"/>
                <w:sz w:val="24"/>
              </w:rPr>
              <w:t>V</w:t>
            </w:r>
            <w:r>
              <w:rPr>
                <w:rFonts w:hint="eastAsia"/>
                <w:color w:val="auto"/>
                <w:sz w:val="24"/>
              </w:rPr>
              <w:t>—开口处断面风速，一般取</w:t>
            </w:r>
            <w:r>
              <w:rPr>
                <w:color w:val="auto"/>
                <w:sz w:val="24"/>
              </w:rPr>
              <w:t>0.3-0.6 m/s</w:t>
            </w:r>
            <w:r>
              <w:rPr>
                <w:rFonts w:hint="eastAsia"/>
                <w:color w:val="auto"/>
                <w:sz w:val="24"/>
              </w:rPr>
              <w:t>，本项目取</w:t>
            </w:r>
            <w:r>
              <w:rPr>
                <w:color w:val="auto"/>
                <w:sz w:val="24"/>
              </w:rPr>
              <w:t>0.4m/s</w:t>
            </w:r>
            <w:r>
              <w:rPr>
                <w:rFonts w:hint="eastAsia"/>
                <w:color w:val="auto"/>
                <w:sz w:val="24"/>
              </w:rPr>
              <w:t>；根据上式计算可得</w:t>
            </w:r>
            <w:r>
              <w:rPr>
                <w:color w:val="auto"/>
                <w:sz w:val="24"/>
              </w:rPr>
              <w:t>Q</w:t>
            </w:r>
            <w:r>
              <w:rPr>
                <w:color w:val="auto"/>
                <w:sz w:val="24"/>
                <w:vertAlign w:val="subscript"/>
              </w:rPr>
              <w:t>2</w:t>
            </w:r>
            <w:r>
              <w:rPr>
                <w:color w:val="auto"/>
                <w:sz w:val="24"/>
              </w:rPr>
              <w:t>=4320m</w:t>
            </w:r>
            <w:r>
              <w:rPr>
                <w:color w:val="auto"/>
                <w:sz w:val="24"/>
                <w:vertAlign w:val="superscript"/>
              </w:rPr>
              <w:t xml:space="preserve">3 </w:t>
            </w:r>
            <w:r>
              <w:rPr>
                <w:color w:val="auto"/>
                <w:sz w:val="24"/>
              </w:rPr>
              <w:t>/h</w:t>
            </w:r>
            <w:r>
              <w:rPr>
                <w:rFonts w:hint="eastAsia"/>
                <w:color w:val="auto"/>
                <w:sz w:val="24"/>
              </w:rPr>
              <w:t>。根据《涂装作业安全规程 粉末静电喷涂工艺安全》（</w:t>
            </w:r>
            <w:r>
              <w:rPr>
                <w:color w:val="auto"/>
                <w:sz w:val="24"/>
              </w:rPr>
              <w:t>GB15607-2008</w:t>
            </w:r>
            <w:r>
              <w:rPr>
                <w:rFonts w:hint="eastAsia"/>
                <w:color w:val="auto"/>
                <w:sz w:val="24"/>
              </w:rPr>
              <w:t>），风机排风量应附加</w:t>
            </w:r>
            <w:r>
              <w:rPr>
                <w:color w:val="auto"/>
                <w:sz w:val="24"/>
              </w:rPr>
              <w:t>10%-15%</w:t>
            </w:r>
            <w:r>
              <w:rPr>
                <w:rFonts w:hint="eastAsia"/>
                <w:color w:val="auto"/>
                <w:sz w:val="24"/>
              </w:rPr>
              <w:t>的系统漏风量，考虑到本项目粉尘产生量较大，为考虑喷粉室安全，同时考虑到工作人员的操作环境，总设计风量</w:t>
            </w:r>
            <w:r>
              <w:rPr>
                <w:color w:val="auto"/>
                <w:sz w:val="24"/>
              </w:rPr>
              <w:t>Q</w:t>
            </w:r>
            <w:r>
              <w:rPr>
                <w:rFonts w:hint="eastAsia"/>
                <w:color w:val="auto"/>
                <w:sz w:val="24"/>
              </w:rPr>
              <w:t>以</w:t>
            </w:r>
            <w:r>
              <w:rPr>
                <w:color w:val="auto"/>
                <w:sz w:val="24"/>
              </w:rPr>
              <w:t>5000m</w:t>
            </w:r>
            <w:r>
              <w:rPr>
                <w:color w:val="auto"/>
                <w:sz w:val="24"/>
                <w:vertAlign w:val="superscript"/>
              </w:rPr>
              <w:t>3</w:t>
            </w:r>
            <w:r>
              <w:rPr>
                <w:color w:val="auto"/>
                <w:sz w:val="24"/>
              </w:rPr>
              <w:t xml:space="preserve"> /h</w:t>
            </w:r>
            <w:r>
              <w:rPr>
                <w:rFonts w:hint="eastAsia"/>
                <w:color w:val="auto"/>
                <w:sz w:val="24"/>
              </w:rPr>
              <w:t>计。</w:t>
            </w:r>
          </w:p>
          <w:p w14:paraId="173827A4">
            <w:pPr>
              <w:widowControl/>
              <w:spacing w:line="360" w:lineRule="auto"/>
              <w:ind w:firstLine="480" w:firstLineChars="200"/>
              <w:rPr>
                <w:color w:val="auto"/>
                <w:sz w:val="24"/>
              </w:rPr>
            </w:pPr>
            <w:r>
              <w:rPr>
                <w:rFonts w:hint="eastAsia"/>
                <w:color w:val="auto"/>
                <w:sz w:val="24"/>
              </w:rPr>
              <w:t>（6）固化废气G8</w:t>
            </w:r>
          </w:p>
          <w:p w14:paraId="05009876">
            <w:pPr>
              <w:widowControl/>
              <w:spacing w:line="360" w:lineRule="auto"/>
              <w:ind w:firstLine="480" w:firstLineChars="200"/>
              <w:rPr>
                <w:rFonts w:hint="eastAsia"/>
                <w:color w:val="auto"/>
                <w:sz w:val="24"/>
              </w:rPr>
            </w:pPr>
            <w:r>
              <w:rPr>
                <w:rFonts w:hint="eastAsia"/>
                <w:color w:val="auto"/>
                <w:sz w:val="24"/>
              </w:rPr>
              <w:t>本项目烘干温度为200</w:t>
            </w:r>
            <w:r>
              <w:rPr>
                <w:color w:val="auto"/>
                <w:sz w:val="24"/>
              </w:rPr>
              <w:t>℃</w:t>
            </w:r>
            <w:r>
              <w:rPr>
                <w:rFonts w:hint="eastAsia"/>
                <w:color w:val="auto"/>
                <w:sz w:val="24"/>
              </w:rPr>
              <w:t>，根据有关研究资料，树脂粉末的热分解温度在</w:t>
            </w:r>
            <w:r>
              <w:rPr>
                <w:color w:val="auto"/>
                <w:sz w:val="24"/>
              </w:rPr>
              <w:t>300℃</w:t>
            </w:r>
            <w:r>
              <w:rPr>
                <w:rFonts w:hint="eastAsia"/>
                <w:color w:val="auto"/>
                <w:sz w:val="24"/>
              </w:rPr>
              <w:t xml:space="preserve">以上，故本项目树脂粉固化过程中不会造成塑料粉末的分解，但由于受热，短链的醇酯类树脂受热而挥发，产生少量有机废气，以非甲烷总烃计。根据《排放源统计调查产排污核算方法和系数手册》 “机械行业系数手册”中 </w:t>
            </w:r>
            <w:r>
              <w:rPr>
                <w:color w:val="auto"/>
                <w:sz w:val="24"/>
              </w:rPr>
              <w:t xml:space="preserve">14 </w:t>
            </w:r>
            <w:r>
              <w:rPr>
                <w:rFonts w:hint="eastAsia"/>
                <w:color w:val="auto"/>
                <w:sz w:val="24"/>
              </w:rPr>
              <w:t>涂装环节，喷塑后烘干过程中挥发性有机物产生系数为</w:t>
            </w:r>
            <w:r>
              <w:rPr>
                <w:color w:val="auto"/>
                <w:sz w:val="24"/>
              </w:rPr>
              <w:t>1.20kg/t-</w:t>
            </w:r>
            <w:r>
              <w:rPr>
                <w:rFonts w:hint="eastAsia"/>
                <w:color w:val="auto"/>
                <w:sz w:val="24"/>
              </w:rPr>
              <w:t>原料。本项目塑粉量为4.5</w:t>
            </w:r>
            <w:r>
              <w:rPr>
                <w:color w:val="auto"/>
                <w:sz w:val="24"/>
              </w:rPr>
              <w:t>t</w:t>
            </w:r>
            <w:r>
              <w:rPr>
                <w:rFonts w:hint="eastAsia"/>
                <w:color w:val="auto"/>
                <w:sz w:val="24"/>
              </w:rPr>
              <w:t>，则非甲烷总烃产生量约为</w:t>
            </w:r>
            <w:r>
              <w:rPr>
                <w:color w:val="auto"/>
                <w:sz w:val="24"/>
              </w:rPr>
              <w:t>0.00</w:t>
            </w:r>
            <w:r>
              <w:rPr>
                <w:rFonts w:hint="eastAsia"/>
                <w:color w:val="auto"/>
                <w:sz w:val="24"/>
              </w:rPr>
              <w:t>54</w:t>
            </w:r>
            <w:r>
              <w:rPr>
                <w:color w:val="auto"/>
                <w:sz w:val="24"/>
              </w:rPr>
              <w:t>t/a</w:t>
            </w:r>
            <w:r>
              <w:rPr>
                <w:rFonts w:hint="eastAsia"/>
                <w:color w:val="auto"/>
                <w:sz w:val="24"/>
              </w:rPr>
              <w:t>。拟在电烘箱出口设置集气罩，</w:t>
            </w:r>
            <w:r>
              <w:rPr>
                <w:rFonts w:hint="eastAsia"/>
                <w:color w:val="auto"/>
                <w:sz w:val="24"/>
                <w:lang w:val="en-US" w:eastAsia="zh-CN"/>
              </w:rPr>
              <w:t>并使用彩钢板隔断将电烘箱设置在密闭空间内，收集效率</w:t>
            </w:r>
            <w:r>
              <w:rPr>
                <w:rFonts w:hint="eastAsia"/>
                <w:color w:val="auto"/>
                <w:sz w:val="24"/>
              </w:rPr>
              <w:t>以</w:t>
            </w:r>
            <w:r>
              <w:rPr>
                <w:color w:val="auto"/>
                <w:sz w:val="24"/>
              </w:rPr>
              <w:t>9</w:t>
            </w:r>
            <w:r>
              <w:rPr>
                <w:rFonts w:hint="eastAsia"/>
                <w:color w:val="auto"/>
                <w:sz w:val="24"/>
                <w:lang w:val="en-US" w:eastAsia="zh-CN"/>
              </w:rPr>
              <w:t>5</w:t>
            </w:r>
            <w:r>
              <w:rPr>
                <w:color w:val="auto"/>
                <w:sz w:val="24"/>
              </w:rPr>
              <w:t>%</w:t>
            </w:r>
            <w:r>
              <w:rPr>
                <w:rFonts w:hint="eastAsia"/>
                <w:color w:val="auto"/>
                <w:sz w:val="24"/>
              </w:rPr>
              <w:t>计。</w:t>
            </w:r>
          </w:p>
          <w:p w14:paraId="7038AF2D">
            <w:pPr>
              <w:widowControl/>
              <w:spacing w:line="360" w:lineRule="auto"/>
              <w:ind w:firstLine="480" w:firstLineChars="200"/>
              <w:rPr>
                <w:rFonts w:hint="eastAsia"/>
                <w:color w:val="auto"/>
                <w:sz w:val="24"/>
              </w:rPr>
            </w:pPr>
            <w:r>
              <w:rPr>
                <w:rFonts w:hint="eastAsia"/>
                <w:color w:val="auto"/>
                <w:sz w:val="24"/>
                <w:lang w:val="en-US" w:eastAsia="zh-CN"/>
              </w:rPr>
              <w:t>本项目</w:t>
            </w:r>
            <w:r>
              <w:rPr>
                <w:rFonts w:hint="eastAsia"/>
                <w:color w:val="auto"/>
                <w:sz w:val="24"/>
              </w:rPr>
              <w:t>烘箱上方集气罩罩口设计风速0.5</w:t>
            </w:r>
            <w:r>
              <w:rPr>
                <w:color w:val="auto"/>
                <w:sz w:val="24"/>
              </w:rPr>
              <w:t>m/s</w:t>
            </w:r>
            <w:r>
              <w:rPr>
                <w:rFonts w:hint="eastAsia"/>
                <w:color w:val="auto"/>
                <w:sz w:val="24"/>
              </w:rPr>
              <w:t>，集气罩至烘箱的距离为0.3m，单个集气罩为（边长1.5</w:t>
            </w:r>
            <w:r>
              <w:rPr>
                <w:color w:val="auto"/>
                <w:sz w:val="24"/>
              </w:rPr>
              <w:t>m</w:t>
            </w:r>
            <w:r>
              <w:rPr>
                <w:rFonts w:hint="eastAsia"/>
                <w:color w:val="auto"/>
                <w:sz w:val="24"/>
              </w:rPr>
              <w:t>×1.5</w:t>
            </w:r>
            <w:r>
              <w:rPr>
                <w:color w:val="auto"/>
                <w:sz w:val="24"/>
              </w:rPr>
              <w:t>m</w:t>
            </w:r>
            <w:r>
              <w:rPr>
                <w:rFonts w:hint="eastAsia"/>
                <w:color w:val="auto"/>
                <w:sz w:val="24"/>
              </w:rPr>
              <w:t>），经计算，风量为810</w:t>
            </w:r>
            <w:r>
              <w:rPr>
                <w:color w:val="auto"/>
                <w:sz w:val="24"/>
              </w:rPr>
              <w:t>m</w:t>
            </w:r>
            <w:r>
              <w:rPr>
                <w:color w:val="auto"/>
                <w:sz w:val="24"/>
                <w:vertAlign w:val="superscript"/>
              </w:rPr>
              <w:t>3</w:t>
            </w:r>
            <w:r>
              <w:rPr>
                <w:color w:val="auto"/>
                <w:sz w:val="24"/>
              </w:rPr>
              <w:t xml:space="preserve"> /h</w:t>
            </w:r>
            <w:r>
              <w:rPr>
                <w:rFonts w:hint="eastAsia"/>
                <w:color w:val="auto"/>
                <w:sz w:val="24"/>
              </w:rPr>
              <w:t>，考虑管道阻力损失等，风量约1500</w:t>
            </w:r>
            <w:r>
              <w:rPr>
                <w:color w:val="auto"/>
                <w:sz w:val="24"/>
              </w:rPr>
              <w:t>m</w:t>
            </w:r>
            <w:r>
              <w:rPr>
                <w:color w:val="auto"/>
                <w:sz w:val="24"/>
                <w:vertAlign w:val="superscript"/>
              </w:rPr>
              <w:t>3</w:t>
            </w:r>
            <w:r>
              <w:rPr>
                <w:color w:val="auto"/>
                <w:sz w:val="24"/>
              </w:rPr>
              <w:t xml:space="preserve"> /h</w:t>
            </w:r>
            <w:r>
              <w:rPr>
                <w:rFonts w:hint="eastAsia"/>
                <w:color w:val="auto"/>
                <w:sz w:val="24"/>
              </w:rPr>
              <w:t>。</w:t>
            </w:r>
            <w:r>
              <w:rPr>
                <w:rFonts w:hint="eastAsia"/>
                <w:color w:val="auto"/>
                <w:sz w:val="24"/>
                <w:lang w:val="en-US" w:eastAsia="zh-CN"/>
              </w:rPr>
              <w:t>固化</w:t>
            </w:r>
            <w:r>
              <w:rPr>
                <w:rFonts w:hint="default" w:ascii="Times New Roman" w:hAnsi="Times New Roman" w:eastAsia="宋体" w:cs="Times New Roman"/>
                <w:color w:val="auto"/>
                <w:sz w:val="24"/>
              </w:rPr>
              <w:t>废气经</w:t>
            </w:r>
            <w:r>
              <w:rPr>
                <w:rFonts w:hint="eastAsia" w:cs="Times New Roman"/>
                <w:color w:val="auto"/>
                <w:sz w:val="24"/>
                <w:lang w:val="en-US" w:eastAsia="zh-CN"/>
              </w:rPr>
              <w:t>密闭车间并</w:t>
            </w:r>
            <w:r>
              <w:rPr>
                <w:rFonts w:hint="eastAsia" w:ascii="Times New Roman" w:hAnsi="Times New Roman" w:eastAsia="宋体" w:cs="Times New Roman"/>
                <w:color w:val="auto"/>
                <w:sz w:val="24"/>
                <w:lang w:val="en-US" w:eastAsia="zh-CN"/>
              </w:rPr>
              <w:t>集气罩</w:t>
            </w:r>
            <w:r>
              <w:rPr>
                <w:rFonts w:hint="default" w:ascii="Times New Roman" w:hAnsi="Times New Roman" w:eastAsia="宋体" w:cs="Times New Roman"/>
                <w:color w:val="auto"/>
                <w:sz w:val="24"/>
              </w:rPr>
              <w:t>负压收集后，有组织</w:t>
            </w:r>
            <w:r>
              <w:rPr>
                <w:rFonts w:hint="eastAsia" w:ascii="Times New Roman" w:hAnsi="Times New Roman" w:eastAsia="宋体" w:cs="Times New Roman"/>
                <w:color w:val="auto"/>
                <w:sz w:val="24"/>
                <w:lang w:val="en-US" w:eastAsia="zh-CN"/>
              </w:rPr>
              <w:t>非甲烷总烃</w:t>
            </w:r>
            <w:r>
              <w:rPr>
                <w:rFonts w:hint="default" w:ascii="Times New Roman" w:hAnsi="Times New Roman" w:eastAsia="宋体" w:cs="Times New Roman"/>
                <w:color w:val="auto"/>
                <w:sz w:val="24"/>
              </w:rPr>
              <w:t>产生量为</w:t>
            </w:r>
            <w:r>
              <w:rPr>
                <w:rFonts w:hint="eastAsia" w:ascii="Times New Roman" w:hAnsi="Times New Roman" w:eastAsia="宋体" w:cs="Times New Roman"/>
                <w:color w:val="auto"/>
                <w:sz w:val="24"/>
                <w:lang w:val="en-US" w:eastAsia="zh-CN"/>
              </w:rPr>
              <w:t>0.00</w:t>
            </w:r>
            <w:r>
              <w:rPr>
                <w:rFonts w:hint="eastAsia" w:cs="Times New Roman"/>
                <w:color w:val="auto"/>
                <w:sz w:val="24"/>
                <w:lang w:val="en-US" w:eastAsia="zh-CN"/>
              </w:rPr>
              <w:t>51</w:t>
            </w:r>
            <w:r>
              <w:rPr>
                <w:rFonts w:hint="default" w:ascii="Times New Roman" w:hAnsi="Times New Roman" w:eastAsia="宋体" w:cs="Times New Roman"/>
                <w:color w:val="auto"/>
                <w:sz w:val="24"/>
              </w:rPr>
              <w:t>t/a（产生速率</w:t>
            </w:r>
            <w:r>
              <w:rPr>
                <w:rFonts w:hint="eastAsia" w:ascii="Times New Roman" w:hAnsi="Times New Roman" w:eastAsia="宋体" w:cs="Times New Roman"/>
                <w:color w:val="auto"/>
                <w:sz w:val="24"/>
                <w:lang w:val="en-US" w:eastAsia="zh-CN"/>
              </w:rPr>
              <w:t>0.002</w:t>
            </w:r>
            <w:r>
              <w:rPr>
                <w:rFonts w:hint="eastAsia" w:cs="Times New Roman"/>
                <w:color w:val="auto"/>
                <w:sz w:val="24"/>
                <w:lang w:val="en-US" w:eastAsia="zh-CN"/>
              </w:rPr>
              <w:t>1</w:t>
            </w:r>
            <w:r>
              <w:rPr>
                <w:rFonts w:hint="default" w:ascii="Times New Roman" w:hAnsi="Times New Roman" w:eastAsia="宋体" w:cs="Times New Roman"/>
                <w:color w:val="auto"/>
                <w:sz w:val="24"/>
              </w:rPr>
              <w:t>kg/h），年工作2400h，</w:t>
            </w:r>
            <w:r>
              <w:rPr>
                <w:rFonts w:hint="eastAsia" w:ascii="Times New Roman" w:hAnsi="Times New Roman" w:eastAsia="宋体" w:cs="Times New Roman"/>
                <w:color w:val="auto"/>
                <w:sz w:val="24"/>
                <w:lang w:val="en-US" w:eastAsia="zh-CN"/>
              </w:rPr>
              <w:t>收集后的废气</w:t>
            </w:r>
            <w:r>
              <w:rPr>
                <w:rFonts w:hint="default" w:ascii="Times New Roman" w:hAnsi="Times New Roman" w:eastAsia="宋体" w:cs="Times New Roman"/>
                <w:color w:val="auto"/>
                <w:sz w:val="24"/>
              </w:rPr>
              <w:t>经</w:t>
            </w:r>
            <w:r>
              <w:rPr>
                <w:rFonts w:hint="eastAsia" w:ascii="Times New Roman" w:hAnsi="Times New Roman" w:eastAsia="宋体" w:cs="Times New Roman"/>
                <w:color w:val="auto"/>
                <w:sz w:val="24"/>
                <w:lang w:val="en-US" w:eastAsia="zh-CN"/>
              </w:rPr>
              <w:t>二级活性炭处理后通过</w:t>
            </w:r>
            <w:r>
              <w:rPr>
                <w:rFonts w:hint="default" w:ascii="Times New Roman" w:hAnsi="Times New Roman" w:eastAsia="宋体" w:cs="Times New Roman"/>
                <w:color w:val="auto"/>
                <w:sz w:val="24"/>
              </w:rPr>
              <w:t>1根15m</w:t>
            </w:r>
            <w:r>
              <w:rPr>
                <w:rFonts w:hint="eastAsia" w:ascii="Times New Roman" w:hAnsi="Times New Roman" w:eastAsia="宋体" w:cs="Times New Roman"/>
                <w:color w:val="auto"/>
                <w:sz w:val="24"/>
                <w:lang w:val="en-US" w:eastAsia="zh-CN"/>
              </w:rPr>
              <w:t>高</w:t>
            </w:r>
            <w:r>
              <w:rPr>
                <w:rFonts w:hint="default" w:ascii="Times New Roman" w:hAnsi="Times New Roman" w:eastAsia="宋体" w:cs="Times New Roman"/>
                <w:color w:val="auto"/>
                <w:sz w:val="24"/>
              </w:rPr>
              <w:t>DA00</w:t>
            </w:r>
            <w:r>
              <w:rPr>
                <w:rFonts w:hint="eastAsia" w:ascii="Times New Roman" w:hAnsi="Times New Roman" w:eastAsia="宋体" w:cs="Times New Roman"/>
                <w:color w:val="auto"/>
                <w:sz w:val="24"/>
                <w:lang w:val="en-US" w:eastAsia="zh-CN"/>
              </w:rPr>
              <w:t>1</w:t>
            </w:r>
            <w:r>
              <w:rPr>
                <w:rFonts w:hint="default" w:ascii="Times New Roman" w:hAnsi="Times New Roman" w:eastAsia="宋体" w:cs="Times New Roman"/>
                <w:color w:val="auto"/>
                <w:sz w:val="24"/>
              </w:rPr>
              <w:t>排气筒</w:t>
            </w:r>
            <w:r>
              <w:rPr>
                <w:rFonts w:hint="eastAsia" w:ascii="Times New Roman" w:hAnsi="Times New Roman" w:eastAsia="宋体" w:cs="Times New Roman"/>
                <w:color w:val="auto"/>
                <w:sz w:val="24"/>
                <w:lang w:val="en-US" w:eastAsia="zh-CN"/>
              </w:rPr>
              <w:t>高空</w:t>
            </w:r>
            <w:r>
              <w:rPr>
                <w:rFonts w:hint="default" w:ascii="Times New Roman" w:hAnsi="Times New Roman" w:eastAsia="宋体" w:cs="Times New Roman"/>
                <w:color w:val="auto"/>
                <w:sz w:val="24"/>
              </w:rPr>
              <w:t>排放，则有组织</w:t>
            </w:r>
            <w:r>
              <w:rPr>
                <w:rFonts w:hint="eastAsia" w:ascii="Times New Roman" w:hAnsi="Times New Roman" w:eastAsia="宋体" w:cs="Times New Roman"/>
                <w:color w:val="auto"/>
                <w:sz w:val="24"/>
                <w:lang w:val="en-US" w:eastAsia="zh-CN"/>
              </w:rPr>
              <w:t>非甲烷总烃</w:t>
            </w:r>
            <w:r>
              <w:rPr>
                <w:rFonts w:hint="default" w:ascii="Times New Roman" w:hAnsi="Times New Roman" w:eastAsia="宋体" w:cs="Times New Roman"/>
                <w:color w:val="auto"/>
                <w:sz w:val="24"/>
              </w:rPr>
              <w:t>排放量为</w:t>
            </w:r>
            <w:r>
              <w:rPr>
                <w:rFonts w:hint="eastAsia" w:ascii="Times New Roman" w:hAnsi="Times New Roman" w:eastAsia="宋体" w:cs="Times New Roman"/>
                <w:color w:val="auto"/>
                <w:sz w:val="24"/>
                <w:lang w:val="en-US" w:eastAsia="zh-CN"/>
              </w:rPr>
              <w:t>0.0005</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0.0002</w:t>
            </w:r>
            <w:r>
              <w:rPr>
                <w:rFonts w:hint="default" w:ascii="Times New Roman" w:hAnsi="Times New Roman" w:eastAsia="宋体" w:cs="Times New Roman"/>
                <w:color w:val="auto"/>
                <w:sz w:val="24"/>
              </w:rPr>
              <w:t>kg/h）；无组织</w:t>
            </w:r>
            <w:r>
              <w:rPr>
                <w:rFonts w:hint="eastAsia" w:ascii="Times New Roman" w:hAnsi="Times New Roman" w:eastAsia="宋体" w:cs="Times New Roman"/>
                <w:color w:val="auto"/>
                <w:sz w:val="24"/>
                <w:lang w:val="en-US" w:eastAsia="zh-CN"/>
              </w:rPr>
              <w:t>非甲烷总烃</w:t>
            </w:r>
            <w:r>
              <w:rPr>
                <w:rFonts w:hint="default" w:ascii="Times New Roman" w:hAnsi="Times New Roman" w:eastAsia="宋体" w:cs="Times New Roman"/>
                <w:color w:val="auto"/>
                <w:sz w:val="24"/>
              </w:rPr>
              <w:t>排放量为</w:t>
            </w:r>
            <w:r>
              <w:rPr>
                <w:rFonts w:hint="eastAsia" w:ascii="Times New Roman" w:hAnsi="Times New Roman" w:eastAsia="宋体" w:cs="Times New Roman"/>
                <w:color w:val="auto"/>
                <w:sz w:val="24"/>
                <w:lang w:val="en-US" w:eastAsia="zh-CN"/>
              </w:rPr>
              <w:t>0.000</w:t>
            </w:r>
            <w:r>
              <w:rPr>
                <w:rFonts w:hint="eastAsia" w:cs="Times New Roman"/>
                <w:color w:val="auto"/>
                <w:sz w:val="24"/>
                <w:lang w:val="en-US" w:eastAsia="zh-CN"/>
              </w:rPr>
              <w:t>3</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0.000</w:t>
            </w:r>
            <w:r>
              <w:rPr>
                <w:rFonts w:hint="eastAsia" w:cs="Times New Roman"/>
                <w:color w:val="auto"/>
                <w:sz w:val="24"/>
                <w:lang w:val="en-US" w:eastAsia="zh-CN"/>
              </w:rPr>
              <w:t>1</w:t>
            </w:r>
            <w:r>
              <w:rPr>
                <w:rFonts w:hint="default" w:ascii="Times New Roman" w:hAnsi="Times New Roman" w:eastAsia="宋体" w:cs="Times New Roman"/>
                <w:color w:val="auto"/>
                <w:sz w:val="24"/>
              </w:rPr>
              <w:t>kg/h）。</w:t>
            </w:r>
          </w:p>
          <w:p w14:paraId="173827A7">
            <w:pPr>
              <w:widowControl/>
              <w:spacing w:line="360" w:lineRule="auto"/>
              <w:ind w:firstLine="480" w:firstLineChars="200"/>
              <w:rPr>
                <w:color w:val="auto"/>
                <w:sz w:val="24"/>
              </w:rPr>
            </w:pPr>
            <w:r>
              <w:rPr>
                <w:rFonts w:hint="eastAsia"/>
                <w:color w:val="auto"/>
                <w:sz w:val="24"/>
              </w:rPr>
              <w:t>（7）抛光废气G9</w:t>
            </w:r>
          </w:p>
          <w:p w14:paraId="528E737B">
            <w:pPr>
              <w:widowControl/>
              <w:spacing w:line="360" w:lineRule="auto"/>
              <w:ind w:firstLine="480" w:firstLineChars="200"/>
              <w:rPr>
                <w:rFonts w:hint="eastAsia"/>
                <w:color w:val="auto"/>
                <w:sz w:val="24"/>
              </w:rPr>
            </w:pPr>
            <w:r>
              <w:rPr>
                <w:rFonts w:hint="eastAsia"/>
                <w:color w:val="auto"/>
                <w:sz w:val="24"/>
              </w:rPr>
              <w:t>本项目抛光打磨过程中会产生抛光粉尘。抛光打磨过程中粉尘产污系数参照《排放源统计调查产排污核算方法和系数手册》“机械行业系数手册”中</w:t>
            </w:r>
            <w:r>
              <w:rPr>
                <w:color w:val="auto"/>
                <w:sz w:val="24"/>
              </w:rPr>
              <w:t>06</w:t>
            </w:r>
            <w:r>
              <w:rPr>
                <w:rFonts w:hint="eastAsia"/>
                <w:color w:val="auto"/>
                <w:sz w:val="24"/>
              </w:rPr>
              <w:t>预处理环节打磨过程，系数为</w:t>
            </w:r>
            <w:r>
              <w:rPr>
                <w:color w:val="auto"/>
                <w:sz w:val="24"/>
              </w:rPr>
              <w:t>2.19kg/t·</w:t>
            </w:r>
            <w:r>
              <w:rPr>
                <w:rFonts w:hint="eastAsia"/>
                <w:color w:val="auto"/>
                <w:sz w:val="24"/>
              </w:rPr>
              <w:t>原料。本项目需抛光原料共计约500</w:t>
            </w:r>
            <w:r>
              <w:rPr>
                <w:color w:val="auto"/>
                <w:sz w:val="24"/>
              </w:rPr>
              <w:t>t/a</w:t>
            </w:r>
            <w:r>
              <w:rPr>
                <w:rFonts w:hint="eastAsia"/>
                <w:color w:val="auto"/>
                <w:sz w:val="24"/>
              </w:rPr>
              <w:t>，则抛光打磨粉尘产生量为1.0950</w:t>
            </w:r>
            <w:r>
              <w:rPr>
                <w:color w:val="auto"/>
                <w:sz w:val="24"/>
              </w:rPr>
              <w:t>t/a</w:t>
            </w:r>
            <w:r>
              <w:rPr>
                <w:rFonts w:hint="eastAsia"/>
                <w:color w:val="auto"/>
                <w:sz w:val="24"/>
              </w:rPr>
              <w:t>。 经计算，风机风量为3000</w:t>
            </w:r>
            <w:r>
              <w:rPr>
                <w:color w:val="auto"/>
                <w:sz w:val="24"/>
              </w:rPr>
              <w:t>m</w:t>
            </w:r>
            <w:r>
              <w:rPr>
                <w:color w:val="auto"/>
                <w:sz w:val="24"/>
                <w:vertAlign w:val="superscript"/>
              </w:rPr>
              <w:t>3</w:t>
            </w:r>
            <w:r>
              <w:rPr>
                <w:color w:val="auto"/>
                <w:sz w:val="24"/>
              </w:rPr>
              <w:t xml:space="preserve"> /h</w:t>
            </w:r>
            <w:r>
              <w:rPr>
                <w:rFonts w:hint="eastAsia"/>
                <w:color w:val="auto"/>
                <w:sz w:val="24"/>
              </w:rPr>
              <w:t>，可满足要求，收集效率以90%计</w:t>
            </w:r>
            <w:r>
              <w:rPr>
                <w:rFonts w:hint="eastAsia"/>
                <w:color w:val="auto"/>
                <w:sz w:val="24"/>
                <w:lang w:eastAsia="zh-CN"/>
              </w:rPr>
              <w:t>，</w:t>
            </w:r>
            <w:r>
              <w:rPr>
                <w:rFonts w:hint="eastAsia"/>
                <w:color w:val="auto"/>
                <w:sz w:val="24"/>
                <w:lang w:val="en-US" w:eastAsia="zh-CN"/>
              </w:rPr>
              <w:t>则</w:t>
            </w:r>
            <w:r>
              <w:rPr>
                <w:rFonts w:hint="default" w:ascii="Times New Roman" w:hAnsi="Times New Roman" w:eastAsia="宋体" w:cs="Times New Roman"/>
                <w:color w:val="auto"/>
                <w:sz w:val="24"/>
              </w:rPr>
              <w:t>有组织</w:t>
            </w:r>
            <w:r>
              <w:rPr>
                <w:rFonts w:hint="eastAsia" w:ascii="Times New Roman" w:hAnsi="Times New Roman" w:eastAsia="宋体" w:cs="Times New Roman"/>
                <w:color w:val="auto"/>
                <w:sz w:val="24"/>
                <w:lang w:val="en-US" w:eastAsia="zh-CN"/>
              </w:rPr>
              <w:t>颗粒物</w:t>
            </w:r>
            <w:r>
              <w:rPr>
                <w:rFonts w:hint="default" w:ascii="Times New Roman" w:hAnsi="Times New Roman" w:eastAsia="宋体" w:cs="Times New Roman"/>
                <w:color w:val="auto"/>
                <w:sz w:val="24"/>
              </w:rPr>
              <w:t>产生量为</w:t>
            </w:r>
            <w:r>
              <w:rPr>
                <w:rFonts w:hint="eastAsia" w:ascii="Times New Roman" w:hAnsi="Times New Roman" w:eastAsia="宋体" w:cs="Times New Roman"/>
                <w:color w:val="auto"/>
                <w:sz w:val="24"/>
                <w:lang w:val="en-US" w:eastAsia="zh-CN"/>
              </w:rPr>
              <w:t>0.9855</w:t>
            </w:r>
            <w:r>
              <w:rPr>
                <w:rFonts w:hint="default" w:ascii="Times New Roman" w:hAnsi="Times New Roman" w:eastAsia="宋体" w:cs="Times New Roman"/>
                <w:color w:val="auto"/>
                <w:sz w:val="24"/>
              </w:rPr>
              <w:t>t/a（产生速率</w:t>
            </w:r>
            <w:r>
              <w:rPr>
                <w:rFonts w:hint="eastAsia" w:ascii="Times New Roman" w:hAnsi="Times New Roman" w:eastAsia="宋体" w:cs="Times New Roman"/>
                <w:color w:val="auto"/>
                <w:sz w:val="24"/>
                <w:lang w:val="en-US" w:eastAsia="zh-CN"/>
              </w:rPr>
              <w:t>0.4106</w:t>
            </w:r>
            <w:r>
              <w:rPr>
                <w:rFonts w:hint="default" w:ascii="Times New Roman" w:hAnsi="Times New Roman" w:eastAsia="宋体" w:cs="Times New Roman"/>
                <w:color w:val="auto"/>
                <w:sz w:val="24"/>
              </w:rPr>
              <w:t>kg/h），年工作2400h，</w:t>
            </w:r>
            <w:r>
              <w:rPr>
                <w:rFonts w:hint="eastAsia" w:ascii="Times New Roman" w:hAnsi="Times New Roman" w:eastAsia="宋体" w:cs="Times New Roman"/>
                <w:color w:val="auto"/>
                <w:sz w:val="24"/>
                <w:lang w:val="en-US" w:eastAsia="zh-CN"/>
              </w:rPr>
              <w:t>收集后的废气</w:t>
            </w:r>
            <w:r>
              <w:rPr>
                <w:rFonts w:hint="default" w:ascii="Times New Roman" w:hAnsi="Times New Roman" w:eastAsia="宋体" w:cs="Times New Roman"/>
                <w:color w:val="auto"/>
                <w:sz w:val="24"/>
              </w:rPr>
              <w:t>经</w:t>
            </w:r>
            <w:r>
              <w:rPr>
                <w:rFonts w:hint="eastAsia" w:ascii="Times New Roman" w:hAnsi="Times New Roman" w:eastAsia="宋体" w:cs="Times New Roman"/>
                <w:color w:val="auto"/>
                <w:sz w:val="24"/>
                <w:lang w:val="en-US" w:eastAsia="zh-CN"/>
              </w:rPr>
              <w:t>布袋除尘器处理后通过</w:t>
            </w:r>
            <w:r>
              <w:rPr>
                <w:rFonts w:hint="default" w:ascii="Times New Roman" w:hAnsi="Times New Roman" w:eastAsia="宋体" w:cs="Times New Roman"/>
                <w:color w:val="auto"/>
                <w:sz w:val="24"/>
              </w:rPr>
              <w:t>1根15m</w:t>
            </w:r>
            <w:r>
              <w:rPr>
                <w:rFonts w:hint="eastAsia" w:ascii="Times New Roman" w:hAnsi="Times New Roman" w:eastAsia="宋体" w:cs="Times New Roman"/>
                <w:color w:val="auto"/>
                <w:sz w:val="24"/>
                <w:lang w:val="en-US" w:eastAsia="zh-CN"/>
              </w:rPr>
              <w:t>高</w:t>
            </w:r>
            <w:r>
              <w:rPr>
                <w:rFonts w:hint="default" w:ascii="Times New Roman" w:hAnsi="Times New Roman" w:eastAsia="宋体" w:cs="Times New Roman"/>
                <w:color w:val="auto"/>
                <w:sz w:val="24"/>
              </w:rPr>
              <w:t>DA00</w:t>
            </w:r>
            <w:r>
              <w:rPr>
                <w:rFonts w:hint="eastAsia" w:ascii="Times New Roman" w:hAnsi="Times New Roman" w:eastAsia="宋体" w:cs="Times New Roman"/>
                <w:color w:val="auto"/>
                <w:sz w:val="24"/>
                <w:lang w:val="en-US" w:eastAsia="zh-CN"/>
              </w:rPr>
              <w:t>3</w:t>
            </w:r>
            <w:r>
              <w:rPr>
                <w:rFonts w:hint="default" w:ascii="Times New Roman" w:hAnsi="Times New Roman" w:eastAsia="宋体" w:cs="Times New Roman"/>
                <w:color w:val="auto"/>
                <w:sz w:val="24"/>
              </w:rPr>
              <w:t>排气筒</w:t>
            </w:r>
            <w:r>
              <w:rPr>
                <w:rFonts w:hint="eastAsia" w:ascii="Times New Roman" w:hAnsi="Times New Roman" w:eastAsia="宋体" w:cs="Times New Roman"/>
                <w:color w:val="auto"/>
                <w:sz w:val="24"/>
                <w:lang w:val="en-US" w:eastAsia="zh-CN"/>
              </w:rPr>
              <w:t>高空</w:t>
            </w:r>
            <w:r>
              <w:rPr>
                <w:rFonts w:hint="default" w:ascii="Times New Roman" w:hAnsi="Times New Roman" w:eastAsia="宋体" w:cs="Times New Roman"/>
                <w:color w:val="auto"/>
                <w:sz w:val="24"/>
              </w:rPr>
              <w:t>排放，则有组织</w:t>
            </w:r>
            <w:r>
              <w:rPr>
                <w:rFonts w:hint="eastAsia" w:ascii="Times New Roman" w:hAnsi="Times New Roman" w:eastAsia="宋体" w:cs="Times New Roman"/>
                <w:color w:val="auto"/>
                <w:sz w:val="24"/>
                <w:lang w:val="en-US" w:eastAsia="zh-CN"/>
              </w:rPr>
              <w:t>颗粒物</w:t>
            </w:r>
            <w:r>
              <w:rPr>
                <w:rFonts w:hint="default" w:ascii="Times New Roman" w:hAnsi="Times New Roman" w:eastAsia="宋体" w:cs="Times New Roman"/>
                <w:color w:val="auto"/>
                <w:sz w:val="24"/>
              </w:rPr>
              <w:t>排放量为</w:t>
            </w:r>
            <w:r>
              <w:rPr>
                <w:rFonts w:hint="eastAsia" w:ascii="Times New Roman" w:hAnsi="Times New Roman" w:eastAsia="宋体" w:cs="Times New Roman"/>
                <w:color w:val="auto"/>
                <w:sz w:val="24"/>
                <w:lang w:val="en-US" w:eastAsia="zh-CN"/>
              </w:rPr>
              <w:t>0.0493</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0.0205</w:t>
            </w:r>
            <w:r>
              <w:rPr>
                <w:rFonts w:hint="default" w:ascii="Times New Roman" w:hAnsi="Times New Roman" w:eastAsia="宋体" w:cs="Times New Roman"/>
                <w:color w:val="auto"/>
                <w:sz w:val="24"/>
              </w:rPr>
              <w:t>kg/h）；无组织</w:t>
            </w:r>
            <w:r>
              <w:rPr>
                <w:rFonts w:hint="eastAsia" w:ascii="Times New Roman" w:hAnsi="Times New Roman" w:eastAsia="宋体" w:cs="Times New Roman"/>
                <w:color w:val="auto"/>
                <w:sz w:val="24"/>
                <w:lang w:val="en-US" w:eastAsia="zh-CN"/>
              </w:rPr>
              <w:t>颗粒物</w:t>
            </w:r>
            <w:r>
              <w:rPr>
                <w:rFonts w:hint="default" w:ascii="Times New Roman" w:hAnsi="Times New Roman" w:eastAsia="宋体" w:cs="Times New Roman"/>
                <w:color w:val="auto"/>
                <w:sz w:val="24"/>
              </w:rPr>
              <w:t>排放量为</w:t>
            </w:r>
            <w:r>
              <w:rPr>
                <w:rFonts w:hint="eastAsia" w:ascii="Times New Roman" w:hAnsi="Times New Roman" w:eastAsia="宋体" w:cs="Times New Roman"/>
                <w:color w:val="auto"/>
                <w:sz w:val="24"/>
                <w:lang w:val="en-US" w:eastAsia="zh-CN"/>
              </w:rPr>
              <w:t>0.1095</w:t>
            </w:r>
            <w:r>
              <w:rPr>
                <w:rFonts w:hint="default" w:ascii="Times New Roman" w:hAnsi="Times New Roman" w:eastAsia="宋体" w:cs="Times New Roman"/>
                <w:color w:val="auto"/>
                <w:sz w:val="24"/>
              </w:rPr>
              <w:t>t/a（排放速率</w:t>
            </w:r>
            <w:r>
              <w:rPr>
                <w:rFonts w:hint="eastAsia" w:ascii="Times New Roman" w:hAnsi="Times New Roman" w:eastAsia="宋体" w:cs="Times New Roman"/>
                <w:color w:val="auto"/>
                <w:sz w:val="24"/>
                <w:lang w:val="en-US" w:eastAsia="zh-CN"/>
              </w:rPr>
              <w:t>0.0456</w:t>
            </w:r>
            <w:r>
              <w:rPr>
                <w:rFonts w:hint="default" w:ascii="Times New Roman" w:hAnsi="Times New Roman" w:eastAsia="宋体" w:cs="Times New Roman"/>
                <w:color w:val="auto"/>
                <w:sz w:val="24"/>
              </w:rPr>
              <w:t>kg/h）。</w:t>
            </w:r>
          </w:p>
          <w:p w14:paraId="173827A9">
            <w:pPr>
              <w:widowControl/>
              <w:spacing w:line="360" w:lineRule="auto"/>
              <w:ind w:firstLine="482" w:firstLineChars="200"/>
              <w:rPr>
                <w:b/>
                <w:bCs/>
                <w:color w:val="auto"/>
                <w:sz w:val="24"/>
              </w:rPr>
            </w:pPr>
            <w:r>
              <w:rPr>
                <w:rFonts w:hint="eastAsia"/>
                <w:b/>
                <w:bCs/>
                <w:color w:val="auto"/>
                <w:sz w:val="24"/>
              </w:rPr>
              <w:t>二、废气处理设施共用及排气筒设置情况</w:t>
            </w:r>
          </w:p>
          <w:p w14:paraId="173827AA">
            <w:pPr>
              <w:widowControl/>
              <w:spacing w:line="360" w:lineRule="auto"/>
              <w:ind w:firstLine="480" w:firstLineChars="200"/>
              <w:rPr>
                <w:color w:val="auto"/>
                <w:sz w:val="24"/>
              </w:rPr>
            </w:pPr>
            <w:r>
              <w:rPr>
                <w:rFonts w:hint="eastAsia"/>
                <w:color w:val="auto"/>
                <w:sz w:val="24"/>
              </w:rPr>
              <w:t>本项目投料粉尘、搅拌废气、浸纱废气、</w:t>
            </w:r>
            <w:r>
              <w:rPr>
                <w:rFonts w:hint="eastAsia"/>
                <w:color w:val="auto"/>
                <w:sz w:val="24"/>
                <w:lang w:val="en-US" w:eastAsia="zh-CN"/>
              </w:rPr>
              <w:t>喷塑废气、</w:t>
            </w:r>
            <w:r>
              <w:rPr>
                <w:rFonts w:hint="eastAsia"/>
                <w:color w:val="auto"/>
                <w:sz w:val="24"/>
              </w:rPr>
              <w:t>固化废气分别收集后经1套“二级活性炭吸附”TA001处理，处理达标后通过1根15m高DA001排气筒排放。理论上，单级活性炭吸附装置的处理效率取</w:t>
            </w:r>
            <w:r>
              <w:rPr>
                <w:color w:val="auto"/>
                <w:sz w:val="24"/>
              </w:rPr>
              <w:t>70%</w:t>
            </w:r>
            <w:r>
              <w:rPr>
                <w:rFonts w:hint="eastAsia"/>
                <w:color w:val="auto"/>
                <w:sz w:val="24"/>
              </w:rPr>
              <w:t>，综合处理效率为</w:t>
            </w:r>
            <w:r>
              <w:rPr>
                <w:color w:val="auto"/>
                <w:sz w:val="24"/>
              </w:rPr>
              <w:t>=1-</w:t>
            </w:r>
            <w:r>
              <w:rPr>
                <w:rFonts w:hint="eastAsia"/>
                <w:color w:val="auto"/>
                <w:sz w:val="24"/>
              </w:rPr>
              <w:t>（</w:t>
            </w:r>
            <w:r>
              <w:rPr>
                <w:color w:val="auto"/>
                <w:sz w:val="24"/>
              </w:rPr>
              <w:t>1-70%</w:t>
            </w:r>
            <w:r>
              <w:rPr>
                <w:rFonts w:hint="eastAsia"/>
                <w:color w:val="auto"/>
                <w:sz w:val="24"/>
              </w:rPr>
              <w:t>）×（</w:t>
            </w:r>
            <w:r>
              <w:rPr>
                <w:color w:val="auto"/>
                <w:sz w:val="24"/>
              </w:rPr>
              <w:t>1-70%</w:t>
            </w:r>
            <w:r>
              <w:rPr>
                <w:rFonts w:hint="eastAsia"/>
                <w:color w:val="auto"/>
                <w:sz w:val="24"/>
              </w:rPr>
              <w:t>）</w:t>
            </w:r>
            <w:r>
              <w:rPr>
                <w:color w:val="auto"/>
                <w:sz w:val="24"/>
              </w:rPr>
              <w:t>=91%</w:t>
            </w:r>
            <w:r>
              <w:rPr>
                <w:rFonts w:hint="eastAsia"/>
                <w:color w:val="auto"/>
                <w:sz w:val="24"/>
              </w:rPr>
              <w:t xml:space="preserve">，该效率满足《江苏省重点行业挥发性有机物污染控制指南》中对有机废气处理效率不得低于 </w:t>
            </w:r>
            <w:r>
              <w:rPr>
                <w:color w:val="auto"/>
                <w:sz w:val="24"/>
              </w:rPr>
              <w:t>90%</w:t>
            </w:r>
            <w:r>
              <w:rPr>
                <w:rFonts w:hint="eastAsia"/>
                <w:color w:val="auto"/>
                <w:sz w:val="24"/>
              </w:rPr>
              <w:t>的要求。为保守起见，本项目二级活性炭综合处理效率取</w:t>
            </w:r>
            <w:r>
              <w:rPr>
                <w:color w:val="auto"/>
                <w:sz w:val="24"/>
              </w:rPr>
              <w:t>90%</w:t>
            </w:r>
            <w:r>
              <w:rPr>
                <w:rFonts w:hint="eastAsia"/>
                <w:color w:val="auto"/>
                <w:sz w:val="24"/>
              </w:rPr>
              <w:t>。</w:t>
            </w:r>
          </w:p>
          <w:p w14:paraId="173827AB">
            <w:pPr>
              <w:widowControl/>
              <w:spacing w:line="360" w:lineRule="auto"/>
              <w:ind w:firstLine="480" w:firstLineChars="200"/>
              <w:rPr>
                <w:color w:val="auto"/>
                <w:sz w:val="24"/>
              </w:rPr>
            </w:pPr>
            <w:r>
              <w:rPr>
                <w:rFonts w:hint="eastAsia"/>
                <w:color w:val="auto"/>
                <w:sz w:val="24"/>
              </w:rPr>
              <w:t>本项目抛丸废气经设备自带布袋除尘器TA002处理后与经旋风+脉冲滤芯除尘器TA003处理后的喷塑废气合并通过1根15m高DA002排气筒排放。抛光废气经布袋除尘器处理后</w:t>
            </w:r>
            <w:r>
              <w:rPr>
                <w:rFonts w:hint="eastAsia"/>
                <w:color w:val="auto"/>
                <w:sz w:val="24"/>
                <w:lang w:val="en-US" w:eastAsia="zh-CN"/>
              </w:rPr>
              <w:t>单独</w:t>
            </w:r>
            <w:r>
              <w:rPr>
                <w:rFonts w:hint="eastAsia"/>
                <w:color w:val="auto"/>
                <w:sz w:val="24"/>
              </w:rPr>
              <w:t>通过1根15m高DA003排气筒排放。根据《排放源统计调查产排污核算方法和系数手册》 “机械行业系数手册”，当末端治理技术选择采用袋式除尘器时，处理效率为95%；当末端治理技术选择采用旋风除尘时，处理效率为60%。因此，本项目布袋除尘器处理效率以95%计，旋风+脉冲滤芯除尘器处理效率以98%计。</w:t>
            </w:r>
          </w:p>
          <w:p w14:paraId="173827B0">
            <w:pPr>
              <w:pStyle w:val="34"/>
              <w:spacing w:line="360" w:lineRule="auto"/>
              <w:jc w:val="center"/>
              <w:rPr>
                <w:color w:val="auto"/>
                <w:lang w:val="en-US"/>
              </w:rPr>
            </w:pPr>
            <w:r>
              <w:rPr>
                <w:color w:val="auto"/>
              </w:rPr>
              <w:drawing>
                <wp:inline distT="0" distB="0" distL="114300" distR="114300">
                  <wp:extent cx="5365750" cy="3150235"/>
                  <wp:effectExtent l="0" t="0" r="6350" b="12065"/>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3"/>
                          <a:stretch>
                            <a:fillRect/>
                          </a:stretch>
                        </pic:blipFill>
                        <pic:spPr>
                          <a:xfrm>
                            <a:off x="0" y="0"/>
                            <a:ext cx="5365750" cy="3150235"/>
                          </a:xfrm>
                          <a:prstGeom prst="rect">
                            <a:avLst/>
                          </a:prstGeom>
                          <a:noFill/>
                          <a:ln>
                            <a:noFill/>
                          </a:ln>
                        </pic:spPr>
                      </pic:pic>
                    </a:graphicData>
                  </a:graphic>
                </wp:inline>
              </w:drawing>
            </w:r>
          </w:p>
          <w:p w14:paraId="173827B1">
            <w:pPr>
              <w:keepNext w:val="0"/>
              <w:keepLines w:val="0"/>
              <w:pageBreakBefore w:val="0"/>
              <w:widowControl/>
              <w:kinsoku/>
              <w:wordWrap/>
              <w:overflowPunct/>
              <w:topLinePunct w:val="0"/>
              <w:autoSpaceDE/>
              <w:autoSpaceDN/>
              <w:bidi w:val="0"/>
              <w:adjustRightInd w:val="0"/>
              <w:snapToGrid w:val="0"/>
              <w:jc w:val="center"/>
              <w:textAlignment w:val="auto"/>
              <w:rPr>
                <w:rFonts w:ascii="Times New Roman" w:hAnsi="Times New Roman" w:eastAsia="宋体" w:cs="Times New Roman"/>
                <w:b/>
                <w:color w:val="auto"/>
                <w:kern w:val="0"/>
                <w:sz w:val="24"/>
              </w:rPr>
            </w:pPr>
            <w:r>
              <w:rPr>
                <w:rFonts w:ascii="Times New Roman" w:hAnsi="Times New Roman" w:eastAsia="宋体" w:cs="Times New Roman"/>
                <w:b/>
                <w:color w:val="auto"/>
                <w:kern w:val="0"/>
                <w:sz w:val="24"/>
              </w:rPr>
              <w:t xml:space="preserve">图4-1 </w:t>
            </w:r>
            <w:r>
              <w:rPr>
                <w:rFonts w:hint="eastAsia" w:ascii="Times New Roman" w:hAnsi="Times New Roman" w:eastAsia="宋体" w:cs="Times New Roman"/>
                <w:b/>
                <w:color w:val="auto"/>
                <w:kern w:val="0"/>
                <w:sz w:val="24"/>
                <w:lang w:val="en-US" w:eastAsia="zh-CN"/>
              </w:rPr>
              <w:t>本</w:t>
            </w:r>
            <w:r>
              <w:rPr>
                <w:rFonts w:ascii="Times New Roman" w:hAnsi="Times New Roman" w:eastAsia="宋体" w:cs="Times New Roman"/>
                <w:b/>
                <w:color w:val="auto"/>
                <w:kern w:val="0"/>
                <w:sz w:val="24"/>
              </w:rPr>
              <w:t>项目废气收集及处理情况示意图</w:t>
            </w:r>
          </w:p>
          <w:p w14:paraId="28CB8101">
            <w:pPr>
              <w:widowControl/>
              <w:autoSpaceDE w:val="0"/>
              <w:autoSpaceDN w:val="0"/>
              <w:adjustRightInd w:val="0"/>
              <w:snapToGrid w:val="0"/>
              <w:spacing w:before="120" w:beforeLines="50" w:line="360" w:lineRule="auto"/>
              <w:ind w:firstLine="482"/>
              <w:jc w:val="left"/>
              <w:rPr>
                <w:rFonts w:hint="eastAsia"/>
                <w:b/>
                <w:bCs/>
                <w:color w:val="auto"/>
                <w:sz w:val="24"/>
                <w:lang w:val="en-US" w:eastAsia="zh-CN"/>
              </w:rPr>
            </w:pPr>
            <w:r>
              <w:rPr>
                <w:rFonts w:hint="eastAsia"/>
                <w:b/>
                <w:bCs/>
                <w:color w:val="auto"/>
                <w:sz w:val="24"/>
                <w:lang w:val="en-US" w:eastAsia="zh-CN"/>
              </w:rPr>
              <w:t>三、等效排气筒排放情况</w:t>
            </w:r>
          </w:p>
          <w:p w14:paraId="68DF498D">
            <w:pPr>
              <w:widowControl/>
              <w:spacing w:line="360" w:lineRule="auto"/>
              <w:ind w:firstLine="480" w:firstLineChars="200"/>
              <w:rPr>
                <w:rFonts w:hint="eastAsia"/>
                <w:color w:val="auto"/>
                <w:sz w:val="24"/>
                <w:lang w:val="en-US" w:eastAsia="zh-CN"/>
              </w:rPr>
            </w:pPr>
            <w:r>
              <w:rPr>
                <w:rFonts w:hint="eastAsia"/>
                <w:color w:val="auto"/>
                <w:sz w:val="24"/>
                <w:lang w:val="en-US" w:eastAsia="zh-CN"/>
              </w:rPr>
              <w:t>根据江苏省地方标准《大气污染物综合排放标准》（</w:t>
            </w:r>
            <w:r>
              <w:rPr>
                <w:rFonts w:hint="default"/>
                <w:color w:val="auto"/>
                <w:sz w:val="24"/>
                <w:lang w:val="en-US" w:eastAsia="zh-CN"/>
              </w:rPr>
              <w:t>DB32/4041-2021</w:t>
            </w:r>
            <w:r>
              <w:rPr>
                <w:rFonts w:hint="eastAsia"/>
                <w:color w:val="auto"/>
                <w:sz w:val="24"/>
                <w:lang w:val="en-US" w:eastAsia="zh-CN"/>
              </w:rPr>
              <w:t>）文件要求“排污单位内部有多根排放同一污染物的排气筒时，若两根排气筒距离小于其几何高度之和，应合并视为一根等效排气筒，若有三根以上的近距离排气筒，且均排放同一污染物时，应以前两根的等效排气筒，依次与第三、第四根排气筒取得等效值”。</w:t>
            </w:r>
          </w:p>
          <w:p w14:paraId="1CD94349">
            <w:pPr>
              <w:widowControl/>
              <w:spacing w:line="360" w:lineRule="auto"/>
              <w:ind w:firstLine="480" w:firstLineChars="200"/>
              <w:rPr>
                <w:rFonts w:hint="default"/>
                <w:color w:val="auto"/>
                <w:sz w:val="24"/>
                <w:lang w:val="en-US" w:eastAsia="zh-CN"/>
              </w:rPr>
            </w:pPr>
            <w:r>
              <w:rPr>
                <w:rFonts w:hint="eastAsia"/>
                <w:color w:val="auto"/>
                <w:sz w:val="24"/>
                <w:lang w:val="en-US" w:eastAsia="zh-CN"/>
              </w:rPr>
              <w:t>本项目DA002和DA003排气筒排放同一污染物（颗粒物），相距3m，小于高度之和，应合并为一根等效排气筒。经计算，等效排气筒高度为h=15m，排放速率为0.0529kg/h，满足江苏省地方标准《工业涂装工序大气污染物排放标准》（DB32/4439-2022）表 1 大气污染物排放限值。</w:t>
            </w:r>
          </w:p>
          <w:p w14:paraId="173827B2">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1.2非正常工况废气排放量核算</w:t>
            </w:r>
          </w:p>
          <w:p w14:paraId="173827B3">
            <w:pPr>
              <w:widowControl/>
              <w:spacing w:line="360" w:lineRule="auto"/>
              <w:ind w:firstLine="480" w:firstLineChars="200"/>
              <w:rPr>
                <w:color w:val="auto"/>
                <w:sz w:val="24"/>
              </w:rPr>
            </w:pPr>
            <w:r>
              <w:rPr>
                <w:rFonts w:hint="eastAsia"/>
                <w:color w:val="auto"/>
                <w:sz w:val="24"/>
              </w:rPr>
              <w:t>根据项目污染物源强及治理措施情况，非正常工况主要考虑废气处理装置故障，导致废气处理设备完全失效，单次持续时间以1h计，非正常排放量核算见</w:t>
            </w:r>
            <w:r>
              <w:rPr>
                <w:color w:val="auto"/>
              </w:rPr>
              <w:fldChar w:fldCharType="begin"/>
            </w:r>
            <w:r>
              <w:rPr>
                <w:color w:val="auto"/>
              </w:rPr>
              <w:instrText xml:space="preserve"> HYPERLINK \l "_bookmark159" </w:instrText>
            </w:r>
            <w:r>
              <w:rPr>
                <w:color w:val="auto"/>
              </w:rPr>
              <w:fldChar w:fldCharType="separate"/>
            </w:r>
            <w:r>
              <w:rPr>
                <w:rFonts w:hint="eastAsia"/>
                <w:color w:val="auto"/>
                <w:sz w:val="24"/>
              </w:rPr>
              <w:t>表</w:t>
            </w:r>
            <w:r>
              <w:rPr>
                <w:rFonts w:hint="eastAsia"/>
                <w:color w:val="auto"/>
                <w:sz w:val="24"/>
              </w:rPr>
              <w:fldChar w:fldCharType="end"/>
            </w:r>
            <w:r>
              <w:rPr>
                <w:color w:val="auto"/>
              </w:rPr>
              <w:fldChar w:fldCharType="begin"/>
            </w:r>
            <w:r>
              <w:rPr>
                <w:color w:val="auto"/>
              </w:rPr>
              <w:instrText xml:space="preserve"> HYPERLINK \l "_bookmark159" </w:instrText>
            </w:r>
            <w:r>
              <w:rPr>
                <w:color w:val="auto"/>
              </w:rPr>
              <w:fldChar w:fldCharType="separate"/>
            </w:r>
            <w:r>
              <w:rPr>
                <w:rFonts w:hint="eastAsia"/>
                <w:color w:val="auto"/>
                <w:sz w:val="24"/>
              </w:rPr>
              <w:t>4-6</w:t>
            </w:r>
            <w:r>
              <w:rPr>
                <w:rFonts w:hint="eastAsia"/>
                <w:color w:val="auto"/>
                <w:sz w:val="24"/>
              </w:rPr>
              <w:fldChar w:fldCharType="end"/>
            </w:r>
            <w:r>
              <w:rPr>
                <w:rFonts w:hint="eastAsia"/>
                <w:color w:val="auto"/>
                <w:sz w:val="24"/>
              </w:rPr>
              <w:t>。拟采取的防范措施如下：</w:t>
            </w:r>
          </w:p>
          <w:p w14:paraId="173827B4">
            <w:pPr>
              <w:widowControl/>
              <w:spacing w:line="360" w:lineRule="auto"/>
              <w:ind w:firstLine="480" w:firstLineChars="200"/>
              <w:rPr>
                <w:color w:val="auto"/>
                <w:sz w:val="24"/>
              </w:rPr>
            </w:pPr>
            <w:r>
              <w:rPr>
                <w:rFonts w:hint="eastAsia"/>
                <w:color w:val="auto"/>
                <w:sz w:val="24"/>
              </w:rPr>
              <w:t>①平时注意废气处理设施的维护，及时检查废气处理装置的有效性和设备的运行情况，确保废气处理系统正常运行；开、停、检修要有预案，有严密周全的计划，降低非正常排放机率，或使影响最小。</w:t>
            </w:r>
          </w:p>
          <w:p w14:paraId="173827B5">
            <w:pPr>
              <w:widowControl/>
              <w:spacing w:line="360" w:lineRule="auto"/>
              <w:ind w:firstLine="480" w:firstLineChars="200"/>
              <w:rPr>
                <w:color w:val="auto"/>
                <w:sz w:val="24"/>
              </w:rPr>
            </w:pPr>
            <w:r>
              <w:rPr>
                <w:rFonts w:hint="eastAsia"/>
                <w:color w:val="auto"/>
                <w:sz w:val="24"/>
              </w:rPr>
              <w:t>②应设有备用电源和备用处理设备和零件，以备停电或设备出现故障时保障及时更换使废气全部做到达标排放。</w:t>
            </w:r>
          </w:p>
          <w:p w14:paraId="173827B6">
            <w:pPr>
              <w:widowControl/>
              <w:spacing w:line="360" w:lineRule="auto"/>
              <w:ind w:firstLine="480" w:firstLineChars="200"/>
              <w:rPr>
                <w:color w:val="auto"/>
                <w:sz w:val="24"/>
              </w:rPr>
            </w:pPr>
            <w:r>
              <w:rPr>
                <w:rFonts w:hint="eastAsia"/>
                <w:color w:val="auto"/>
                <w:sz w:val="24"/>
              </w:rPr>
              <w:t>③对员工进行岗位培训，做好值班记录，实行岗位责任制。</w:t>
            </w:r>
          </w:p>
          <w:p w14:paraId="173827B7">
            <w:pPr>
              <w:widowControl/>
              <w:adjustRightInd w:val="0"/>
              <w:snapToGrid w:val="0"/>
              <w:jc w:val="center"/>
              <w:rPr>
                <w:b/>
                <w:color w:val="auto"/>
                <w:kern w:val="0"/>
                <w:sz w:val="24"/>
              </w:rPr>
            </w:pPr>
            <w:r>
              <w:rPr>
                <w:b/>
                <w:color w:val="auto"/>
                <w:kern w:val="0"/>
                <w:sz w:val="24"/>
              </w:rPr>
              <w:t>表4-</w:t>
            </w:r>
            <w:r>
              <w:rPr>
                <w:rFonts w:hint="eastAsia"/>
                <w:b/>
                <w:color w:val="auto"/>
                <w:kern w:val="0"/>
                <w:sz w:val="24"/>
              </w:rPr>
              <w:t xml:space="preserve">6 </w:t>
            </w:r>
            <w:r>
              <w:rPr>
                <w:b/>
                <w:color w:val="auto"/>
                <w:kern w:val="0"/>
                <w:sz w:val="24"/>
              </w:rPr>
              <w:t>污染源非正常排放量核算表</w:t>
            </w:r>
          </w:p>
          <w:tbl>
            <w:tblPr>
              <w:tblStyle w:val="88"/>
              <w:tblW w:w="4995"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758"/>
              <w:gridCol w:w="768"/>
              <w:gridCol w:w="706"/>
              <w:gridCol w:w="741"/>
              <w:gridCol w:w="1074"/>
              <w:gridCol w:w="934"/>
              <w:gridCol w:w="691"/>
              <w:gridCol w:w="691"/>
              <w:gridCol w:w="674"/>
              <w:gridCol w:w="505"/>
              <w:gridCol w:w="909"/>
            </w:tblGrid>
            <w:tr w14:paraId="173827C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48" w:type="pct"/>
                  <w:vMerge w:val="restart"/>
                  <w:vAlign w:val="center"/>
                </w:tcPr>
                <w:p w14:paraId="173827B8">
                  <w:pPr>
                    <w:adjustRightInd w:val="0"/>
                    <w:snapToGrid w:val="0"/>
                    <w:jc w:val="center"/>
                    <w:rPr>
                      <w:b/>
                      <w:bCs/>
                      <w:color w:val="auto"/>
                      <w:szCs w:val="21"/>
                    </w:rPr>
                  </w:pPr>
                  <w:r>
                    <w:rPr>
                      <w:b/>
                      <w:bCs/>
                      <w:color w:val="auto"/>
                      <w:szCs w:val="21"/>
                    </w:rPr>
                    <w:t>排气筒</w:t>
                  </w:r>
                </w:p>
                <w:p w14:paraId="173827B9">
                  <w:pPr>
                    <w:adjustRightInd w:val="0"/>
                    <w:snapToGrid w:val="0"/>
                    <w:jc w:val="center"/>
                    <w:rPr>
                      <w:b/>
                      <w:bCs/>
                      <w:color w:val="auto"/>
                      <w:szCs w:val="21"/>
                    </w:rPr>
                  </w:pPr>
                  <w:r>
                    <w:rPr>
                      <w:b/>
                      <w:bCs/>
                      <w:color w:val="auto"/>
                      <w:szCs w:val="21"/>
                    </w:rPr>
                    <w:t>编号</w:t>
                  </w:r>
                </w:p>
              </w:tc>
              <w:tc>
                <w:tcPr>
                  <w:tcW w:w="454" w:type="pct"/>
                  <w:vMerge w:val="restart"/>
                  <w:vAlign w:val="center"/>
                </w:tcPr>
                <w:p w14:paraId="173827BA">
                  <w:pPr>
                    <w:adjustRightInd w:val="0"/>
                    <w:snapToGrid w:val="0"/>
                    <w:jc w:val="center"/>
                    <w:rPr>
                      <w:b/>
                      <w:bCs/>
                      <w:color w:val="auto"/>
                      <w:szCs w:val="21"/>
                    </w:rPr>
                  </w:pPr>
                  <w:r>
                    <w:rPr>
                      <w:b/>
                      <w:bCs/>
                      <w:color w:val="auto"/>
                      <w:szCs w:val="21"/>
                    </w:rPr>
                    <w:t>非正常</w:t>
                  </w:r>
                </w:p>
                <w:p w14:paraId="173827BB">
                  <w:pPr>
                    <w:adjustRightInd w:val="0"/>
                    <w:snapToGrid w:val="0"/>
                    <w:jc w:val="center"/>
                    <w:rPr>
                      <w:b/>
                      <w:bCs/>
                      <w:color w:val="auto"/>
                      <w:szCs w:val="21"/>
                    </w:rPr>
                  </w:pPr>
                  <w:r>
                    <w:rPr>
                      <w:b/>
                      <w:bCs/>
                      <w:color w:val="auto"/>
                      <w:szCs w:val="21"/>
                    </w:rPr>
                    <w:t>排放原</w:t>
                  </w:r>
                </w:p>
                <w:p w14:paraId="173827BC">
                  <w:pPr>
                    <w:adjustRightInd w:val="0"/>
                    <w:snapToGrid w:val="0"/>
                    <w:jc w:val="center"/>
                    <w:rPr>
                      <w:b/>
                      <w:bCs/>
                      <w:color w:val="auto"/>
                      <w:szCs w:val="21"/>
                    </w:rPr>
                  </w:pPr>
                  <w:r>
                    <w:rPr>
                      <w:b/>
                      <w:bCs/>
                      <w:color w:val="auto"/>
                      <w:szCs w:val="21"/>
                    </w:rPr>
                    <w:t>因</w:t>
                  </w:r>
                </w:p>
              </w:tc>
              <w:tc>
                <w:tcPr>
                  <w:tcW w:w="417" w:type="pct"/>
                  <w:vMerge w:val="restart"/>
                  <w:vAlign w:val="center"/>
                </w:tcPr>
                <w:p w14:paraId="173827BD">
                  <w:pPr>
                    <w:adjustRightInd w:val="0"/>
                    <w:snapToGrid w:val="0"/>
                    <w:jc w:val="center"/>
                    <w:rPr>
                      <w:b/>
                      <w:bCs/>
                      <w:color w:val="auto"/>
                      <w:szCs w:val="21"/>
                    </w:rPr>
                  </w:pPr>
                  <w:r>
                    <w:rPr>
                      <w:b/>
                      <w:bCs/>
                      <w:color w:val="auto"/>
                      <w:szCs w:val="21"/>
                    </w:rPr>
                    <w:t>污染物</w:t>
                  </w:r>
                </w:p>
              </w:tc>
              <w:tc>
                <w:tcPr>
                  <w:tcW w:w="438" w:type="pct"/>
                  <w:vMerge w:val="restart"/>
                  <w:vAlign w:val="center"/>
                </w:tcPr>
                <w:p w14:paraId="173827BE">
                  <w:pPr>
                    <w:adjustRightInd w:val="0"/>
                    <w:snapToGrid w:val="0"/>
                    <w:jc w:val="center"/>
                    <w:rPr>
                      <w:b/>
                      <w:bCs/>
                      <w:color w:val="auto"/>
                      <w:szCs w:val="21"/>
                    </w:rPr>
                  </w:pPr>
                  <w:r>
                    <w:rPr>
                      <w:b/>
                      <w:bCs/>
                      <w:color w:val="auto"/>
                      <w:szCs w:val="21"/>
                    </w:rPr>
                    <w:t>非正常排放量（kg）</w:t>
                  </w:r>
                </w:p>
              </w:tc>
              <w:tc>
                <w:tcPr>
                  <w:tcW w:w="634" w:type="pct"/>
                  <w:vMerge w:val="restart"/>
                  <w:vAlign w:val="center"/>
                </w:tcPr>
                <w:p w14:paraId="173827BF">
                  <w:pPr>
                    <w:adjustRightInd w:val="0"/>
                    <w:snapToGrid w:val="0"/>
                    <w:jc w:val="center"/>
                    <w:rPr>
                      <w:b/>
                      <w:bCs/>
                      <w:color w:val="auto"/>
                      <w:szCs w:val="21"/>
                    </w:rPr>
                  </w:pPr>
                  <w:r>
                    <w:rPr>
                      <w:b/>
                      <w:bCs/>
                      <w:color w:val="auto"/>
                      <w:szCs w:val="21"/>
                    </w:rPr>
                    <w:t>非正常排放浓度</w:t>
                  </w:r>
                </w:p>
                <w:p w14:paraId="173827C0">
                  <w:pPr>
                    <w:adjustRightInd w:val="0"/>
                    <w:snapToGrid w:val="0"/>
                    <w:jc w:val="center"/>
                    <w:rPr>
                      <w:b/>
                      <w:bCs/>
                      <w:color w:val="auto"/>
                      <w:szCs w:val="21"/>
                    </w:rPr>
                  </w:pPr>
                  <w:r>
                    <w:rPr>
                      <w:b/>
                      <w:bCs/>
                      <w:color w:val="auto"/>
                      <w:szCs w:val="21"/>
                    </w:rPr>
                    <w:t>（mg/m</w:t>
                  </w:r>
                  <w:r>
                    <w:rPr>
                      <w:b/>
                      <w:bCs/>
                      <w:color w:val="auto"/>
                      <w:szCs w:val="21"/>
                      <w:vertAlign w:val="superscript"/>
                    </w:rPr>
                    <w:t>3</w:t>
                  </w:r>
                  <w:r>
                    <w:rPr>
                      <w:b/>
                      <w:bCs/>
                      <w:color w:val="auto"/>
                      <w:szCs w:val="21"/>
                    </w:rPr>
                    <w:t>）</w:t>
                  </w:r>
                </w:p>
              </w:tc>
              <w:tc>
                <w:tcPr>
                  <w:tcW w:w="552" w:type="pct"/>
                  <w:vMerge w:val="restart"/>
                  <w:vAlign w:val="center"/>
                </w:tcPr>
                <w:p w14:paraId="173827C1">
                  <w:pPr>
                    <w:adjustRightInd w:val="0"/>
                    <w:snapToGrid w:val="0"/>
                    <w:jc w:val="center"/>
                    <w:rPr>
                      <w:b/>
                      <w:bCs/>
                      <w:color w:val="auto"/>
                      <w:szCs w:val="21"/>
                    </w:rPr>
                  </w:pPr>
                  <w:r>
                    <w:rPr>
                      <w:b/>
                      <w:bCs/>
                      <w:color w:val="auto"/>
                      <w:szCs w:val="21"/>
                    </w:rPr>
                    <w:t>非正常排放速率</w:t>
                  </w:r>
                </w:p>
                <w:p w14:paraId="173827C2">
                  <w:pPr>
                    <w:adjustRightInd w:val="0"/>
                    <w:snapToGrid w:val="0"/>
                    <w:jc w:val="center"/>
                    <w:rPr>
                      <w:b/>
                      <w:bCs/>
                      <w:color w:val="auto"/>
                      <w:szCs w:val="21"/>
                    </w:rPr>
                  </w:pPr>
                  <w:r>
                    <w:rPr>
                      <w:b/>
                      <w:bCs/>
                      <w:color w:val="auto"/>
                      <w:szCs w:val="21"/>
                    </w:rPr>
                    <w:t>（kg/h）</w:t>
                  </w:r>
                </w:p>
              </w:tc>
              <w:tc>
                <w:tcPr>
                  <w:tcW w:w="817" w:type="pct"/>
                  <w:gridSpan w:val="2"/>
                  <w:vAlign w:val="center"/>
                </w:tcPr>
                <w:p w14:paraId="173827C3">
                  <w:pPr>
                    <w:adjustRightInd w:val="0"/>
                    <w:snapToGrid w:val="0"/>
                    <w:jc w:val="center"/>
                    <w:rPr>
                      <w:b/>
                      <w:bCs/>
                      <w:color w:val="auto"/>
                      <w:szCs w:val="21"/>
                    </w:rPr>
                  </w:pPr>
                  <w:r>
                    <w:rPr>
                      <w:b/>
                      <w:bCs/>
                      <w:color w:val="auto"/>
                      <w:szCs w:val="21"/>
                    </w:rPr>
                    <w:t>排气筒参数</w:t>
                  </w:r>
                </w:p>
              </w:tc>
              <w:tc>
                <w:tcPr>
                  <w:tcW w:w="399" w:type="pct"/>
                  <w:vMerge w:val="restart"/>
                  <w:vAlign w:val="center"/>
                </w:tcPr>
                <w:p w14:paraId="173827C4">
                  <w:pPr>
                    <w:adjustRightInd w:val="0"/>
                    <w:snapToGrid w:val="0"/>
                    <w:jc w:val="center"/>
                    <w:rPr>
                      <w:b/>
                      <w:bCs/>
                      <w:color w:val="auto"/>
                      <w:szCs w:val="21"/>
                    </w:rPr>
                  </w:pPr>
                  <w:r>
                    <w:rPr>
                      <w:b/>
                      <w:bCs/>
                      <w:color w:val="auto"/>
                      <w:szCs w:val="21"/>
                    </w:rPr>
                    <w:t>单次持续时间</w:t>
                  </w:r>
                </w:p>
                <w:p w14:paraId="173827C5">
                  <w:pPr>
                    <w:adjustRightInd w:val="0"/>
                    <w:snapToGrid w:val="0"/>
                    <w:jc w:val="center"/>
                    <w:rPr>
                      <w:b/>
                      <w:bCs/>
                      <w:color w:val="auto"/>
                      <w:szCs w:val="21"/>
                    </w:rPr>
                  </w:pPr>
                  <w:r>
                    <w:rPr>
                      <w:b/>
                      <w:bCs/>
                      <w:color w:val="auto"/>
                      <w:szCs w:val="21"/>
                    </w:rPr>
                    <w:t>（h）</w:t>
                  </w:r>
                </w:p>
              </w:tc>
              <w:tc>
                <w:tcPr>
                  <w:tcW w:w="299" w:type="pct"/>
                  <w:vMerge w:val="restart"/>
                  <w:vAlign w:val="center"/>
                </w:tcPr>
                <w:p w14:paraId="173827C6">
                  <w:pPr>
                    <w:adjustRightInd w:val="0"/>
                    <w:snapToGrid w:val="0"/>
                    <w:jc w:val="center"/>
                    <w:rPr>
                      <w:b/>
                      <w:bCs/>
                      <w:color w:val="auto"/>
                      <w:szCs w:val="21"/>
                    </w:rPr>
                  </w:pPr>
                  <w:r>
                    <w:rPr>
                      <w:b/>
                      <w:bCs/>
                      <w:color w:val="auto"/>
                      <w:szCs w:val="21"/>
                    </w:rPr>
                    <w:t>发生</w:t>
                  </w:r>
                </w:p>
                <w:p w14:paraId="173827C7">
                  <w:pPr>
                    <w:adjustRightInd w:val="0"/>
                    <w:snapToGrid w:val="0"/>
                    <w:jc w:val="center"/>
                    <w:rPr>
                      <w:b/>
                      <w:bCs/>
                      <w:color w:val="auto"/>
                      <w:szCs w:val="21"/>
                    </w:rPr>
                  </w:pPr>
                  <w:r>
                    <w:rPr>
                      <w:b/>
                      <w:bCs/>
                      <w:color w:val="auto"/>
                      <w:szCs w:val="21"/>
                    </w:rPr>
                    <w:t>频次</w:t>
                  </w:r>
                </w:p>
                <w:p w14:paraId="173827C8">
                  <w:pPr>
                    <w:adjustRightInd w:val="0"/>
                    <w:snapToGrid w:val="0"/>
                    <w:jc w:val="center"/>
                    <w:rPr>
                      <w:b/>
                      <w:bCs/>
                      <w:color w:val="auto"/>
                      <w:szCs w:val="21"/>
                    </w:rPr>
                  </w:pPr>
                  <w:r>
                    <w:rPr>
                      <w:b/>
                      <w:bCs/>
                      <w:color w:val="auto"/>
                      <w:szCs w:val="21"/>
                    </w:rPr>
                    <w:t>/年</w:t>
                  </w:r>
                </w:p>
              </w:tc>
              <w:tc>
                <w:tcPr>
                  <w:tcW w:w="538" w:type="pct"/>
                  <w:vMerge w:val="restart"/>
                  <w:vAlign w:val="center"/>
                </w:tcPr>
                <w:p w14:paraId="173827C9">
                  <w:pPr>
                    <w:adjustRightInd w:val="0"/>
                    <w:snapToGrid w:val="0"/>
                    <w:jc w:val="center"/>
                    <w:rPr>
                      <w:b/>
                      <w:bCs/>
                      <w:color w:val="auto"/>
                      <w:szCs w:val="21"/>
                    </w:rPr>
                  </w:pPr>
                  <w:r>
                    <w:rPr>
                      <w:b/>
                      <w:bCs/>
                      <w:color w:val="auto"/>
                      <w:szCs w:val="21"/>
                    </w:rPr>
                    <w:t>应对</w:t>
                  </w:r>
                </w:p>
                <w:p w14:paraId="173827CA">
                  <w:pPr>
                    <w:adjustRightInd w:val="0"/>
                    <w:snapToGrid w:val="0"/>
                    <w:jc w:val="center"/>
                    <w:rPr>
                      <w:b/>
                      <w:bCs/>
                      <w:color w:val="auto"/>
                      <w:szCs w:val="21"/>
                    </w:rPr>
                  </w:pPr>
                  <w:r>
                    <w:rPr>
                      <w:b/>
                      <w:bCs/>
                      <w:color w:val="auto"/>
                      <w:szCs w:val="21"/>
                    </w:rPr>
                    <w:t>措施</w:t>
                  </w:r>
                </w:p>
              </w:tc>
            </w:tr>
            <w:tr w14:paraId="173827D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48" w:type="pct"/>
                  <w:vMerge w:val="continue"/>
                  <w:vAlign w:val="center"/>
                </w:tcPr>
                <w:p w14:paraId="173827CC">
                  <w:pPr>
                    <w:jc w:val="center"/>
                    <w:rPr>
                      <w:color w:val="auto"/>
                      <w:szCs w:val="21"/>
                    </w:rPr>
                  </w:pPr>
                </w:p>
              </w:tc>
              <w:tc>
                <w:tcPr>
                  <w:tcW w:w="454" w:type="pct"/>
                  <w:vMerge w:val="continue"/>
                  <w:vAlign w:val="center"/>
                </w:tcPr>
                <w:p w14:paraId="173827CD">
                  <w:pPr>
                    <w:jc w:val="center"/>
                    <w:rPr>
                      <w:color w:val="auto"/>
                      <w:szCs w:val="21"/>
                    </w:rPr>
                  </w:pPr>
                </w:p>
              </w:tc>
              <w:tc>
                <w:tcPr>
                  <w:tcW w:w="417" w:type="pct"/>
                  <w:vMerge w:val="continue"/>
                  <w:vAlign w:val="center"/>
                </w:tcPr>
                <w:p w14:paraId="173827CE">
                  <w:pPr>
                    <w:jc w:val="center"/>
                    <w:rPr>
                      <w:color w:val="auto"/>
                      <w:szCs w:val="21"/>
                    </w:rPr>
                  </w:pPr>
                </w:p>
              </w:tc>
              <w:tc>
                <w:tcPr>
                  <w:tcW w:w="438" w:type="pct"/>
                  <w:vMerge w:val="continue"/>
                  <w:vAlign w:val="center"/>
                </w:tcPr>
                <w:p w14:paraId="173827CF">
                  <w:pPr>
                    <w:jc w:val="center"/>
                    <w:rPr>
                      <w:color w:val="auto"/>
                      <w:szCs w:val="21"/>
                    </w:rPr>
                  </w:pPr>
                </w:p>
              </w:tc>
              <w:tc>
                <w:tcPr>
                  <w:tcW w:w="634" w:type="pct"/>
                  <w:vMerge w:val="continue"/>
                  <w:vAlign w:val="center"/>
                </w:tcPr>
                <w:p w14:paraId="173827D0">
                  <w:pPr>
                    <w:jc w:val="center"/>
                    <w:rPr>
                      <w:color w:val="auto"/>
                      <w:szCs w:val="21"/>
                    </w:rPr>
                  </w:pPr>
                </w:p>
              </w:tc>
              <w:tc>
                <w:tcPr>
                  <w:tcW w:w="552" w:type="pct"/>
                  <w:vMerge w:val="continue"/>
                  <w:vAlign w:val="center"/>
                </w:tcPr>
                <w:p w14:paraId="173827D1">
                  <w:pPr>
                    <w:jc w:val="center"/>
                    <w:rPr>
                      <w:color w:val="auto"/>
                      <w:szCs w:val="21"/>
                    </w:rPr>
                  </w:pPr>
                </w:p>
              </w:tc>
              <w:tc>
                <w:tcPr>
                  <w:tcW w:w="408" w:type="pct"/>
                  <w:vAlign w:val="center"/>
                </w:tcPr>
                <w:p w14:paraId="173827D2">
                  <w:pPr>
                    <w:adjustRightInd w:val="0"/>
                    <w:snapToGrid w:val="0"/>
                    <w:jc w:val="center"/>
                    <w:rPr>
                      <w:b/>
                      <w:bCs/>
                      <w:color w:val="auto"/>
                      <w:szCs w:val="21"/>
                    </w:rPr>
                  </w:pPr>
                  <w:r>
                    <w:rPr>
                      <w:b/>
                      <w:bCs/>
                      <w:color w:val="auto"/>
                      <w:szCs w:val="21"/>
                    </w:rPr>
                    <w:t>高度</w:t>
                  </w:r>
                </w:p>
                <w:p w14:paraId="173827D3">
                  <w:pPr>
                    <w:adjustRightInd w:val="0"/>
                    <w:snapToGrid w:val="0"/>
                    <w:jc w:val="center"/>
                    <w:rPr>
                      <w:b/>
                      <w:bCs/>
                      <w:color w:val="auto"/>
                      <w:szCs w:val="21"/>
                    </w:rPr>
                  </w:pPr>
                  <w:r>
                    <w:rPr>
                      <w:b/>
                      <w:bCs/>
                      <w:color w:val="auto"/>
                      <w:szCs w:val="21"/>
                    </w:rPr>
                    <w:t>（m）</w:t>
                  </w:r>
                </w:p>
              </w:tc>
              <w:tc>
                <w:tcPr>
                  <w:tcW w:w="409" w:type="pct"/>
                  <w:vAlign w:val="center"/>
                </w:tcPr>
                <w:p w14:paraId="173827D4">
                  <w:pPr>
                    <w:adjustRightInd w:val="0"/>
                    <w:snapToGrid w:val="0"/>
                    <w:jc w:val="center"/>
                    <w:rPr>
                      <w:b/>
                      <w:bCs/>
                      <w:color w:val="auto"/>
                      <w:szCs w:val="21"/>
                    </w:rPr>
                  </w:pPr>
                  <w:r>
                    <w:rPr>
                      <w:b/>
                      <w:bCs/>
                      <w:color w:val="auto"/>
                      <w:szCs w:val="21"/>
                    </w:rPr>
                    <w:t>内径</w:t>
                  </w:r>
                </w:p>
                <w:p w14:paraId="173827D5">
                  <w:pPr>
                    <w:adjustRightInd w:val="0"/>
                    <w:snapToGrid w:val="0"/>
                    <w:jc w:val="center"/>
                    <w:rPr>
                      <w:b/>
                      <w:bCs/>
                      <w:color w:val="auto"/>
                      <w:szCs w:val="21"/>
                    </w:rPr>
                  </w:pPr>
                  <w:r>
                    <w:rPr>
                      <w:b/>
                      <w:bCs/>
                      <w:color w:val="auto"/>
                      <w:szCs w:val="21"/>
                    </w:rPr>
                    <w:t>（m）</w:t>
                  </w:r>
                </w:p>
              </w:tc>
              <w:tc>
                <w:tcPr>
                  <w:tcW w:w="399" w:type="pct"/>
                  <w:vMerge w:val="continue"/>
                  <w:vAlign w:val="center"/>
                </w:tcPr>
                <w:p w14:paraId="173827D6">
                  <w:pPr>
                    <w:jc w:val="center"/>
                    <w:rPr>
                      <w:color w:val="auto"/>
                      <w:szCs w:val="21"/>
                    </w:rPr>
                  </w:pPr>
                </w:p>
              </w:tc>
              <w:tc>
                <w:tcPr>
                  <w:tcW w:w="299" w:type="pct"/>
                  <w:vMerge w:val="continue"/>
                  <w:vAlign w:val="center"/>
                </w:tcPr>
                <w:p w14:paraId="173827D7">
                  <w:pPr>
                    <w:jc w:val="center"/>
                    <w:rPr>
                      <w:color w:val="auto"/>
                      <w:szCs w:val="21"/>
                    </w:rPr>
                  </w:pPr>
                </w:p>
              </w:tc>
              <w:tc>
                <w:tcPr>
                  <w:tcW w:w="538" w:type="pct"/>
                  <w:vMerge w:val="continue"/>
                  <w:vAlign w:val="center"/>
                </w:tcPr>
                <w:p w14:paraId="173827D8">
                  <w:pPr>
                    <w:jc w:val="center"/>
                    <w:rPr>
                      <w:color w:val="auto"/>
                      <w:szCs w:val="21"/>
                    </w:rPr>
                  </w:pPr>
                </w:p>
              </w:tc>
            </w:tr>
            <w:tr w14:paraId="173827E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48" w:type="pct"/>
                  <w:vMerge w:val="restart"/>
                  <w:vAlign w:val="center"/>
                </w:tcPr>
                <w:p w14:paraId="173827DA">
                  <w:pPr>
                    <w:widowControl/>
                    <w:adjustRightInd w:val="0"/>
                    <w:snapToGrid w:val="0"/>
                    <w:jc w:val="center"/>
                    <w:rPr>
                      <w:color w:val="auto"/>
                      <w:szCs w:val="21"/>
                    </w:rPr>
                  </w:pPr>
                  <w:r>
                    <w:rPr>
                      <w:color w:val="auto"/>
                      <w:kern w:val="0"/>
                      <w:szCs w:val="21"/>
                    </w:rPr>
                    <w:t>DA00</w:t>
                  </w:r>
                  <w:r>
                    <w:rPr>
                      <w:rFonts w:hint="eastAsia"/>
                      <w:color w:val="auto"/>
                      <w:kern w:val="0"/>
                      <w:szCs w:val="21"/>
                    </w:rPr>
                    <w:t>1</w:t>
                  </w:r>
                </w:p>
              </w:tc>
              <w:tc>
                <w:tcPr>
                  <w:tcW w:w="454" w:type="pct"/>
                  <w:vMerge w:val="restart"/>
                  <w:vAlign w:val="center"/>
                </w:tcPr>
                <w:p w14:paraId="173827DB">
                  <w:pPr>
                    <w:jc w:val="center"/>
                    <w:rPr>
                      <w:color w:val="auto"/>
                      <w:szCs w:val="21"/>
                    </w:rPr>
                  </w:pPr>
                  <w:r>
                    <w:rPr>
                      <w:color w:val="auto"/>
                      <w:szCs w:val="21"/>
                    </w:rPr>
                    <w:t>废气治理设施发生故障</w:t>
                  </w:r>
                </w:p>
              </w:tc>
              <w:tc>
                <w:tcPr>
                  <w:tcW w:w="417" w:type="pct"/>
                  <w:vAlign w:val="center"/>
                </w:tcPr>
                <w:p w14:paraId="173827DC">
                  <w:pPr>
                    <w:adjustRightInd w:val="0"/>
                    <w:snapToGrid w:val="0"/>
                    <w:jc w:val="center"/>
                    <w:rPr>
                      <w:color w:val="auto"/>
                      <w:szCs w:val="21"/>
                    </w:rPr>
                  </w:pPr>
                  <w:r>
                    <w:rPr>
                      <w:bCs/>
                      <w:color w:val="auto"/>
                      <w:kern w:val="0"/>
                      <w:szCs w:val="21"/>
                    </w:rPr>
                    <w:t>颗粒物</w:t>
                  </w:r>
                </w:p>
              </w:tc>
              <w:tc>
                <w:tcPr>
                  <w:tcW w:w="741" w:type="dxa"/>
                  <w:vAlign w:val="center"/>
                </w:tcPr>
                <w:p w14:paraId="173827DD">
                  <w:pPr>
                    <w:widowControl/>
                    <w:jc w:val="center"/>
                    <w:textAlignment w:val="center"/>
                    <w:rPr>
                      <w:color w:val="auto"/>
                      <w:kern w:val="0"/>
                      <w:szCs w:val="21"/>
                      <w:lang w:bidi="ar"/>
                    </w:rPr>
                  </w:pPr>
                  <w:r>
                    <w:rPr>
                      <w:color w:val="auto"/>
                      <w:kern w:val="0"/>
                      <w:szCs w:val="21"/>
                      <w:lang w:bidi="ar"/>
                    </w:rPr>
                    <w:t xml:space="preserve">0.0010 </w:t>
                  </w:r>
                </w:p>
              </w:tc>
              <w:tc>
                <w:tcPr>
                  <w:tcW w:w="1072" w:type="dxa"/>
                  <w:vAlign w:val="center"/>
                </w:tcPr>
                <w:p w14:paraId="173827DE">
                  <w:pPr>
                    <w:widowControl/>
                    <w:jc w:val="center"/>
                    <w:textAlignment w:val="center"/>
                    <w:rPr>
                      <w:color w:val="auto"/>
                      <w:kern w:val="0"/>
                      <w:szCs w:val="21"/>
                      <w:lang w:bidi="ar"/>
                    </w:rPr>
                  </w:pPr>
                  <w:r>
                    <w:rPr>
                      <w:color w:val="auto"/>
                      <w:kern w:val="0"/>
                      <w:szCs w:val="21"/>
                      <w:lang w:bidi="ar"/>
                    </w:rPr>
                    <w:t xml:space="preserve">0.1111 </w:t>
                  </w:r>
                </w:p>
              </w:tc>
              <w:tc>
                <w:tcPr>
                  <w:tcW w:w="934" w:type="dxa"/>
                  <w:vAlign w:val="center"/>
                </w:tcPr>
                <w:p w14:paraId="173827DF">
                  <w:pPr>
                    <w:widowControl/>
                    <w:jc w:val="center"/>
                    <w:textAlignment w:val="center"/>
                    <w:rPr>
                      <w:color w:val="auto"/>
                      <w:kern w:val="0"/>
                      <w:szCs w:val="21"/>
                      <w:lang w:bidi="ar"/>
                    </w:rPr>
                  </w:pPr>
                  <w:r>
                    <w:rPr>
                      <w:color w:val="auto"/>
                      <w:kern w:val="0"/>
                      <w:szCs w:val="21"/>
                      <w:lang w:bidi="ar"/>
                    </w:rPr>
                    <w:t xml:space="preserve">0.0010 </w:t>
                  </w:r>
                </w:p>
              </w:tc>
              <w:tc>
                <w:tcPr>
                  <w:tcW w:w="408" w:type="pct"/>
                  <w:vMerge w:val="restart"/>
                  <w:vAlign w:val="center"/>
                </w:tcPr>
                <w:p w14:paraId="173827E0">
                  <w:pPr>
                    <w:adjustRightInd w:val="0"/>
                    <w:snapToGrid w:val="0"/>
                    <w:jc w:val="center"/>
                    <w:rPr>
                      <w:color w:val="auto"/>
                      <w:szCs w:val="21"/>
                    </w:rPr>
                  </w:pPr>
                  <w:r>
                    <w:rPr>
                      <w:rFonts w:hint="eastAsia"/>
                      <w:color w:val="auto"/>
                      <w:szCs w:val="21"/>
                    </w:rPr>
                    <w:t>15</w:t>
                  </w:r>
                </w:p>
              </w:tc>
              <w:tc>
                <w:tcPr>
                  <w:tcW w:w="409" w:type="pct"/>
                  <w:vMerge w:val="restart"/>
                  <w:vAlign w:val="center"/>
                </w:tcPr>
                <w:p w14:paraId="173827E1">
                  <w:pPr>
                    <w:adjustRightInd w:val="0"/>
                    <w:snapToGrid w:val="0"/>
                    <w:jc w:val="center"/>
                    <w:rPr>
                      <w:color w:val="auto"/>
                      <w:szCs w:val="21"/>
                    </w:rPr>
                  </w:pPr>
                  <w:r>
                    <w:rPr>
                      <w:rFonts w:hint="eastAsia"/>
                      <w:color w:val="auto"/>
                      <w:szCs w:val="21"/>
                    </w:rPr>
                    <w:t>0.5</w:t>
                  </w:r>
                </w:p>
              </w:tc>
              <w:tc>
                <w:tcPr>
                  <w:tcW w:w="399" w:type="pct"/>
                  <w:vAlign w:val="center"/>
                </w:tcPr>
                <w:p w14:paraId="173827E2">
                  <w:pPr>
                    <w:jc w:val="center"/>
                    <w:rPr>
                      <w:color w:val="auto"/>
                      <w:szCs w:val="21"/>
                    </w:rPr>
                  </w:pPr>
                  <w:r>
                    <w:rPr>
                      <w:color w:val="auto"/>
                      <w:szCs w:val="21"/>
                    </w:rPr>
                    <w:t>1</w:t>
                  </w:r>
                </w:p>
              </w:tc>
              <w:tc>
                <w:tcPr>
                  <w:tcW w:w="299" w:type="pct"/>
                  <w:vAlign w:val="center"/>
                </w:tcPr>
                <w:p w14:paraId="173827E3">
                  <w:pPr>
                    <w:jc w:val="center"/>
                    <w:rPr>
                      <w:color w:val="auto"/>
                      <w:szCs w:val="21"/>
                    </w:rPr>
                  </w:pPr>
                  <w:r>
                    <w:rPr>
                      <w:color w:val="auto"/>
                      <w:szCs w:val="21"/>
                    </w:rPr>
                    <w:t>1</w:t>
                  </w:r>
                </w:p>
              </w:tc>
              <w:tc>
                <w:tcPr>
                  <w:tcW w:w="538" w:type="pct"/>
                  <w:vMerge w:val="restart"/>
                  <w:vAlign w:val="center"/>
                </w:tcPr>
                <w:p w14:paraId="173827E4">
                  <w:pPr>
                    <w:jc w:val="center"/>
                    <w:rPr>
                      <w:color w:val="auto"/>
                      <w:szCs w:val="21"/>
                    </w:rPr>
                  </w:pPr>
                  <w:r>
                    <w:rPr>
                      <w:color w:val="auto"/>
                      <w:szCs w:val="21"/>
                    </w:rPr>
                    <w:t>停止相应生产设备运行，立即检修</w:t>
                  </w:r>
                </w:p>
              </w:tc>
            </w:tr>
            <w:tr w14:paraId="173827F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48" w:type="pct"/>
                  <w:vMerge w:val="continue"/>
                  <w:vAlign w:val="center"/>
                </w:tcPr>
                <w:p w14:paraId="173827E6">
                  <w:pPr>
                    <w:jc w:val="center"/>
                    <w:rPr>
                      <w:color w:val="auto"/>
                      <w:szCs w:val="21"/>
                    </w:rPr>
                  </w:pPr>
                </w:p>
              </w:tc>
              <w:tc>
                <w:tcPr>
                  <w:tcW w:w="454" w:type="pct"/>
                  <w:vMerge w:val="continue"/>
                  <w:vAlign w:val="center"/>
                </w:tcPr>
                <w:p w14:paraId="173827E7">
                  <w:pPr>
                    <w:jc w:val="center"/>
                    <w:rPr>
                      <w:color w:val="auto"/>
                      <w:szCs w:val="21"/>
                    </w:rPr>
                  </w:pPr>
                </w:p>
              </w:tc>
              <w:tc>
                <w:tcPr>
                  <w:tcW w:w="417" w:type="pct"/>
                  <w:vAlign w:val="center"/>
                </w:tcPr>
                <w:p w14:paraId="173827E8">
                  <w:pPr>
                    <w:adjustRightInd w:val="0"/>
                    <w:snapToGrid w:val="0"/>
                    <w:jc w:val="center"/>
                    <w:rPr>
                      <w:color w:val="auto"/>
                      <w:szCs w:val="21"/>
                    </w:rPr>
                  </w:pPr>
                  <w:r>
                    <w:rPr>
                      <w:rFonts w:hint="eastAsia"/>
                      <w:bCs/>
                      <w:color w:val="auto"/>
                      <w:szCs w:val="21"/>
                    </w:rPr>
                    <w:t>非甲烷总烃</w:t>
                  </w:r>
                </w:p>
              </w:tc>
              <w:tc>
                <w:tcPr>
                  <w:tcW w:w="741" w:type="dxa"/>
                  <w:vAlign w:val="center"/>
                </w:tcPr>
                <w:p w14:paraId="173827E9">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8.4840 </w:t>
                  </w:r>
                </w:p>
              </w:tc>
              <w:tc>
                <w:tcPr>
                  <w:tcW w:w="1072" w:type="dxa"/>
                  <w:vAlign w:val="center"/>
                </w:tcPr>
                <w:p w14:paraId="173827EA">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0.0764 </w:t>
                  </w:r>
                </w:p>
              </w:tc>
              <w:tc>
                <w:tcPr>
                  <w:tcW w:w="934" w:type="dxa"/>
                  <w:vAlign w:val="center"/>
                </w:tcPr>
                <w:p w14:paraId="173827EB">
                  <w:pPr>
                    <w:keepNext w:val="0"/>
                    <w:keepLines w:val="0"/>
                    <w:widowControl/>
                    <w:suppressLineNumbers w:val="0"/>
                    <w:jc w:val="center"/>
                    <w:textAlignment w:val="center"/>
                    <w:rPr>
                      <w:color w:val="auto"/>
                      <w:kern w:val="0"/>
                      <w:szCs w:val="21"/>
                      <w:lang w:bidi="ar"/>
                    </w:rPr>
                  </w:pPr>
                  <w:r>
                    <w:rPr>
                      <w:rFonts w:hint="default" w:ascii="Times New Roman" w:hAnsi="Times New Roman" w:eastAsia="宋体" w:cs="Times New Roman"/>
                      <w:i w:val="0"/>
                      <w:iCs w:val="0"/>
                      <w:color w:val="auto"/>
                      <w:kern w:val="0"/>
                      <w:sz w:val="21"/>
                      <w:szCs w:val="21"/>
                      <w:u w:val="none"/>
                      <w:lang w:val="en-US" w:eastAsia="zh-CN" w:bidi="ar"/>
                    </w:rPr>
                    <w:t xml:space="preserve">0.1833 </w:t>
                  </w:r>
                </w:p>
              </w:tc>
              <w:tc>
                <w:tcPr>
                  <w:tcW w:w="408" w:type="pct"/>
                  <w:vMerge w:val="continue"/>
                  <w:vAlign w:val="center"/>
                </w:tcPr>
                <w:p w14:paraId="173827EC">
                  <w:pPr>
                    <w:jc w:val="center"/>
                    <w:rPr>
                      <w:color w:val="auto"/>
                      <w:szCs w:val="21"/>
                    </w:rPr>
                  </w:pPr>
                </w:p>
              </w:tc>
              <w:tc>
                <w:tcPr>
                  <w:tcW w:w="409" w:type="pct"/>
                  <w:vMerge w:val="continue"/>
                  <w:vAlign w:val="center"/>
                </w:tcPr>
                <w:p w14:paraId="173827ED">
                  <w:pPr>
                    <w:jc w:val="center"/>
                    <w:rPr>
                      <w:color w:val="auto"/>
                      <w:szCs w:val="21"/>
                    </w:rPr>
                  </w:pPr>
                </w:p>
              </w:tc>
              <w:tc>
                <w:tcPr>
                  <w:tcW w:w="399" w:type="pct"/>
                  <w:vAlign w:val="center"/>
                </w:tcPr>
                <w:p w14:paraId="173827EE">
                  <w:pPr>
                    <w:jc w:val="center"/>
                    <w:rPr>
                      <w:color w:val="auto"/>
                      <w:szCs w:val="21"/>
                    </w:rPr>
                  </w:pPr>
                  <w:r>
                    <w:rPr>
                      <w:color w:val="auto"/>
                      <w:szCs w:val="21"/>
                    </w:rPr>
                    <w:t>1</w:t>
                  </w:r>
                </w:p>
              </w:tc>
              <w:tc>
                <w:tcPr>
                  <w:tcW w:w="299" w:type="pct"/>
                  <w:vAlign w:val="center"/>
                </w:tcPr>
                <w:p w14:paraId="173827EF">
                  <w:pPr>
                    <w:jc w:val="center"/>
                    <w:rPr>
                      <w:color w:val="auto"/>
                      <w:szCs w:val="21"/>
                    </w:rPr>
                  </w:pPr>
                  <w:r>
                    <w:rPr>
                      <w:color w:val="auto"/>
                      <w:szCs w:val="21"/>
                    </w:rPr>
                    <w:t>1</w:t>
                  </w:r>
                </w:p>
              </w:tc>
              <w:tc>
                <w:tcPr>
                  <w:tcW w:w="538" w:type="pct"/>
                  <w:vMerge w:val="continue"/>
                  <w:vAlign w:val="center"/>
                </w:tcPr>
                <w:p w14:paraId="173827F0">
                  <w:pPr>
                    <w:jc w:val="center"/>
                    <w:rPr>
                      <w:color w:val="auto"/>
                      <w:szCs w:val="21"/>
                    </w:rPr>
                  </w:pPr>
                </w:p>
              </w:tc>
            </w:tr>
            <w:tr w14:paraId="173827F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48" w:type="pct"/>
                  <w:vMerge w:val="continue"/>
                  <w:vAlign w:val="center"/>
                </w:tcPr>
                <w:p w14:paraId="173827F2">
                  <w:pPr>
                    <w:jc w:val="center"/>
                    <w:rPr>
                      <w:color w:val="auto"/>
                      <w:szCs w:val="21"/>
                    </w:rPr>
                  </w:pPr>
                </w:p>
              </w:tc>
              <w:tc>
                <w:tcPr>
                  <w:tcW w:w="454" w:type="pct"/>
                  <w:vMerge w:val="continue"/>
                  <w:vAlign w:val="center"/>
                </w:tcPr>
                <w:p w14:paraId="173827F3">
                  <w:pPr>
                    <w:jc w:val="center"/>
                    <w:rPr>
                      <w:color w:val="auto"/>
                      <w:szCs w:val="21"/>
                    </w:rPr>
                  </w:pPr>
                </w:p>
              </w:tc>
              <w:tc>
                <w:tcPr>
                  <w:tcW w:w="417" w:type="pct"/>
                  <w:vAlign w:val="center"/>
                </w:tcPr>
                <w:p w14:paraId="173827F4">
                  <w:pPr>
                    <w:adjustRightInd w:val="0"/>
                    <w:snapToGrid w:val="0"/>
                    <w:jc w:val="center"/>
                    <w:rPr>
                      <w:color w:val="auto"/>
                      <w:szCs w:val="21"/>
                    </w:rPr>
                  </w:pPr>
                  <w:r>
                    <w:rPr>
                      <w:rFonts w:hint="eastAsia"/>
                      <w:bCs/>
                      <w:color w:val="auto"/>
                      <w:szCs w:val="21"/>
                    </w:rPr>
                    <w:t>苯乙烯</w:t>
                  </w:r>
                </w:p>
              </w:tc>
              <w:tc>
                <w:tcPr>
                  <w:tcW w:w="741" w:type="dxa"/>
                  <w:vAlign w:val="center"/>
                </w:tcPr>
                <w:p w14:paraId="173827F5">
                  <w:pPr>
                    <w:widowControl/>
                    <w:jc w:val="center"/>
                    <w:textAlignment w:val="center"/>
                    <w:rPr>
                      <w:color w:val="auto"/>
                      <w:kern w:val="0"/>
                      <w:szCs w:val="21"/>
                      <w:lang w:bidi="ar"/>
                    </w:rPr>
                  </w:pPr>
                  <w:r>
                    <w:rPr>
                      <w:color w:val="auto"/>
                      <w:kern w:val="0"/>
                      <w:szCs w:val="21"/>
                      <w:lang w:bidi="ar"/>
                    </w:rPr>
                    <w:t xml:space="preserve">0.0188 </w:t>
                  </w:r>
                </w:p>
              </w:tc>
              <w:tc>
                <w:tcPr>
                  <w:tcW w:w="1072" w:type="dxa"/>
                  <w:vAlign w:val="center"/>
                </w:tcPr>
                <w:p w14:paraId="173827F6">
                  <w:pPr>
                    <w:widowControl/>
                    <w:jc w:val="center"/>
                    <w:textAlignment w:val="center"/>
                    <w:rPr>
                      <w:color w:val="auto"/>
                      <w:kern w:val="0"/>
                      <w:szCs w:val="21"/>
                      <w:lang w:bidi="ar"/>
                    </w:rPr>
                  </w:pPr>
                  <w:r>
                    <w:rPr>
                      <w:color w:val="auto"/>
                      <w:kern w:val="0"/>
                      <w:szCs w:val="21"/>
                      <w:lang w:bidi="ar"/>
                    </w:rPr>
                    <w:t xml:space="preserve">2.0926 </w:t>
                  </w:r>
                </w:p>
              </w:tc>
              <w:tc>
                <w:tcPr>
                  <w:tcW w:w="934" w:type="dxa"/>
                  <w:vAlign w:val="center"/>
                </w:tcPr>
                <w:p w14:paraId="173827F7">
                  <w:pPr>
                    <w:widowControl/>
                    <w:jc w:val="center"/>
                    <w:textAlignment w:val="center"/>
                    <w:rPr>
                      <w:color w:val="auto"/>
                      <w:kern w:val="0"/>
                      <w:szCs w:val="21"/>
                      <w:lang w:bidi="ar"/>
                    </w:rPr>
                  </w:pPr>
                  <w:r>
                    <w:rPr>
                      <w:color w:val="auto"/>
                      <w:kern w:val="0"/>
                      <w:szCs w:val="21"/>
                      <w:lang w:bidi="ar"/>
                    </w:rPr>
                    <w:t xml:space="preserve">0.0188 </w:t>
                  </w:r>
                </w:p>
              </w:tc>
              <w:tc>
                <w:tcPr>
                  <w:tcW w:w="408" w:type="pct"/>
                  <w:vMerge w:val="continue"/>
                  <w:vAlign w:val="center"/>
                </w:tcPr>
                <w:p w14:paraId="173827F8">
                  <w:pPr>
                    <w:jc w:val="center"/>
                    <w:rPr>
                      <w:color w:val="auto"/>
                      <w:szCs w:val="21"/>
                    </w:rPr>
                  </w:pPr>
                </w:p>
              </w:tc>
              <w:tc>
                <w:tcPr>
                  <w:tcW w:w="409" w:type="pct"/>
                  <w:vMerge w:val="continue"/>
                  <w:vAlign w:val="center"/>
                </w:tcPr>
                <w:p w14:paraId="173827F9">
                  <w:pPr>
                    <w:jc w:val="center"/>
                    <w:rPr>
                      <w:color w:val="auto"/>
                      <w:szCs w:val="21"/>
                    </w:rPr>
                  </w:pPr>
                </w:p>
              </w:tc>
              <w:tc>
                <w:tcPr>
                  <w:tcW w:w="399" w:type="pct"/>
                  <w:vAlign w:val="center"/>
                </w:tcPr>
                <w:p w14:paraId="173827FA">
                  <w:pPr>
                    <w:jc w:val="center"/>
                    <w:rPr>
                      <w:color w:val="auto"/>
                      <w:szCs w:val="21"/>
                    </w:rPr>
                  </w:pPr>
                  <w:r>
                    <w:rPr>
                      <w:color w:val="auto"/>
                      <w:szCs w:val="21"/>
                    </w:rPr>
                    <w:t>1</w:t>
                  </w:r>
                </w:p>
              </w:tc>
              <w:tc>
                <w:tcPr>
                  <w:tcW w:w="299" w:type="pct"/>
                  <w:vAlign w:val="center"/>
                </w:tcPr>
                <w:p w14:paraId="173827FB">
                  <w:pPr>
                    <w:jc w:val="center"/>
                    <w:rPr>
                      <w:color w:val="auto"/>
                      <w:szCs w:val="21"/>
                    </w:rPr>
                  </w:pPr>
                  <w:r>
                    <w:rPr>
                      <w:color w:val="auto"/>
                      <w:szCs w:val="21"/>
                    </w:rPr>
                    <w:t>1</w:t>
                  </w:r>
                </w:p>
              </w:tc>
              <w:tc>
                <w:tcPr>
                  <w:tcW w:w="538" w:type="pct"/>
                  <w:vMerge w:val="continue"/>
                  <w:vAlign w:val="center"/>
                </w:tcPr>
                <w:p w14:paraId="173827FC">
                  <w:pPr>
                    <w:jc w:val="center"/>
                    <w:rPr>
                      <w:color w:val="auto"/>
                      <w:szCs w:val="21"/>
                    </w:rPr>
                  </w:pPr>
                </w:p>
              </w:tc>
            </w:tr>
            <w:tr w14:paraId="1738280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48" w:type="pct"/>
                  <w:vAlign w:val="center"/>
                </w:tcPr>
                <w:p w14:paraId="173827FE">
                  <w:pPr>
                    <w:widowControl/>
                    <w:adjustRightInd w:val="0"/>
                    <w:snapToGrid w:val="0"/>
                    <w:jc w:val="center"/>
                    <w:rPr>
                      <w:color w:val="auto"/>
                      <w:szCs w:val="21"/>
                    </w:rPr>
                  </w:pPr>
                  <w:r>
                    <w:rPr>
                      <w:color w:val="auto"/>
                      <w:kern w:val="0"/>
                      <w:szCs w:val="21"/>
                    </w:rPr>
                    <w:t>DA00</w:t>
                  </w:r>
                  <w:r>
                    <w:rPr>
                      <w:rFonts w:hint="eastAsia"/>
                      <w:color w:val="auto"/>
                      <w:kern w:val="0"/>
                      <w:szCs w:val="21"/>
                    </w:rPr>
                    <w:t>2</w:t>
                  </w:r>
                </w:p>
              </w:tc>
              <w:tc>
                <w:tcPr>
                  <w:tcW w:w="454" w:type="pct"/>
                  <w:vMerge w:val="continue"/>
                  <w:vAlign w:val="center"/>
                </w:tcPr>
                <w:p w14:paraId="173827FF">
                  <w:pPr>
                    <w:jc w:val="center"/>
                    <w:rPr>
                      <w:color w:val="auto"/>
                      <w:szCs w:val="21"/>
                    </w:rPr>
                  </w:pPr>
                </w:p>
              </w:tc>
              <w:tc>
                <w:tcPr>
                  <w:tcW w:w="417" w:type="pct"/>
                  <w:vAlign w:val="center"/>
                </w:tcPr>
                <w:p w14:paraId="17382800">
                  <w:pPr>
                    <w:adjustRightInd w:val="0"/>
                    <w:snapToGrid w:val="0"/>
                    <w:jc w:val="center"/>
                    <w:rPr>
                      <w:color w:val="auto"/>
                      <w:szCs w:val="21"/>
                    </w:rPr>
                  </w:pPr>
                  <w:r>
                    <w:rPr>
                      <w:bCs/>
                      <w:color w:val="auto"/>
                      <w:kern w:val="0"/>
                      <w:szCs w:val="21"/>
                    </w:rPr>
                    <w:t>颗粒物</w:t>
                  </w:r>
                </w:p>
              </w:tc>
              <w:tc>
                <w:tcPr>
                  <w:tcW w:w="741" w:type="dxa"/>
                  <w:vAlign w:val="center"/>
                </w:tcPr>
                <w:p w14:paraId="17382801">
                  <w:pPr>
                    <w:widowControl/>
                    <w:jc w:val="center"/>
                    <w:textAlignment w:val="center"/>
                    <w:rPr>
                      <w:color w:val="auto"/>
                      <w:kern w:val="0"/>
                      <w:szCs w:val="21"/>
                      <w:lang w:bidi="ar"/>
                    </w:rPr>
                  </w:pPr>
                  <w:r>
                    <w:rPr>
                      <w:color w:val="auto"/>
                      <w:kern w:val="0"/>
                      <w:szCs w:val="21"/>
                      <w:lang w:bidi="ar"/>
                    </w:rPr>
                    <w:t xml:space="preserve">0.9682 </w:t>
                  </w:r>
                </w:p>
              </w:tc>
              <w:tc>
                <w:tcPr>
                  <w:tcW w:w="1072" w:type="dxa"/>
                  <w:vAlign w:val="center"/>
                </w:tcPr>
                <w:p w14:paraId="17382802">
                  <w:pPr>
                    <w:widowControl/>
                    <w:jc w:val="center"/>
                    <w:textAlignment w:val="center"/>
                    <w:rPr>
                      <w:color w:val="auto"/>
                      <w:kern w:val="0"/>
                      <w:szCs w:val="21"/>
                      <w:lang w:bidi="ar"/>
                    </w:rPr>
                  </w:pPr>
                  <w:r>
                    <w:rPr>
                      <w:color w:val="auto"/>
                      <w:kern w:val="0"/>
                      <w:szCs w:val="21"/>
                      <w:lang w:bidi="ar"/>
                    </w:rPr>
                    <w:t xml:space="preserve">96.8248 </w:t>
                  </w:r>
                </w:p>
              </w:tc>
              <w:tc>
                <w:tcPr>
                  <w:tcW w:w="934" w:type="dxa"/>
                  <w:vAlign w:val="center"/>
                </w:tcPr>
                <w:p w14:paraId="17382803">
                  <w:pPr>
                    <w:widowControl/>
                    <w:jc w:val="center"/>
                    <w:textAlignment w:val="center"/>
                    <w:rPr>
                      <w:color w:val="auto"/>
                      <w:kern w:val="0"/>
                      <w:szCs w:val="21"/>
                      <w:lang w:bidi="ar"/>
                    </w:rPr>
                  </w:pPr>
                  <w:r>
                    <w:rPr>
                      <w:color w:val="auto"/>
                      <w:kern w:val="0"/>
                      <w:szCs w:val="21"/>
                      <w:lang w:bidi="ar"/>
                    </w:rPr>
                    <w:t xml:space="preserve">0.9682 </w:t>
                  </w:r>
                </w:p>
              </w:tc>
              <w:tc>
                <w:tcPr>
                  <w:tcW w:w="408" w:type="pct"/>
                  <w:vAlign w:val="center"/>
                </w:tcPr>
                <w:p w14:paraId="17382804">
                  <w:pPr>
                    <w:adjustRightInd w:val="0"/>
                    <w:snapToGrid w:val="0"/>
                    <w:jc w:val="center"/>
                    <w:rPr>
                      <w:color w:val="auto"/>
                      <w:szCs w:val="21"/>
                    </w:rPr>
                  </w:pPr>
                  <w:r>
                    <w:rPr>
                      <w:rFonts w:hint="eastAsia"/>
                      <w:color w:val="auto"/>
                      <w:szCs w:val="21"/>
                    </w:rPr>
                    <w:t>15</w:t>
                  </w:r>
                </w:p>
              </w:tc>
              <w:tc>
                <w:tcPr>
                  <w:tcW w:w="409" w:type="pct"/>
                  <w:vAlign w:val="center"/>
                </w:tcPr>
                <w:p w14:paraId="17382805">
                  <w:pPr>
                    <w:adjustRightInd w:val="0"/>
                    <w:snapToGrid w:val="0"/>
                    <w:jc w:val="center"/>
                    <w:rPr>
                      <w:color w:val="auto"/>
                      <w:szCs w:val="21"/>
                    </w:rPr>
                  </w:pPr>
                  <w:r>
                    <w:rPr>
                      <w:rFonts w:hint="eastAsia"/>
                      <w:color w:val="auto"/>
                      <w:szCs w:val="21"/>
                    </w:rPr>
                    <w:t>0.5</w:t>
                  </w:r>
                </w:p>
              </w:tc>
              <w:tc>
                <w:tcPr>
                  <w:tcW w:w="399" w:type="pct"/>
                  <w:vAlign w:val="center"/>
                </w:tcPr>
                <w:p w14:paraId="17382806">
                  <w:pPr>
                    <w:jc w:val="center"/>
                    <w:rPr>
                      <w:color w:val="auto"/>
                      <w:szCs w:val="21"/>
                    </w:rPr>
                  </w:pPr>
                  <w:r>
                    <w:rPr>
                      <w:color w:val="auto"/>
                      <w:szCs w:val="21"/>
                    </w:rPr>
                    <w:t>1</w:t>
                  </w:r>
                </w:p>
              </w:tc>
              <w:tc>
                <w:tcPr>
                  <w:tcW w:w="299" w:type="pct"/>
                  <w:vAlign w:val="center"/>
                </w:tcPr>
                <w:p w14:paraId="17382807">
                  <w:pPr>
                    <w:jc w:val="center"/>
                    <w:rPr>
                      <w:color w:val="auto"/>
                      <w:szCs w:val="21"/>
                    </w:rPr>
                  </w:pPr>
                  <w:r>
                    <w:rPr>
                      <w:color w:val="auto"/>
                      <w:szCs w:val="21"/>
                    </w:rPr>
                    <w:t>1</w:t>
                  </w:r>
                </w:p>
              </w:tc>
              <w:tc>
                <w:tcPr>
                  <w:tcW w:w="538" w:type="pct"/>
                  <w:vMerge w:val="continue"/>
                  <w:vAlign w:val="center"/>
                </w:tcPr>
                <w:p w14:paraId="17382808">
                  <w:pPr>
                    <w:jc w:val="center"/>
                    <w:rPr>
                      <w:color w:val="auto"/>
                      <w:szCs w:val="21"/>
                    </w:rPr>
                  </w:pPr>
                </w:p>
              </w:tc>
            </w:tr>
            <w:tr w14:paraId="1738281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48" w:type="pct"/>
                  <w:vAlign w:val="center"/>
                </w:tcPr>
                <w:p w14:paraId="1738280A">
                  <w:pPr>
                    <w:widowControl/>
                    <w:adjustRightInd w:val="0"/>
                    <w:snapToGrid w:val="0"/>
                    <w:jc w:val="center"/>
                    <w:rPr>
                      <w:color w:val="auto"/>
                      <w:szCs w:val="21"/>
                    </w:rPr>
                  </w:pPr>
                  <w:r>
                    <w:rPr>
                      <w:color w:val="auto"/>
                      <w:kern w:val="0"/>
                      <w:szCs w:val="21"/>
                    </w:rPr>
                    <w:t>DA00</w:t>
                  </w:r>
                  <w:r>
                    <w:rPr>
                      <w:rFonts w:hint="eastAsia"/>
                      <w:color w:val="auto"/>
                      <w:kern w:val="0"/>
                      <w:szCs w:val="21"/>
                    </w:rPr>
                    <w:t>3</w:t>
                  </w:r>
                </w:p>
              </w:tc>
              <w:tc>
                <w:tcPr>
                  <w:tcW w:w="454" w:type="pct"/>
                  <w:vMerge w:val="continue"/>
                  <w:vAlign w:val="center"/>
                </w:tcPr>
                <w:p w14:paraId="1738280B">
                  <w:pPr>
                    <w:jc w:val="center"/>
                    <w:rPr>
                      <w:color w:val="auto"/>
                      <w:szCs w:val="21"/>
                    </w:rPr>
                  </w:pPr>
                </w:p>
              </w:tc>
              <w:tc>
                <w:tcPr>
                  <w:tcW w:w="417" w:type="pct"/>
                  <w:vAlign w:val="center"/>
                </w:tcPr>
                <w:p w14:paraId="1738280C">
                  <w:pPr>
                    <w:adjustRightInd w:val="0"/>
                    <w:snapToGrid w:val="0"/>
                    <w:jc w:val="center"/>
                    <w:rPr>
                      <w:color w:val="auto"/>
                      <w:szCs w:val="21"/>
                    </w:rPr>
                  </w:pPr>
                  <w:r>
                    <w:rPr>
                      <w:bCs/>
                      <w:color w:val="auto"/>
                      <w:kern w:val="0"/>
                      <w:szCs w:val="21"/>
                    </w:rPr>
                    <w:t>颗粒物</w:t>
                  </w:r>
                </w:p>
              </w:tc>
              <w:tc>
                <w:tcPr>
                  <w:tcW w:w="741" w:type="dxa"/>
                  <w:vAlign w:val="center"/>
                </w:tcPr>
                <w:p w14:paraId="1738280D">
                  <w:pPr>
                    <w:widowControl/>
                    <w:jc w:val="center"/>
                    <w:textAlignment w:val="center"/>
                    <w:rPr>
                      <w:color w:val="auto"/>
                      <w:kern w:val="0"/>
                      <w:szCs w:val="21"/>
                      <w:lang w:bidi="ar"/>
                    </w:rPr>
                  </w:pPr>
                  <w:r>
                    <w:rPr>
                      <w:color w:val="auto"/>
                      <w:kern w:val="0"/>
                      <w:szCs w:val="21"/>
                      <w:lang w:bidi="ar"/>
                    </w:rPr>
                    <w:t xml:space="preserve">0.4106 </w:t>
                  </w:r>
                </w:p>
              </w:tc>
              <w:tc>
                <w:tcPr>
                  <w:tcW w:w="1072" w:type="dxa"/>
                  <w:vAlign w:val="center"/>
                </w:tcPr>
                <w:p w14:paraId="1738280E">
                  <w:pPr>
                    <w:widowControl/>
                    <w:jc w:val="center"/>
                    <w:textAlignment w:val="center"/>
                    <w:rPr>
                      <w:color w:val="auto"/>
                      <w:kern w:val="0"/>
                      <w:szCs w:val="21"/>
                      <w:lang w:bidi="ar"/>
                    </w:rPr>
                  </w:pPr>
                  <w:r>
                    <w:rPr>
                      <w:color w:val="auto"/>
                      <w:kern w:val="0"/>
                      <w:szCs w:val="21"/>
                      <w:lang w:bidi="ar"/>
                    </w:rPr>
                    <w:t xml:space="preserve">136.8750 </w:t>
                  </w:r>
                </w:p>
              </w:tc>
              <w:tc>
                <w:tcPr>
                  <w:tcW w:w="934" w:type="dxa"/>
                  <w:vAlign w:val="center"/>
                </w:tcPr>
                <w:p w14:paraId="1738280F">
                  <w:pPr>
                    <w:widowControl/>
                    <w:jc w:val="center"/>
                    <w:textAlignment w:val="center"/>
                    <w:rPr>
                      <w:color w:val="auto"/>
                      <w:kern w:val="0"/>
                      <w:szCs w:val="21"/>
                      <w:lang w:bidi="ar"/>
                    </w:rPr>
                  </w:pPr>
                  <w:r>
                    <w:rPr>
                      <w:color w:val="auto"/>
                      <w:kern w:val="0"/>
                      <w:szCs w:val="21"/>
                      <w:lang w:bidi="ar"/>
                    </w:rPr>
                    <w:t xml:space="preserve">0.4106 </w:t>
                  </w:r>
                </w:p>
              </w:tc>
              <w:tc>
                <w:tcPr>
                  <w:tcW w:w="408" w:type="pct"/>
                  <w:vAlign w:val="center"/>
                </w:tcPr>
                <w:p w14:paraId="17382810">
                  <w:pPr>
                    <w:adjustRightInd w:val="0"/>
                    <w:snapToGrid w:val="0"/>
                    <w:jc w:val="center"/>
                    <w:rPr>
                      <w:color w:val="auto"/>
                      <w:szCs w:val="21"/>
                    </w:rPr>
                  </w:pPr>
                  <w:r>
                    <w:rPr>
                      <w:rFonts w:hint="eastAsia"/>
                      <w:color w:val="auto"/>
                      <w:szCs w:val="21"/>
                    </w:rPr>
                    <w:t>15</w:t>
                  </w:r>
                </w:p>
              </w:tc>
              <w:tc>
                <w:tcPr>
                  <w:tcW w:w="409" w:type="pct"/>
                  <w:vAlign w:val="center"/>
                </w:tcPr>
                <w:p w14:paraId="17382811">
                  <w:pPr>
                    <w:adjustRightInd w:val="0"/>
                    <w:snapToGrid w:val="0"/>
                    <w:jc w:val="center"/>
                    <w:rPr>
                      <w:color w:val="auto"/>
                      <w:szCs w:val="21"/>
                    </w:rPr>
                  </w:pPr>
                  <w:r>
                    <w:rPr>
                      <w:rFonts w:hint="eastAsia"/>
                      <w:color w:val="auto"/>
                      <w:szCs w:val="21"/>
                    </w:rPr>
                    <w:t>0.3</w:t>
                  </w:r>
                </w:p>
              </w:tc>
              <w:tc>
                <w:tcPr>
                  <w:tcW w:w="399" w:type="pct"/>
                  <w:vAlign w:val="center"/>
                </w:tcPr>
                <w:p w14:paraId="17382812">
                  <w:pPr>
                    <w:jc w:val="center"/>
                    <w:rPr>
                      <w:color w:val="auto"/>
                      <w:szCs w:val="21"/>
                    </w:rPr>
                  </w:pPr>
                  <w:r>
                    <w:rPr>
                      <w:color w:val="auto"/>
                      <w:szCs w:val="21"/>
                    </w:rPr>
                    <w:t>1</w:t>
                  </w:r>
                </w:p>
              </w:tc>
              <w:tc>
                <w:tcPr>
                  <w:tcW w:w="299" w:type="pct"/>
                  <w:vAlign w:val="center"/>
                </w:tcPr>
                <w:p w14:paraId="17382813">
                  <w:pPr>
                    <w:jc w:val="center"/>
                    <w:rPr>
                      <w:color w:val="auto"/>
                      <w:szCs w:val="21"/>
                    </w:rPr>
                  </w:pPr>
                  <w:r>
                    <w:rPr>
                      <w:color w:val="auto"/>
                      <w:szCs w:val="21"/>
                    </w:rPr>
                    <w:t>1</w:t>
                  </w:r>
                </w:p>
              </w:tc>
              <w:tc>
                <w:tcPr>
                  <w:tcW w:w="538" w:type="pct"/>
                  <w:vMerge w:val="continue"/>
                  <w:vAlign w:val="center"/>
                </w:tcPr>
                <w:p w14:paraId="17382814">
                  <w:pPr>
                    <w:jc w:val="center"/>
                    <w:rPr>
                      <w:color w:val="auto"/>
                      <w:szCs w:val="21"/>
                    </w:rPr>
                  </w:pPr>
                </w:p>
              </w:tc>
            </w:tr>
          </w:tbl>
          <w:p w14:paraId="17382816">
            <w:pPr>
              <w:widowControl/>
              <w:spacing w:line="360" w:lineRule="auto"/>
              <w:ind w:firstLine="480" w:firstLineChars="200"/>
              <w:rPr>
                <w:color w:val="auto"/>
                <w:sz w:val="24"/>
              </w:rPr>
            </w:pPr>
            <w:r>
              <w:rPr>
                <w:color w:val="auto"/>
                <w:sz w:val="24"/>
              </w:rPr>
              <w:t>由计算结果可知，非正常排放状况下，对周围环境空气质量影响较正常排放时增大。因此建设方必须加强废气处理设施的管理，定期检修，确保废气处理设施正常运行。在废气处理设备停止运行时，产生废气的各工序也必须相应停止生产。</w:t>
            </w:r>
          </w:p>
          <w:p w14:paraId="17382817">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1.3废气污染防治措施及其可行性分析</w:t>
            </w:r>
          </w:p>
          <w:p w14:paraId="17382818">
            <w:pPr>
              <w:widowControl/>
              <w:spacing w:line="360" w:lineRule="auto"/>
              <w:ind w:firstLine="480" w:firstLineChars="200"/>
              <w:rPr>
                <w:color w:val="auto"/>
                <w:sz w:val="24"/>
              </w:rPr>
            </w:pPr>
            <w:r>
              <w:rPr>
                <w:rFonts w:hint="eastAsia"/>
                <w:color w:val="auto"/>
                <w:sz w:val="24"/>
              </w:rPr>
              <w:t>（1）二级活性炭吸附装置可行性分析</w:t>
            </w:r>
          </w:p>
          <w:p w14:paraId="17382819">
            <w:pPr>
              <w:widowControl/>
              <w:spacing w:line="360" w:lineRule="auto"/>
              <w:ind w:firstLine="480" w:firstLineChars="200"/>
              <w:rPr>
                <w:color w:val="auto"/>
                <w:sz w:val="24"/>
              </w:rPr>
            </w:pPr>
            <w:r>
              <w:rPr>
                <w:rFonts w:hint="eastAsia"/>
                <w:color w:val="auto"/>
                <w:sz w:val="24"/>
              </w:rPr>
              <w:t>本项目采用“二级活性炭吸附”装置处理有机废气。有机废气经收集后，在风机负压作用下进入活性炭吸附器。</w:t>
            </w:r>
            <w:r>
              <w:rPr>
                <w:color w:val="auto"/>
                <w:sz w:val="24"/>
              </w:rPr>
              <w:t>活性炭吸附原理是当废气由风机提供动力，负压进入吸附箱后进入活性炭吸附层，由于活性炭吸附剂表面上存在着未平衡和未饱和的分子引力或化学键力，因此当活性炭吸附剂的表面与气体接触时，就能吸引气体分子，使其浓聚并保持在活性炭表面，此现象称为吸附。利用活性炭吸附剂表面的吸附能力，使废气与大表面的多孔性活性炭吸附剂相接触，废气中的污染物被吸附在活性炭表面上，使其与气体混合物分离，净化后的气体高空排放。</w:t>
            </w:r>
            <w:r>
              <w:rPr>
                <w:rFonts w:hint="eastAsia"/>
                <w:color w:val="auto"/>
                <w:sz w:val="24"/>
              </w:rPr>
              <w:t>由于活性炭表面存在着未平衡饱和的分子力或化学键力，因此当其表面与气体接触时，就能吸引气体分子，使其浓集并保持在活性炭表面，这种现象就是吸附现象。本工艺所采用的活性炭吸附法就是利用活性炭表面的这种性质，当有机废气与表面积较大的多孔性活性炭相接触，废气中的污染物被吸附在活性炭固体表面，从而与气体混合物分离，达到净化的目的。活性炭吸附流程如下图所示：</w:t>
            </w:r>
          </w:p>
          <w:p w14:paraId="1738281A">
            <w:pPr>
              <w:pStyle w:val="30"/>
              <w:jc w:val="center"/>
              <w:rPr>
                <w:color w:val="auto"/>
                <w:lang w:val="en-US"/>
              </w:rPr>
            </w:pPr>
            <w:r>
              <w:rPr>
                <w:rFonts w:ascii="宋体" w:hAnsi="宋体" w:cs="宋体"/>
                <w:color w:val="auto"/>
              </w:rPr>
              <w:drawing>
                <wp:inline distT="0" distB="0" distL="114300" distR="114300">
                  <wp:extent cx="5019675" cy="1555115"/>
                  <wp:effectExtent l="0" t="0" r="9525" b="6985"/>
                  <wp:docPr id="3"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IMG_256"/>
                          <pic:cNvPicPr>
                            <a:picLocks noChangeAspect="1"/>
                          </pic:cNvPicPr>
                        </pic:nvPicPr>
                        <pic:blipFill>
                          <a:blip r:embed="rId14"/>
                          <a:stretch>
                            <a:fillRect/>
                          </a:stretch>
                        </pic:blipFill>
                        <pic:spPr>
                          <a:xfrm>
                            <a:off x="0" y="0"/>
                            <a:ext cx="5019675" cy="1555115"/>
                          </a:xfrm>
                          <a:prstGeom prst="rect">
                            <a:avLst/>
                          </a:prstGeom>
                          <a:noFill/>
                          <a:ln>
                            <a:noFill/>
                          </a:ln>
                        </pic:spPr>
                      </pic:pic>
                    </a:graphicData>
                  </a:graphic>
                </wp:inline>
              </w:drawing>
            </w:r>
          </w:p>
          <w:p w14:paraId="1738281B">
            <w:pPr>
              <w:widowControl/>
              <w:adjustRightInd w:val="0"/>
              <w:snapToGrid w:val="0"/>
              <w:spacing w:line="360" w:lineRule="auto"/>
              <w:jc w:val="center"/>
              <w:rPr>
                <w:b/>
                <w:bCs/>
                <w:color w:val="auto"/>
                <w:sz w:val="24"/>
              </w:rPr>
            </w:pPr>
            <w:r>
              <w:rPr>
                <w:rFonts w:hint="eastAsia"/>
                <w:b/>
                <w:bCs/>
                <w:color w:val="auto"/>
                <w:sz w:val="24"/>
              </w:rPr>
              <w:t>图4-2  活性炭吸附流程示意图</w:t>
            </w:r>
          </w:p>
          <w:p w14:paraId="1738281C">
            <w:pPr>
              <w:widowControl/>
              <w:spacing w:line="360" w:lineRule="auto"/>
              <w:ind w:firstLine="480" w:firstLineChars="200"/>
              <w:rPr>
                <w:rFonts w:ascii="Times New Roman" w:hAnsi="Times New Roman" w:eastAsia="宋体" w:cs="Times New Roman"/>
                <w:color w:val="auto"/>
                <w:sz w:val="24"/>
              </w:rPr>
            </w:pPr>
            <w:r>
              <w:rPr>
                <w:color w:val="auto"/>
                <w:sz w:val="24"/>
              </w:rPr>
              <w:t>活性炭是一种主要由含碳材料制成的外观呈黑色，内部孔隙结构发达、比表面积大、吸附能力强的一类微晶质碳素材料。活性炭材料中有大量肉眼看不见的微孔，1克活性炭材料中微孔将其展开后表面积可高达800~1500平方米，特殊用途的更高。在一个米粒大小的活性炭颗粒中，微孔的内表面积可能相当于一个客厅面积的大小。正是这些高度发达，如人体毛细血管般的孔隙结构，使活性炭拥有了优良的吸附性能。Ⅱ分子之间相互吸附的作用力：也叫“范德瓦引力”。虽然分子运动速度受温度和材质等原因的影响，但它在微环境下始终是不停运动的。由于分子之间拥有相互吸引的作用力，当一个分子被活性炭内孔捕捉进入到活性炭内孔隙中后，由于分子之间相互吸引的原因，会导致更多的分子不断被吸引，直到</w:t>
            </w:r>
            <w:r>
              <w:rPr>
                <w:rFonts w:hint="eastAsia"/>
                <w:color w:val="auto"/>
                <w:sz w:val="24"/>
                <w:lang w:val="en-US" w:eastAsia="zh-CN"/>
              </w:rPr>
              <w:t>填</w:t>
            </w:r>
            <w:r>
              <w:rPr>
                <w:color w:val="auto"/>
                <w:sz w:val="24"/>
              </w:rPr>
              <w:t>满活性炭内孔隙为止</w:t>
            </w:r>
            <w:r>
              <w:rPr>
                <w:rFonts w:hint="eastAsia"/>
                <w:color w:val="auto"/>
                <w:sz w:val="24"/>
              </w:rPr>
              <w:t>。</w:t>
            </w:r>
            <w:r>
              <w:rPr>
                <w:color w:val="auto"/>
                <w:sz w:val="24"/>
              </w:rPr>
              <w:t>利用活性炭多微孔的吸附特性吸附有机废气是一种最有效的工业处理手段。活性炭吸附装置采用新型活性炭，该活性炭比表面积和孔隙率大，吸附能力强，具有较好的机械强度、化学稳定性和热稳定性。有机废气通过吸附装置，与活性炭接触，废气中的有机污染物被吸附在活性炭表面，从而</w:t>
            </w:r>
            <w:r>
              <w:rPr>
                <w:rFonts w:ascii="Times New Roman" w:hAnsi="Times New Roman" w:eastAsia="宋体" w:cs="Times New Roman"/>
                <w:color w:val="auto"/>
                <w:sz w:val="24"/>
              </w:rPr>
              <w:t>从气流中脱离出来，达到净化效果。</w:t>
            </w:r>
          </w:p>
          <w:p w14:paraId="6B4C1713">
            <w:pPr>
              <w:widowControl/>
              <w:spacing w:line="360" w:lineRule="auto"/>
              <w:ind w:firstLine="480" w:firstLineChars="200"/>
              <w:rPr>
                <w:rFonts w:hint="eastAsia" w:ascii="Times New Roman" w:hAnsi="Times New Roman" w:eastAsia="宋体" w:cs="Times New Roman"/>
                <w:color w:val="auto"/>
                <w:sz w:val="24"/>
                <w:lang w:eastAsia="zh-CN"/>
              </w:rPr>
            </w:pPr>
            <w:r>
              <w:rPr>
                <w:rFonts w:hint="eastAsia" w:ascii="Times New Roman" w:hAnsi="Times New Roman" w:eastAsia="宋体" w:cs="Times New Roman"/>
                <w:color w:val="auto"/>
                <w:sz w:val="24"/>
                <w:lang w:val="en-US" w:eastAsia="zh-CN"/>
              </w:rPr>
              <w:t>本</w:t>
            </w:r>
            <w:r>
              <w:rPr>
                <w:rFonts w:hint="eastAsia" w:ascii="Times New Roman" w:hAnsi="Times New Roman" w:eastAsia="宋体" w:cs="Times New Roman"/>
                <w:color w:val="auto"/>
                <w:sz w:val="24"/>
              </w:rPr>
              <w:t>项目采用颗粒活性炭，活性炭吸附装置设计、运行时，严格按照《吸附法工业有机废气治理工程技术规范》（HJ2026-2013）、《关于深入开展涉VOCs治理重点工作核查的通知》（苏环办</w:t>
            </w:r>
            <w:r>
              <w:rPr>
                <w:rFonts w:hint="eastAsia" w:ascii="Times New Roman" w:hAnsi="Times New Roman" w:eastAsia="宋体" w:cs="Times New Roman"/>
                <w:color w:val="auto"/>
                <w:sz w:val="24"/>
                <w:lang w:val="en-US" w:eastAsia="zh-CN"/>
              </w:rPr>
              <w:t>[</w:t>
            </w:r>
            <w:r>
              <w:rPr>
                <w:rFonts w:hint="eastAsia" w:ascii="Times New Roman" w:hAnsi="Times New Roman" w:eastAsia="宋体" w:cs="Times New Roman"/>
                <w:color w:val="auto"/>
                <w:sz w:val="24"/>
              </w:rPr>
              <w:t>2022</w:t>
            </w:r>
            <w:r>
              <w:rPr>
                <w:rFonts w:hint="eastAsia" w:ascii="Times New Roman" w:hAnsi="Times New Roman" w:eastAsia="宋体" w:cs="Times New Roman"/>
                <w:color w:val="auto"/>
                <w:sz w:val="24"/>
                <w:lang w:val="en-US" w:eastAsia="zh-CN"/>
              </w:rPr>
              <w:t>]</w:t>
            </w:r>
            <w:r>
              <w:rPr>
                <w:rFonts w:hint="eastAsia" w:ascii="Times New Roman" w:hAnsi="Times New Roman" w:eastAsia="宋体" w:cs="Times New Roman"/>
                <w:color w:val="auto"/>
                <w:sz w:val="24"/>
              </w:rPr>
              <w:t>218号）等文件中的相关要求运行活性炭吸附装置，主要控制因素有：进入吸附装置的有机废气中有机物的浓度应低于其爆炸极限下限的25%。当废气中有机物的浓度高于其爆炸极限下限的25%时，应使其降低到其爆炸极限下限的25%后方可进行吸附净化；气体流速低于0.60m/s，装填厚度不低于0.4m；进入吸附设备的废气温度低于40℃等。为了保证活性炭的吸附效率，环评要求活性炭定期更换，并有更换记录</w:t>
            </w:r>
            <w:r>
              <w:rPr>
                <w:rFonts w:hint="eastAsia" w:ascii="Times New Roman" w:hAnsi="Times New Roman" w:eastAsia="宋体" w:cs="Times New Roman"/>
                <w:color w:val="auto"/>
                <w:sz w:val="24"/>
                <w:lang w:eastAsia="zh-CN"/>
              </w:rPr>
              <w:t>。</w:t>
            </w:r>
          </w:p>
          <w:p w14:paraId="1738281D">
            <w:pPr>
              <w:widowControl/>
              <w:spacing w:line="360" w:lineRule="auto"/>
              <w:ind w:firstLine="480" w:firstLineChars="200"/>
              <w:rPr>
                <w:color w:val="auto"/>
                <w:sz w:val="24"/>
              </w:rPr>
            </w:pPr>
            <w:r>
              <w:rPr>
                <w:color w:val="auto"/>
                <w:sz w:val="24"/>
              </w:rPr>
              <w:t>目前，国内外对有机废气治理的常用方法有很多种</w:t>
            </w:r>
            <w:r>
              <w:rPr>
                <w:rFonts w:hint="eastAsia"/>
                <w:color w:val="auto"/>
                <w:sz w:val="24"/>
              </w:rPr>
              <w:t>：</w:t>
            </w:r>
            <w:r>
              <w:rPr>
                <w:color w:val="auto"/>
                <w:sz w:val="24"/>
              </w:rPr>
              <w:t>液体吸收法、</w:t>
            </w:r>
            <w:r>
              <w:rPr>
                <w:rFonts w:hint="eastAsia"/>
                <w:color w:val="auto"/>
                <w:sz w:val="24"/>
              </w:rPr>
              <w:t>过滤棉</w:t>
            </w:r>
            <w:r>
              <w:rPr>
                <w:color w:val="auto"/>
                <w:sz w:val="24"/>
              </w:rPr>
              <w:t>、活性炭吸附法及催化燃烧法。液体吸收法净化效率为60%～80%，适合处理低浓度、大风量的有机废气，但存在着二次污染；催化燃烧法净化率为95%，适合处理高浓度、小风量的有机废气，缺点是对处理对象要求苛刻，要求气体的温度较高，为了提高废气温度，要消耗大量的燃料，所以运行费用很高；活性炭吸附法净化效率为99.2%～99.3%，对于处理大风量、低浓度的有机废气，国内外一致认为该法是最为成熟和可靠的技术。</w:t>
            </w:r>
          </w:p>
          <w:p w14:paraId="1738281E">
            <w:pPr>
              <w:widowControl/>
              <w:spacing w:line="360" w:lineRule="auto"/>
              <w:ind w:firstLine="480" w:firstLineChars="200"/>
              <w:rPr>
                <w:color w:val="auto"/>
                <w:sz w:val="24"/>
              </w:rPr>
            </w:pPr>
            <w:r>
              <w:rPr>
                <w:rFonts w:hint="eastAsia"/>
                <w:color w:val="auto"/>
                <w:sz w:val="24"/>
              </w:rPr>
              <w:t>参考《大气中VOCs的污染现状及治理技术研究进展》（环境科学与管理，2012年第37卷第6期，曲茉莉）中数据，吸附法对VOCs去除效率可达90%。同时</w:t>
            </w:r>
            <w:r>
              <w:rPr>
                <w:color w:val="auto"/>
                <w:sz w:val="24"/>
              </w:rPr>
              <w:t>根据《环境保护产品技术要求工业废气吸附净化装置》（HJ/T386-2007），吸附装置净化效率不低于90%。</w:t>
            </w:r>
            <w:r>
              <w:rPr>
                <w:rFonts w:hint="eastAsia"/>
                <w:color w:val="auto"/>
                <w:sz w:val="24"/>
              </w:rPr>
              <w:t>综上，本项目二级活性炭吸附装置对有机废气的净化率取值90%是可行的。</w:t>
            </w:r>
          </w:p>
          <w:p w14:paraId="1738281F">
            <w:pPr>
              <w:widowControl/>
              <w:spacing w:line="360" w:lineRule="auto"/>
              <w:ind w:firstLine="480" w:firstLineChars="200"/>
              <w:rPr>
                <w:color w:val="auto"/>
                <w:sz w:val="24"/>
              </w:rPr>
            </w:pPr>
            <w:r>
              <w:rPr>
                <w:rFonts w:hint="eastAsia"/>
                <w:color w:val="auto"/>
                <w:sz w:val="24"/>
                <w:lang w:eastAsia="zh-CN"/>
              </w:rPr>
              <w:t>（</w:t>
            </w:r>
            <w:r>
              <w:rPr>
                <w:rFonts w:hint="eastAsia"/>
                <w:color w:val="auto"/>
                <w:sz w:val="24"/>
                <w:lang w:val="en-US" w:eastAsia="zh-CN"/>
              </w:rPr>
              <w:t>2</w:t>
            </w:r>
            <w:r>
              <w:rPr>
                <w:rFonts w:hint="eastAsia"/>
                <w:color w:val="auto"/>
                <w:sz w:val="24"/>
                <w:lang w:eastAsia="zh-CN"/>
              </w:rPr>
              <w:t>）</w:t>
            </w:r>
            <w:r>
              <w:rPr>
                <w:color w:val="auto"/>
                <w:sz w:val="24"/>
              </w:rPr>
              <w:t>袋式除尘器可行性分析</w:t>
            </w:r>
          </w:p>
          <w:p w14:paraId="17382820">
            <w:pPr>
              <w:widowControl/>
              <w:spacing w:line="360" w:lineRule="auto"/>
              <w:ind w:firstLine="480" w:firstLineChars="200"/>
              <w:rPr>
                <w:color w:val="auto"/>
                <w:sz w:val="24"/>
              </w:rPr>
            </w:pPr>
            <w:r>
              <w:rPr>
                <w:color w:val="auto"/>
                <w:sz w:val="24"/>
              </w:rPr>
              <w:t>含尘废气收集处理，除尘器主要的种类有：</w:t>
            </w:r>
            <w:r>
              <w:rPr>
                <w:rFonts w:hint="eastAsia"/>
                <w:color w:val="auto"/>
                <w:sz w:val="24"/>
                <w:lang w:val="en-US" w:eastAsia="zh-CN"/>
              </w:rPr>
              <w:t>袋</w:t>
            </w:r>
            <w:r>
              <w:rPr>
                <w:color w:val="auto"/>
                <w:sz w:val="24"/>
              </w:rPr>
              <w:t>式除尘器、静电除尘器、旋风除尘器惯性除尘器、重力除尘器等，其中旋风除尘器主要进行粒径较大颗粒物的净化，袋式除尘器主要进行小粒径除尘。本项目干磨毛粉尘属于小粒径，因此项目采用袋式除尘器进行粉尘处理，结构图见图4-</w:t>
            </w:r>
            <w:r>
              <w:rPr>
                <w:rFonts w:hint="eastAsia"/>
                <w:color w:val="auto"/>
                <w:sz w:val="24"/>
              </w:rPr>
              <w:t>3。</w:t>
            </w:r>
          </w:p>
          <w:p w14:paraId="17382821">
            <w:pPr>
              <w:widowControl/>
              <w:spacing w:line="360" w:lineRule="auto"/>
              <w:ind w:firstLine="420" w:firstLineChars="200"/>
              <w:jc w:val="center"/>
              <w:rPr>
                <w:color w:val="auto"/>
                <w:szCs w:val="21"/>
              </w:rPr>
            </w:pPr>
            <w:r>
              <w:rPr>
                <w:color w:val="auto"/>
                <w:szCs w:val="21"/>
              </w:rPr>
              <w:drawing>
                <wp:inline distT="0" distB="0" distL="114300" distR="114300">
                  <wp:extent cx="3544570" cy="2282825"/>
                  <wp:effectExtent l="0" t="0" r="17780" b="317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5"/>
                          <a:stretch>
                            <a:fillRect/>
                          </a:stretch>
                        </pic:blipFill>
                        <pic:spPr>
                          <a:xfrm>
                            <a:off x="0" y="0"/>
                            <a:ext cx="3544570" cy="2282825"/>
                          </a:xfrm>
                          <a:prstGeom prst="rect">
                            <a:avLst/>
                          </a:prstGeom>
                          <a:noFill/>
                          <a:ln>
                            <a:noFill/>
                          </a:ln>
                        </pic:spPr>
                      </pic:pic>
                    </a:graphicData>
                  </a:graphic>
                </wp:inline>
              </w:drawing>
            </w:r>
          </w:p>
          <w:p w14:paraId="17382822">
            <w:pPr>
              <w:widowControl/>
              <w:adjustRightInd w:val="0"/>
              <w:snapToGrid w:val="0"/>
              <w:spacing w:line="360" w:lineRule="auto"/>
              <w:jc w:val="center"/>
              <w:rPr>
                <w:b/>
                <w:bCs/>
                <w:color w:val="auto"/>
                <w:sz w:val="24"/>
              </w:rPr>
            </w:pPr>
            <w:r>
              <w:rPr>
                <w:rFonts w:hint="eastAsia"/>
                <w:b/>
                <w:bCs/>
                <w:color w:val="auto"/>
                <w:sz w:val="24"/>
              </w:rPr>
              <w:t>图4-3 袋式除尘器结构图</w:t>
            </w:r>
          </w:p>
          <w:p w14:paraId="17382823">
            <w:pPr>
              <w:widowControl/>
              <w:spacing w:line="360" w:lineRule="auto"/>
              <w:ind w:firstLine="480" w:firstLineChars="200"/>
              <w:rPr>
                <w:color w:val="auto"/>
                <w:sz w:val="24"/>
              </w:rPr>
            </w:pPr>
            <w:r>
              <w:rPr>
                <w:color w:val="auto"/>
                <w:sz w:val="24"/>
              </w:rPr>
              <w:t>袋式除尘器是利用棉、毛、人造纤维等编织物作为滤袋起过滤作用，对颗粒物进行捕集而达到除尘效果的。其主要工作原理是：含尘气流从下部进入圆筒形滤袋，在通过滤料的孔隙时，粉尘被捕集于滤料上，透过滤料的清洁气体由排出口排出。沉积在滤料上的粉尘，可在机械振动的作用下从滤料表面脱落，落入灰斗中。常用滤料由棉、毛、人造纤维等加工而成，新型滤料有玻璃纤维和微滤膜等，滤料本身网孔较小，一般为20-50μm，表面起绒的滤料为5-10μm，而新型滤料的孔径在5μm以下。按不同粒径的粉尘在流体中运动的不同物理学特征，颗粒物通过惯性碰撞、截留、扩散、静电、筛滤等作用被捕集。此外，粉尘因截留、惯性碰撞、静电和扩散等作用，逐渐在滤袋表面形成粉尘层，常称为粉尘初层。初层形成后，它成为袋式除尘器的主要过滤层，提高了除尘效率。滤布只不过起着形成粉尘初层和支撑它的骨架作用，但随着粉尘在滤袋上积聚，滤袋两侧的压力差增大，会把有些已附在滤料上的细小粉尘挤压过去，使除尘效率下降。另外，若除尘器阻力过高，还会使除尘系统的处理气体量显著下降，影响生产系统的排风效果。因此，除尘器阻力达到一定的数值后，要及时清灰。</w:t>
            </w:r>
          </w:p>
          <w:p w14:paraId="17382824">
            <w:pPr>
              <w:widowControl/>
              <w:spacing w:line="360" w:lineRule="auto"/>
              <w:ind w:firstLine="480" w:firstLineChars="200"/>
              <w:rPr>
                <w:color w:val="auto"/>
                <w:sz w:val="24"/>
              </w:rPr>
            </w:pPr>
            <w:r>
              <w:rPr>
                <w:rFonts w:hint="eastAsia"/>
                <w:color w:val="auto"/>
                <w:sz w:val="24"/>
              </w:rPr>
              <w:t>同时参照《排放源统计调查产排污核算方法及系数手册》（机械行业系数手册-06预处理）抛丸、喷砂、打磨、滚筒颗粒物工艺末端治理采用袋式除尘，治理效率可达95%。</w:t>
            </w:r>
          </w:p>
          <w:p w14:paraId="17382825">
            <w:pPr>
              <w:widowControl/>
              <w:autoSpaceDE w:val="0"/>
              <w:autoSpaceDN w:val="0"/>
              <w:adjustRightInd w:val="0"/>
              <w:snapToGrid w:val="0"/>
              <w:spacing w:before="120" w:beforeLines="50" w:line="360" w:lineRule="auto"/>
              <w:ind w:firstLine="482"/>
              <w:jc w:val="left"/>
              <w:rPr>
                <w:b/>
                <w:bCs/>
                <w:color w:val="auto"/>
                <w:sz w:val="24"/>
              </w:rPr>
            </w:pPr>
            <w:r>
              <w:rPr>
                <w:rFonts w:hint="eastAsia"/>
                <w:b/>
                <w:bCs/>
                <w:color w:val="auto"/>
                <w:sz w:val="24"/>
              </w:rPr>
              <w:t>1.4异味影响分析</w:t>
            </w:r>
          </w:p>
          <w:p w14:paraId="17382826">
            <w:pPr>
              <w:widowControl/>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本项目异味气体主要有苯乙烯。苯乙烯对眼和上呼吸道粘膜有刺激和麻醉作用。急性中毒：高浓度时，立即引起眼及上呼吸道粘膜的刺激，出现眼痛、流泪、流涕、喷嚏、咽痛、咳嗽等，继之头痛、头晕、恶心、呕吐、全身乏力等；严重者可有眩晕、步态 蹒跚。眼部受苯乙烯液体污染时，可致灼伤。慢性影响：常见神经衰弱综合症，有头痛、乏力、恶心、食欲减退、腹胀、忧郁、健忘、指颤等。对呼吸道有刺激作用，长期接触有时引起阻塞性肺部病变。皮肤粗糙、皲裂和增厚。</w:t>
            </w:r>
          </w:p>
          <w:p w14:paraId="17382827">
            <w:pPr>
              <w:widowControl/>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rPr>
              <w:t>本项目</w:t>
            </w:r>
            <w:r>
              <w:rPr>
                <w:rFonts w:hint="eastAsia" w:ascii="Times New Roman" w:hAnsi="Times New Roman" w:eastAsia="宋体" w:cs="Times New Roman"/>
                <w:color w:val="auto"/>
                <w:sz w:val="24"/>
                <w:lang w:val="en-US" w:eastAsia="zh-CN"/>
              </w:rPr>
              <w:t>有组织</w:t>
            </w:r>
            <w:r>
              <w:rPr>
                <w:rFonts w:hint="default" w:ascii="Times New Roman" w:hAnsi="Times New Roman" w:eastAsia="宋体" w:cs="Times New Roman"/>
                <w:color w:val="auto"/>
                <w:sz w:val="24"/>
              </w:rPr>
              <w:t>苯乙烯</w:t>
            </w:r>
            <w:r>
              <w:rPr>
                <w:rFonts w:hint="eastAsia" w:ascii="Times New Roman" w:hAnsi="Times New Roman" w:eastAsia="宋体" w:cs="Times New Roman"/>
                <w:color w:val="auto"/>
                <w:sz w:val="24"/>
                <w:lang w:val="en-US" w:eastAsia="zh-CN"/>
              </w:rPr>
              <w:t>排放量为0.0045</w:t>
            </w:r>
            <w:r>
              <w:rPr>
                <w:rFonts w:hint="default" w:ascii="Times New Roman" w:hAnsi="Times New Roman" w:eastAsia="宋体" w:cs="Times New Roman"/>
                <w:color w:val="auto"/>
                <w:sz w:val="24"/>
              </w:rPr>
              <w:t>t/a</w:t>
            </w:r>
            <w:r>
              <w:rPr>
                <w:rFonts w:hint="eastAsia" w:ascii="Times New Roman" w:hAnsi="Times New Roman" w:eastAsia="宋体" w:cs="Times New Roman"/>
                <w:color w:val="auto"/>
                <w:sz w:val="24"/>
                <w:lang w:eastAsia="zh-CN"/>
              </w:rPr>
              <w:t>、</w:t>
            </w:r>
            <w:r>
              <w:rPr>
                <w:rFonts w:hint="eastAsia" w:ascii="Times New Roman" w:hAnsi="Times New Roman" w:eastAsia="宋体" w:cs="Times New Roman"/>
                <w:color w:val="auto"/>
                <w:sz w:val="24"/>
                <w:lang w:val="en-US" w:eastAsia="zh-CN"/>
              </w:rPr>
              <w:t>无组织苯乙烯排放量为</w:t>
            </w:r>
            <w:r>
              <w:rPr>
                <w:rFonts w:hint="default" w:ascii="Times New Roman" w:hAnsi="Times New Roman" w:eastAsia="宋体" w:cs="Times New Roman"/>
                <w:color w:val="auto"/>
                <w:sz w:val="24"/>
              </w:rPr>
              <w:t>0.0024t/a。由于人体对异味的敏感程度各不相同，对于一些敏感受体，即使气味污染物浓度未超出嗅阈值，仍可被感知。因此，企业应加强异味气体的污染防治措施，降低无组织排放量和非正常排放的概率，避免异味污染。</w:t>
            </w:r>
          </w:p>
          <w:p w14:paraId="17382828">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1.</w:t>
            </w:r>
            <w:r>
              <w:rPr>
                <w:rFonts w:hint="eastAsia"/>
                <w:b/>
                <w:bCs/>
                <w:color w:val="auto"/>
                <w:sz w:val="24"/>
              </w:rPr>
              <w:t>5</w:t>
            </w:r>
            <w:r>
              <w:rPr>
                <w:b/>
                <w:bCs/>
                <w:color w:val="auto"/>
                <w:sz w:val="24"/>
              </w:rPr>
              <w:t>自行监测计划</w:t>
            </w:r>
          </w:p>
          <w:p w14:paraId="17382829">
            <w:pPr>
              <w:widowControl/>
              <w:spacing w:line="360" w:lineRule="auto"/>
              <w:ind w:firstLine="480" w:firstLineChars="200"/>
              <w:rPr>
                <w:color w:val="auto"/>
                <w:sz w:val="24"/>
              </w:rPr>
            </w:pPr>
            <w:r>
              <w:rPr>
                <w:color w:val="auto"/>
                <w:sz w:val="24"/>
              </w:rPr>
              <w:t>根据《</w:t>
            </w:r>
            <w:r>
              <w:rPr>
                <w:rFonts w:hint="eastAsia"/>
                <w:color w:val="auto"/>
                <w:sz w:val="24"/>
              </w:rPr>
              <w:t>排污单位自行监测技术指南</w:t>
            </w:r>
            <w:r>
              <w:rPr>
                <w:color w:val="auto"/>
                <w:sz w:val="24"/>
              </w:rPr>
              <w:t xml:space="preserve"> </w:t>
            </w:r>
            <w:r>
              <w:rPr>
                <w:rFonts w:hint="eastAsia"/>
                <w:color w:val="auto"/>
                <w:sz w:val="24"/>
              </w:rPr>
              <w:t>总则</w:t>
            </w:r>
            <w:r>
              <w:rPr>
                <w:color w:val="auto"/>
                <w:sz w:val="24"/>
              </w:rPr>
              <w:t>》（HJ</w:t>
            </w:r>
            <w:r>
              <w:rPr>
                <w:rFonts w:hint="eastAsia"/>
                <w:color w:val="auto"/>
                <w:sz w:val="24"/>
              </w:rPr>
              <w:t>819-2017</w:t>
            </w:r>
            <w:r>
              <w:rPr>
                <w:color w:val="auto"/>
                <w:sz w:val="24"/>
              </w:rPr>
              <w:t>）要求对废气进行例行监测，监测的实施可以根据实际情况由厂方自测或委托有资质的环境监测单位监测</w:t>
            </w:r>
            <w:r>
              <w:rPr>
                <w:rFonts w:hint="eastAsia"/>
                <w:color w:val="auto"/>
                <w:sz w:val="24"/>
              </w:rPr>
              <w:t>。</w:t>
            </w:r>
          </w:p>
          <w:p w14:paraId="1738282A">
            <w:pPr>
              <w:widowControl/>
              <w:adjustRightInd w:val="0"/>
              <w:snapToGrid w:val="0"/>
              <w:jc w:val="center"/>
              <w:rPr>
                <w:b/>
                <w:color w:val="auto"/>
                <w:kern w:val="0"/>
                <w:sz w:val="24"/>
              </w:rPr>
            </w:pPr>
            <w:r>
              <w:rPr>
                <w:b/>
                <w:color w:val="auto"/>
                <w:kern w:val="0"/>
                <w:sz w:val="24"/>
              </w:rPr>
              <w:t>表4-</w:t>
            </w:r>
            <w:r>
              <w:rPr>
                <w:rFonts w:hint="eastAsia"/>
                <w:b/>
                <w:color w:val="auto"/>
                <w:kern w:val="0"/>
                <w:sz w:val="24"/>
              </w:rPr>
              <w:t>7</w:t>
            </w:r>
            <w:r>
              <w:rPr>
                <w:b/>
                <w:color w:val="auto"/>
                <w:kern w:val="0"/>
                <w:sz w:val="24"/>
              </w:rPr>
              <w:t xml:space="preserve"> </w:t>
            </w:r>
            <w:r>
              <w:rPr>
                <w:rFonts w:hint="eastAsia"/>
                <w:b/>
                <w:color w:val="auto"/>
                <w:kern w:val="0"/>
                <w:sz w:val="24"/>
              </w:rPr>
              <w:t>本</w:t>
            </w:r>
            <w:r>
              <w:rPr>
                <w:b/>
                <w:color w:val="auto"/>
                <w:kern w:val="0"/>
                <w:sz w:val="24"/>
              </w:rPr>
              <w:t>项目废气监测方案</w:t>
            </w:r>
          </w:p>
          <w:tbl>
            <w:tblPr>
              <w:tblStyle w:val="89"/>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485"/>
              <w:gridCol w:w="1858"/>
              <w:gridCol w:w="1591"/>
              <w:gridCol w:w="1260"/>
              <w:gridCol w:w="3262"/>
            </w:tblGrid>
            <w:tr w14:paraId="1738283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6" w:type="pct"/>
                  <w:vAlign w:val="center"/>
                </w:tcPr>
                <w:p w14:paraId="1738282B">
                  <w:pPr>
                    <w:adjustRightInd w:val="0"/>
                    <w:snapToGrid w:val="0"/>
                    <w:jc w:val="center"/>
                    <w:rPr>
                      <w:b/>
                      <w:bCs/>
                      <w:color w:val="auto"/>
                      <w:szCs w:val="21"/>
                    </w:rPr>
                  </w:pPr>
                  <w:r>
                    <w:rPr>
                      <w:b/>
                      <w:bCs/>
                      <w:color w:val="auto"/>
                      <w:szCs w:val="21"/>
                    </w:rPr>
                    <w:t>序号</w:t>
                  </w:r>
                </w:p>
              </w:tc>
              <w:tc>
                <w:tcPr>
                  <w:tcW w:w="1098" w:type="pct"/>
                  <w:vAlign w:val="center"/>
                </w:tcPr>
                <w:p w14:paraId="1738282C">
                  <w:pPr>
                    <w:adjustRightInd w:val="0"/>
                    <w:snapToGrid w:val="0"/>
                    <w:jc w:val="center"/>
                    <w:rPr>
                      <w:b/>
                      <w:bCs/>
                      <w:color w:val="auto"/>
                      <w:szCs w:val="21"/>
                    </w:rPr>
                  </w:pPr>
                  <w:r>
                    <w:rPr>
                      <w:b/>
                      <w:bCs/>
                      <w:color w:val="auto"/>
                      <w:szCs w:val="21"/>
                    </w:rPr>
                    <w:t>监测点位</w:t>
                  </w:r>
                </w:p>
              </w:tc>
              <w:tc>
                <w:tcPr>
                  <w:tcW w:w="941" w:type="pct"/>
                  <w:vAlign w:val="center"/>
                </w:tcPr>
                <w:p w14:paraId="1738282D">
                  <w:pPr>
                    <w:adjustRightInd w:val="0"/>
                    <w:snapToGrid w:val="0"/>
                    <w:jc w:val="center"/>
                    <w:rPr>
                      <w:b/>
                      <w:bCs/>
                      <w:color w:val="auto"/>
                      <w:szCs w:val="21"/>
                    </w:rPr>
                  </w:pPr>
                  <w:r>
                    <w:rPr>
                      <w:b/>
                      <w:bCs/>
                      <w:color w:val="auto"/>
                      <w:szCs w:val="21"/>
                    </w:rPr>
                    <w:t>监测因子</w:t>
                  </w:r>
                </w:p>
              </w:tc>
              <w:tc>
                <w:tcPr>
                  <w:tcW w:w="745" w:type="pct"/>
                  <w:vAlign w:val="center"/>
                </w:tcPr>
                <w:p w14:paraId="1738282E">
                  <w:pPr>
                    <w:adjustRightInd w:val="0"/>
                    <w:snapToGrid w:val="0"/>
                    <w:jc w:val="center"/>
                    <w:rPr>
                      <w:b/>
                      <w:bCs/>
                      <w:color w:val="auto"/>
                      <w:szCs w:val="21"/>
                    </w:rPr>
                  </w:pPr>
                  <w:r>
                    <w:rPr>
                      <w:b/>
                      <w:bCs/>
                      <w:color w:val="auto"/>
                      <w:szCs w:val="21"/>
                    </w:rPr>
                    <w:t>监测频次</w:t>
                  </w:r>
                </w:p>
              </w:tc>
              <w:tc>
                <w:tcPr>
                  <w:tcW w:w="1928" w:type="pct"/>
                  <w:vAlign w:val="center"/>
                </w:tcPr>
                <w:p w14:paraId="1738282F">
                  <w:pPr>
                    <w:adjustRightInd w:val="0"/>
                    <w:snapToGrid w:val="0"/>
                    <w:jc w:val="center"/>
                    <w:rPr>
                      <w:b/>
                      <w:bCs/>
                      <w:color w:val="auto"/>
                      <w:szCs w:val="21"/>
                    </w:rPr>
                  </w:pPr>
                  <w:r>
                    <w:rPr>
                      <w:b/>
                      <w:bCs/>
                      <w:color w:val="auto"/>
                      <w:szCs w:val="21"/>
                    </w:rPr>
                    <w:t>执行标准</w:t>
                  </w:r>
                </w:p>
              </w:tc>
            </w:tr>
            <w:tr w14:paraId="1738283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6" w:type="pct"/>
                  <w:vAlign w:val="center"/>
                </w:tcPr>
                <w:p w14:paraId="17382831">
                  <w:pPr>
                    <w:jc w:val="center"/>
                    <w:rPr>
                      <w:color w:val="auto"/>
                      <w:szCs w:val="21"/>
                    </w:rPr>
                  </w:pPr>
                  <w:r>
                    <w:rPr>
                      <w:color w:val="auto"/>
                      <w:szCs w:val="21"/>
                    </w:rPr>
                    <w:t>1</w:t>
                  </w:r>
                </w:p>
              </w:tc>
              <w:tc>
                <w:tcPr>
                  <w:tcW w:w="1098" w:type="pct"/>
                  <w:vAlign w:val="center"/>
                </w:tcPr>
                <w:p w14:paraId="17382832">
                  <w:pPr>
                    <w:jc w:val="center"/>
                    <w:rPr>
                      <w:color w:val="auto"/>
                      <w:szCs w:val="21"/>
                    </w:rPr>
                  </w:pPr>
                  <w:r>
                    <w:rPr>
                      <w:color w:val="auto"/>
                      <w:szCs w:val="21"/>
                    </w:rPr>
                    <w:t>DA001</w:t>
                  </w:r>
                </w:p>
              </w:tc>
              <w:tc>
                <w:tcPr>
                  <w:tcW w:w="941" w:type="pct"/>
                  <w:vAlign w:val="center"/>
                </w:tcPr>
                <w:p w14:paraId="17382833">
                  <w:pPr>
                    <w:jc w:val="center"/>
                    <w:rPr>
                      <w:color w:val="auto"/>
                      <w:szCs w:val="21"/>
                    </w:rPr>
                  </w:pPr>
                  <w:r>
                    <w:rPr>
                      <w:color w:val="auto"/>
                      <w:szCs w:val="21"/>
                    </w:rPr>
                    <w:t>颗粒物、非甲烷总烃、苯乙烯</w:t>
                  </w:r>
                </w:p>
              </w:tc>
              <w:tc>
                <w:tcPr>
                  <w:tcW w:w="745" w:type="pct"/>
                  <w:vAlign w:val="center"/>
                </w:tcPr>
                <w:p w14:paraId="17382834">
                  <w:pPr>
                    <w:jc w:val="center"/>
                    <w:rPr>
                      <w:color w:val="auto"/>
                      <w:szCs w:val="21"/>
                    </w:rPr>
                  </w:pPr>
                  <w:r>
                    <w:rPr>
                      <w:color w:val="auto"/>
                      <w:szCs w:val="21"/>
                    </w:rPr>
                    <w:t>1次/半年</w:t>
                  </w:r>
                </w:p>
              </w:tc>
              <w:tc>
                <w:tcPr>
                  <w:tcW w:w="1928" w:type="pct"/>
                  <w:vMerge w:val="restart"/>
                  <w:vAlign w:val="center"/>
                </w:tcPr>
                <w:p w14:paraId="17382835">
                  <w:pPr>
                    <w:widowControl/>
                    <w:jc w:val="center"/>
                    <w:rPr>
                      <w:color w:val="auto"/>
                      <w:szCs w:val="21"/>
                    </w:rPr>
                  </w:pPr>
                  <w:r>
                    <w:rPr>
                      <w:color w:val="auto"/>
                      <w:kern w:val="0"/>
                      <w:szCs w:val="21"/>
                      <w:lang w:bidi="ar"/>
                    </w:rPr>
                    <w:t>《合成树脂工业污染物排放标准》（GB31572-2015）中表5</w:t>
                  </w:r>
                  <w:r>
                    <w:rPr>
                      <w:rFonts w:hint="eastAsia"/>
                      <w:color w:val="auto"/>
                      <w:kern w:val="0"/>
                      <w:szCs w:val="21"/>
                      <w:lang w:bidi="ar"/>
                    </w:rPr>
                    <w:t>、</w:t>
                  </w:r>
                  <w:r>
                    <w:rPr>
                      <w:color w:val="auto"/>
                    </w:rPr>
                    <w:t>《工业涂装工序大气污染物排放标准》（DB32/4439-2022）表 1</w:t>
                  </w:r>
                </w:p>
              </w:tc>
            </w:tr>
            <w:tr w14:paraId="1738283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6" w:type="pct"/>
                  <w:vAlign w:val="center"/>
                </w:tcPr>
                <w:p w14:paraId="17382837">
                  <w:pPr>
                    <w:jc w:val="center"/>
                    <w:rPr>
                      <w:color w:val="auto"/>
                      <w:szCs w:val="21"/>
                    </w:rPr>
                  </w:pPr>
                  <w:r>
                    <w:rPr>
                      <w:color w:val="auto"/>
                      <w:szCs w:val="21"/>
                    </w:rPr>
                    <w:t>2</w:t>
                  </w:r>
                </w:p>
              </w:tc>
              <w:tc>
                <w:tcPr>
                  <w:tcW w:w="1098" w:type="pct"/>
                  <w:vAlign w:val="center"/>
                </w:tcPr>
                <w:p w14:paraId="17382838">
                  <w:pPr>
                    <w:jc w:val="center"/>
                    <w:rPr>
                      <w:color w:val="auto"/>
                      <w:szCs w:val="21"/>
                    </w:rPr>
                  </w:pPr>
                  <w:r>
                    <w:rPr>
                      <w:color w:val="auto"/>
                      <w:szCs w:val="21"/>
                    </w:rPr>
                    <w:t>DA002</w:t>
                  </w:r>
                </w:p>
              </w:tc>
              <w:tc>
                <w:tcPr>
                  <w:tcW w:w="941" w:type="pct"/>
                  <w:vAlign w:val="center"/>
                </w:tcPr>
                <w:p w14:paraId="17382839">
                  <w:pPr>
                    <w:jc w:val="center"/>
                    <w:rPr>
                      <w:color w:val="auto"/>
                      <w:szCs w:val="21"/>
                    </w:rPr>
                  </w:pPr>
                  <w:r>
                    <w:rPr>
                      <w:color w:val="auto"/>
                      <w:szCs w:val="21"/>
                    </w:rPr>
                    <w:t>颗粒物</w:t>
                  </w:r>
                </w:p>
              </w:tc>
              <w:tc>
                <w:tcPr>
                  <w:tcW w:w="745" w:type="pct"/>
                  <w:vAlign w:val="center"/>
                </w:tcPr>
                <w:p w14:paraId="1738283A">
                  <w:pPr>
                    <w:jc w:val="center"/>
                    <w:rPr>
                      <w:color w:val="auto"/>
                      <w:szCs w:val="21"/>
                    </w:rPr>
                  </w:pPr>
                  <w:r>
                    <w:rPr>
                      <w:color w:val="auto"/>
                      <w:szCs w:val="21"/>
                    </w:rPr>
                    <w:t>1次/</w:t>
                  </w:r>
                  <w:r>
                    <w:rPr>
                      <w:rFonts w:hint="eastAsia"/>
                      <w:color w:val="auto"/>
                      <w:szCs w:val="21"/>
                    </w:rPr>
                    <w:t>半</w:t>
                  </w:r>
                  <w:r>
                    <w:rPr>
                      <w:color w:val="auto"/>
                      <w:szCs w:val="21"/>
                    </w:rPr>
                    <w:t>年</w:t>
                  </w:r>
                </w:p>
              </w:tc>
              <w:tc>
                <w:tcPr>
                  <w:tcW w:w="1928" w:type="pct"/>
                  <w:vMerge w:val="continue"/>
                  <w:vAlign w:val="center"/>
                </w:tcPr>
                <w:p w14:paraId="1738283B">
                  <w:pPr>
                    <w:jc w:val="center"/>
                    <w:rPr>
                      <w:color w:val="auto"/>
                      <w:szCs w:val="21"/>
                    </w:rPr>
                  </w:pPr>
                </w:p>
              </w:tc>
            </w:tr>
            <w:tr w14:paraId="1738284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6" w:type="pct"/>
                  <w:vAlign w:val="center"/>
                </w:tcPr>
                <w:p w14:paraId="1738283D">
                  <w:pPr>
                    <w:jc w:val="center"/>
                    <w:rPr>
                      <w:color w:val="auto"/>
                      <w:szCs w:val="21"/>
                    </w:rPr>
                  </w:pPr>
                  <w:r>
                    <w:rPr>
                      <w:color w:val="auto"/>
                      <w:szCs w:val="21"/>
                    </w:rPr>
                    <w:t>3</w:t>
                  </w:r>
                </w:p>
              </w:tc>
              <w:tc>
                <w:tcPr>
                  <w:tcW w:w="1098" w:type="pct"/>
                  <w:vAlign w:val="center"/>
                </w:tcPr>
                <w:p w14:paraId="1738283E">
                  <w:pPr>
                    <w:jc w:val="center"/>
                    <w:rPr>
                      <w:color w:val="auto"/>
                      <w:szCs w:val="21"/>
                    </w:rPr>
                  </w:pPr>
                  <w:r>
                    <w:rPr>
                      <w:color w:val="auto"/>
                      <w:szCs w:val="21"/>
                    </w:rPr>
                    <w:t>DA003</w:t>
                  </w:r>
                </w:p>
              </w:tc>
              <w:tc>
                <w:tcPr>
                  <w:tcW w:w="941" w:type="pct"/>
                  <w:vAlign w:val="center"/>
                </w:tcPr>
                <w:p w14:paraId="1738283F">
                  <w:pPr>
                    <w:jc w:val="center"/>
                    <w:rPr>
                      <w:color w:val="auto"/>
                      <w:szCs w:val="21"/>
                    </w:rPr>
                  </w:pPr>
                  <w:r>
                    <w:rPr>
                      <w:color w:val="auto"/>
                      <w:szCs w:val="21"/>
                    </w:rPr>
                    <w:t>颗粒物</w:t>
                  </w:r>
                </w:p>
              </w:tc>
              <w:tc>
                <w:tcPr>
                  <w:tcW w:w="745" w:type="pct"/>
                  <w:vAlign w:val="center"/>
                </w:tcPr>
                <w:p w14:paraId="17382840">
                  <w:pPr>
                    <w:jc w:val="center"/>
                    <w:rPr>
                      <w:color w:val="auto"/>
                      <w:szCs w:val="21"/>
                    </w:rPr>
                  </w:pPr>
                  <w:r>
                    <w:rPr>
                      <w:color w:val="auto"/>
                      <w:szCs w:val="21"/>
                    </w:rPr>
                    <w:t>1次/</w:t>
                  </w:r>
                  <w:r>
                    <w:rPr>
                      <w:rFonts w:hint="eastAsia"/>
                      <w:color w:val="auto"/>
                      <w:szCs w:val="21"/>
                    </w:rPr>
                    <w:t>半</w:t>
                  </w:r>
                  <w:r>
                    <w:rPr>
                      <w:color w:val="auto"/>
                      <w:szCs w:val="21"/>
                    </w:rPr>
                    <w:t>年</w:t>
                  </w:r>
                </w:p>
              </w:tc>
              <w:tc>
                <w:tcPr>
                  <w:tcW w:w="1928" w:type="pct"/>
                  <w:vMerge w:val="continue"/>
                  <w:vAlign w:val="center"/>
                </w:tcPr>
                <w:p w14:paraId="17382841">
                  <w:pPr>
                    <w:jc w:val="center"/>
                    <w:rPr>
                      <w:color w:val="auto"/>
                      <w:szCs w:val="21"/>
                    </w:rPr>
                  </w:pPr>
                </w:p>
              </w:tc>
            </w:tr>
            <w:tr w14:paraId="1738284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6" w:type="pct"/>
                  <w:vAlign w:val="center"/>
                </w:tcPr>
                <w:p w14:paraId="17382843">
                  <w:pPr>
                    <w:jc w:val="center"/>
                    <w:rPr>
                      <w:color w:val="auto"/>
                      <w:szCs w:val="21"/>
                    </w:rPr>
                  </w:pPr>
                  <w:r>
                    <w:rPr>
                      <w:color w:val="auto"/>
                      <w:szCs w:val="21"/>
                    </w:rPr>
                    <w:t>4</w:t>
                  </w:r>
                </w:p>
              </w:tc>
              <w:tc>
                <w:tcPr>
                  <w:tcW w:w="1098" w:type="pct"/>
                  <w:vAlign w:val="center"/>
                </w:tcPr>
                <w:p w14:paraId="17382844">
                  <w:pPr>
                    <w:jc w:val="center"/>
                    <w:rPr>
                      <w:color w:val="auto"/>
                      <w:szCs w:val="21"/>
                    </w:rPr>
                  </w:pPr>
                  <w:r>
                    <w:rPr>
                      <w:color w:val="auto"/>
                      <w:szCs w:val="21"/>
                    </w:rPr>
                    <w:t>厂房外设置监控点</w:t>
                  </w:r>
                </w:p>
              </w:tc>
              <w:tc>
                <w:tcPr>
                  <w:tcW w:w="941" w:type="pct"/>
                  <w:vAlign w:val="center"/>
                </w:tcPr>
                <w:p w14:paraId="17382845">
                  <w:pPr>
                    <w:jc w:val="center"/>
                    <w:rPr>
                      <w:color w:val="auto"/>
                      <w:szCs w:val="21"/>
                    </w:rPr>
                  </w:pPr>
                  <w:r>
                    <w:rPr>
                      <w:color w:val="auto"/>
                      <w:szCs w:val="21"/>
                    </w:rPr>
                    <w:t>非甲烷总烃</w:t>
                  </w:r>
                </w:p>
              </w:tc>
              <w:tc>
                <w:tcPr>
                  <w:tcW w:w="745" w:type="pct"/>
                  <w:vAlign w:val="center"/>
                </w:tcPr>
                <w:p w14:paraId="17382846">
                  <w:pPr>
                    <w:jc w:val="center"/>
                    <w:rPr>
                      <w:color w:val="auto"/>
                      <w:szCs w:val="21"/>
                    </w:rPr>
                  </w:pPr>
                  <w:r>
                    <w:rPr>
                      <w:color w:val="auto"/>
                      <w:szCs w:val="21"/>
                    </w:rPr>
                    <w:t>1次/年</w:t>
                  </w:r>
                </w:p>
              </w:tc>
              <w:tc>
                <w:tcPr>
                  <w:tcW w:w="1928" w:type="pct"/>
                  <w:vAlign w:val="center"/>
                </w:tcPr>
                <w:p w14:paraId="17382847">
                  <w:pPr>
                    <w:jc w:val="center"/>
                    <w:rPr>
                      <w:color w:val="auto"/>
                      <w:szCs w:val="21"/>
                    </w:rPr>
                  </w:pPr>
                  <w:r>
                    <w:rPr>
                      <w:rFonts w:hint="eastAsia"/>
                      <w:snapToGrid w:val="0"/>
                      <w:color w:val="auto"/>
                      <w:kern w:val="0"/>
                      <w:szCs w:val="21"/>
                    </w:rPr>
                    <w:t>《工业涂装工序大气污染物排放标准》（</w:t>
                  </w:r>
                  <w:r>
                    <w:rPr>
                      <w:snapToGrid w:val="0"/>
                      <w:color w:val="auto"/>
                      <w:kern w:val="0"/>
                      <w:szCs w:val="21"/>
                    </w:rPr>
                    <w:t>DB32/</w:t>
                  </w:r>
                  <w:r>
                    <w:rPr>
                      <w:rFonts w:hint="eastAsia"/>
                      <w:snapToGrid w:val="0"/>
                      <w:color w:val="auto"/>
                      <w:kern w:val="0"/>
                      <w:szCs w:val="21"/>
                    </w:rPr>
                    <w:t>4439-2022）表3、《大气污染物综合排放标准》（DB32/4041-2021）</w:t>
                  </w:r>
                  <w:r>
                    <w:rPr>
                      <w:snapToGrid w:val="0"/>
                      <w:color w:val="auto"/>
                      <w:kern w:val="0"/>
                      <w:szCs w:val="21"/>
                    </w:rPr>
                    <w:t>表</w:t>
                  </w:r>
                  <w:r>
                    <w:rPr>
                      <w:rFonts w:hint="eastAsia"/>
                      <w:snapToGrid w:val="0"/>
                      <w:color w:val="auto"/>
                      <w:kern w:val="0"/>
                      <w:szCs w:val="21"/>
                    </w:rPr>
                    <w:t>2</w:t>
                  </w:r>
                </w:p>
              </w:tc>
            </w:tr>
            <w:tr w14:paraId="1738284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86" w:type="pct"/>
                  <w:vAlign w:val="center"/>
                </w:tcPr>
                <w:p w14:paraId="17382849">
                  <w:pPr>
                    <w:jc w:val="center"/>
                    <w:rPr>
                      <w:color w:val="auto"/>
                      <w:szCs w:val="21"/>
                    </w:rPr>
                  </w:pPr>
                  <w:r>
                    <w:rPr>
                      <w:color w:val="auto"/>
                      <w:szCs w:val="21"/>
                    </w:rPr>
                    <w:t>5</w:t>
                  </w:r>
                </w:p>
              </w:tc>
              <w:tc>
                <w:tcPr>
                  <w:tcW w:w="1098" w:type="pct"/>
                  <w:vAlign w:val="center"/>
                </w:tcPr>
                <w:p w14:paraId="1738284A">
                  <w:pPr>
                    <w:jc w:val="center"/>
                    <w:rPr>
                      <w:color w:val="auto"/>
                      <w:szCs w:val="21"/>
                    </w:rPr>
                  </w:pPr>
                  <w:r>
                    <w:rPr>
                      <w:color w:val="auto"/>
                      <w:szCs w:val="21"/>
                    </w:rPr>
                    <w:t>厂界四周，上风向 1 个点位，下风向 3 个点位</w:t>
                  </w:r>
                </w:p>
              </w:tc>
              <w:tc>
                <w:tcPr>
                  <w:tcW w:w="941" w:type="pct"/>
                  <w:vAlign w:val="center"/>
                </w:tcPr>
                <w:p w14:paraId="1738284B">
                  <w:pPr>
                    <w:jc w:val="center"/>
                    <w:rPr>
                      <w:color w:val="auto"/>
                      <w:szCs w:val="21"/>
                    </w:rPr>
                  </w:pPr>
                  <w:r>
                    <w:rPr>
                      <w:color w:val="auto"/>
                      <w:szCs w:val="21"/>
                    </w:rPr>
                    <w:t>颗粒物、非甲烷总烃、苯乙烯</w:t>
                  </w:r>
                </w:p>
              </w:tc>
              <w:tc>
                <w:tcPr>
                  <w:tcW w:w="745" w:type="pct"/>
                  <w:vAlign w:val="center"/>
                </w:tcPr>
                <w:p w14:paraId="1738284C">
                  <w:pPr>
                    <w:jc w:val="center"/>
                    <w:rPr>
                      <w:color w:val="auto"/>
                      <w:szCs w:val="21"/>
                    </w:rPr>
                  </w:pPr>
                  <w:r>
                    <w:rPr>
                      <w:color w:val="auto"/>
                      <w:szCs w:val="21"/>
                    </w:rPr>
                    <w:t>1次/年</w:t>
                  </w:r>
                </w:p>
              </w:tc>
              <w:tc>
                <w:tcPr>
                  <w:tcW w:w="1928" w:type="pct"/>
                  <w:vAlign w:val="center"/>
                </w:tcPr>
                <w:p w14:paraId="1738284D">
                  <w:pPr>
                    <w:widowControl/>
                    <w:jc w:val="center"/>
                    <w:rPr>
                      <w:color w:val="auto"/>
                      <w:szCs w:val="21"/>
                    </w:rPr>
                  </w:pPr>
                  <w:r>
                    <w:rPr>
                      <w:color w:val="auto"/>
                      <w:kern w:val="0"/>
                      <w:szCs w:val="21"/>
                      <w:lang w:bidi="ar"/>
                    </w:rPr>
                    <w:t>《合成树脂工业污染物排放标准》(GB31572-2015)表9、</w:t>
                  </w:r>
                  <w:r>
                    <w:rPr>
                      <w:color w:val="auto"/>
                      <w:szCs w:val="21"/>
                    </w:rPr>
                    <w:t>《大气污染物综合排放标准》（DB32/4041-2021）表3</w:t>
                  </w:r>
                </w:p>
              </w:tc>
            </w:tr>
          </w:tbl>
          <w:p w14:paraId="1738284F">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1.</w:t>
            </w:r>
            <w:r>
              <w:rPr>
                <w:rFonts w:hint="eastAsia"/>
                <w:b/>
                <w:bCs/>
                <w:color w:val="auto"/>
                <w:sz w:val="24"/>
                <w:lang w:val="en-US" w:eastAsia="zh-CN"/>
              </w:rPr>
              <w:t>6</w:t>
            </w:r>
            <w:r>
              <w:rPr>
                <w:b/>
                <w:bCs/>
                <w:color w:val="auto"/>
                <w:sz w:val="24"/>
              </w:rPr>
              <w:t>卫生防护距离</w:t>
            </w:r>
          </w:p>
          <w:p w14:paraId="17382850">
            <w:pPr>
              <w:adjustRightInd w:val="0"/>
              <w:snapToGrid w:val="0"/>
              <w:spacing w:line="360" w:lineRule="auto"/>
              <w:ind w:firstLine="480" w:firstLineChars="200"/>
              <w:rPr>
                <w:color w:val="auto"/>
                <w:sz w:val="24"/>
              </w:rPr>
            </w:pPr>
            <w:r>
              <w:rPr>
                <w:color w:val="auto"/>
                <w:sz w:val="24"/>
              </w:rPr>
              <w:t>根据《大气有害物质无组织排放卫生防护距离推导技术导则》(GB/T39499-2020)，卫生防护距离计算公式如下：</w:t>
            </w:r>
          </w:p>
          <w:p w14:paraId="17382851">
            <w:pPr>
              <w:adjustRightInd w:val="0"/>
              <w:snapToGrid w:val="0"/>
              <w:spacing w:before="120" w:beforeLines="50" w:line="360" w:lineRule="auto"/>
              <w:ind w:firstLine="420" w:firstLineChars="200"/>
              <w:jc w:val="center"/>
              <w:rPr>
                <w:color w:val="auto"/>
                <w:sz w:val="24"/>
              </w:rPr>
            </w:pPr>
            <w:r>
              <w:rPr>
                <w:color w:val="auto"/>
              </w:rPr>
              <w:drawing>
                <wp:inline distT="0" distB="0" distL="114300" distR="114300">
                  <wp:extent cx="2643505" cy="506730"/>
                  <wp:effectExtent l="0" t="0" r="4445" b="762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6"/>
                          <a:srcRect t="22066" b="3005"/>
                          <a:stretch>
                            <a:fillRect/>
                          </a:stretch>
                        </pic:blipFill>
                        <pic:spPr>
                          <a:xfrm>
                            <a:off x="0" y="0"/>
                            <a:ext cx="2643505" cy="506730"/>
                          </a:xfrm>
                          <a:prstGeom prst="rect">
                            <a:avLst/>
                          </a:prstGeom>
                          <a:noFill/>
                          <a:ln>
                            <a:noFill/>
                          </a:ln>
                        </pic:spPr>
                      </pic:pic>
                    </a:graphicData>
                  </a:graphic>
                </wp:inline>
              </w:drawing>
            </w:r>
          </w:p>
          <w:p w14:paraId="17382852">
            <w:pPr>
              <w:adjustRightInd w:val="0"/>
              <w:snapToGrid w:val="0"/>
              <w:spacing w:line="360" w:lineRule="auto"/>
              <w:ind w:firstLine="480" w:firstLineChars="200"/>
              <w:rPr>
                <w:color w:val="auto"/>
                <w:sz w:val="24"/>
              </w:rPr>
            </w:pPr>
            <w:r>
              <w:rPr>
                <w:color w:val="auto"/>
                <w:sz w:val="24"/>
              </w:rPr>
              <w:t>式中：Qc</w:t>
            </w:r>
            <w:r>
              <w:rPr>
                <w:rFonts w:hint="eastAsia"/>
                <w:color w:val="auto"/>
                <w:sz w:val="24"/>
              </w:rPr>
              <w:t>--</w:t>
            </w:r>
            <w:r>
              <w:rPr>
                <w:color w:val="auto"/>
                <w:sz w:val="24"/>
              </w:rPr>
              <w:t>大气有害物质的无组织排放量，单位为千克每小时（kg/h）；</w:t>
            </w:r>
          </w:p>
          <w:p w14:paraId="17382853">
            <w:pPr>
              <w:adjustRightInd w:val="0"/>
              <w:snapToGrid w:val="0"/>
              <w:spacing w:line="360" w:lineRule="auto"/>
              <w:ind w:firstLine="480" w:firstLineChars="200"/>
              <w:rPr>
                <w:color w:val="auto"/>
                <w:sz w:val="24"/>
              </w:rPr>
            </w:pPr>
            <w:r>
              <w:rPr>
                <w:color w:val="auto"/>
                <w:sz w:val="24"/>
              </w:rPr>
              <w:tab/>
            </w:r>
            <w:r>
              <w:rPr>
                <w:color w:val="auto"/>
                <w:sz w:val="24"/>
              </w:rPr>
              <w:t>C</w:t>
            </w:r>
            <w:r>
              <w:rPr>
                <w:color w:val="auto"/>
                <w:sz w:val="24"/>
                <w:vertAlign w:val="subscript"/>
              </w:rPr>
              <w:t>m</w:t>
            </w:r>
            <w:r>
              <w:rPr>
                <w:rFonts w:hint="eastAsia"/>
                <w:color w:val="auto"/>
                <w:sz w:val="24"/>
              </w:rPr>
              <w:t>--</w:t>
            </w:r>
            <w:r>
              <w:rPr>
                <w:color w:val="auto"/>
                <w:sz w:val="24"/>
              </w:rPr>
              <w:t>大气有害物质环境空气质量的标准限值，单位为毫克每立方米（mg/m</w:t>
            </w:r>
            <w:r>
              <w:rPr>
                <w:color w:val="auto"/>
                <w:sz w:val="24"/>
                <w:vertAlign w:val="superscript"/>
              </w:rPr>
              <w:t>3</w:t>
            </w:r>
            <w:r>
              <w:rPr>
                <w:color w:val="auto"/>
                <w:sz w:val="24"/>
              </w:rPr>
              <w:t>）；</w:t>
            </w:r>
          </w:p>
          <w:p w14:paraId="17382854">
            <w:pPr>
              <w:adjustRightInd w:val="0"/>
              <w:snapToGrid w:val="0"/>
              <w:spacing w:line="360" w:lineRule="auto"/>
              <w:ind w:firstLine="480" w:firstLineChars="200"/>
              <w:rPr>
                <w:color w:val="auto"/>
                <w:sz w:val="24"/>
              </w:rPr>
            </w:pPr>
            <w:r>
              <w:rPr>
                <w:color w:val="auto"/>
                <w:sz w:val="24"/>
              </w:rPr>
              <w:tab/>
            </w:r>
            <w:r>
              <w:rPr>
                <w:color w:val="auto"/>
                <w:sz w:val="24"/>
              </w:rPr>
              <w:t>L</w:t>
            </w:r>
            <w:r>
              <w:rPr>
                <w:rFonts w:hint="eastAsia"/>
                <w:color w:val="auto"/>
                <w:sz w:val="24"/>
              </w:rPr>
              <w:t>--</w:t>
            </w:r>
            <w:r>
              <w:rPr>
                <w:color w:val="auto"/>
                <w:sz w:val="24"/>
              </w:rPr>
              <w:t>大气有害物质卫生防护距离初值，单位为米（m）；</w:t>
            </w:r>
          </w:p>
          <w:p w14:paraId="17382855">
            <w:pPr>
              <w:adjustRightInd w:val="0"/>
              <w:snapToGrid w:val="0"/>
              <w:spacing w:line="360" w:lineRule="auto"/>
              <w:ind w:firstLine="480" w:firstLineChars="200"/>
              <w:rPr>
                <w:color w:val="auto"/>
                <w:sz w:val="24"/>
              </w:rPr>
            </w:pPr>
            <w:r>
              <w:rPr>
                <w:color w:val="auto"/>
                <w:sz w:val="24"/>
              </w:rPr>
              <w:tab/>
            </w:r>
            <w:r>
              <w:rPr>
                <w:color w:val="auto"/>
                <w:sz w:val="24"/>
              </w:rPr>
              <w:t>r</w:t>
            </w:r>
            <w:r>
              <w:rPr>
                <w:rFonts w:hint="eastAsia"/>
                <w:color w:val="auto"/>
                <w:sz w:val="24"/>
              </w:rPr>
              <w:t>--</w:t>
            </w:r>
            <w:r>
              <w:rPr>
                <w:color w:val="auto"/>
                <w:sz w:val="24"/>
              </w:rPr>
              <w:t>大气有害物质无组织排放源所在生产单元的等效半径，单位为米（m），r = (S/p)</w:t>
            </w:r>
            <w:r>
              <w:rPr>
                <w:color w:val="auto"/>
                <w:sz w:val="24"/>
                <w:vertAlign w:val="superscript"/>
              </w:rPr>
              <w:t>0.5</w:t>
            </w:r>
            <w:r>
              <w:rPr>
                <w:color w:val="auto"/>
                <w:sz w:val="24"/>
              </w:rPr>
              <w:t>；</w:t>
            </w:r>
          </w:p>
          <w:p w14:paraId="17382856">
            <w:pPr>
              <w:adjustRightInd w:val="0"/>
              <w:snapToGrid w:val="0"/>
              <w:spacing w:line="360" w:lineRule="auto"/>
              <w:ind w:firstLine="480" w:firstLineChars="200"/>
              <w:rPr>
                <w:color w:val="auto"/>
                <w:sz w:val="24"/>
              </w:rPr>
            </w:pPr>
            <w:r>
              <w:rPr>
                <w:i/>
                <w:iCs/>
                <w:color w:val="auto"/>
                <w:sz w:val="24"/>
              </w:rPr>
              <w:t>A、B、C、D</w:t>
            </w:r>
            <w:r>
              <w:rPr>
                <w:rFonts w:hint="eastAsia"/>
                <w:color w:val="auto"/>
                <w:sz w:val="24"/>
              </w:rPr>
              <w:t>--</w:t>
            </w:r>
            <w:r>
              <w:rPr>
                <w:color w:val="auto"/>
                <w:sz w:val="24"/>
              </w:rPr>
              <w:t>卫生防护距离初值计算系数，无因次，根据工业企业所在地区近5年平均风速及大气污染源构成类别从下表查取，项目所在地年均风速为2.56m/s。</w:t>
            </w:r>
          </w:p>
          <w:p w14:paraId="17382857">
            <w:pPr>
              <w:adjustRightInd w:val="0"/>
              <w:snapToGrid w:val="0"/>
              <w:jc w:val="center"/>
              <w:rPr>
                <w:b/>
                <w:bCs/>
                <w:color w:val="auto"/>
                <w:sz w:val="24"/>
              </w:rPr>
            </w:pPr>
            <w:r>
              <w:rPr>
                <w:b/>
                <w:bCs/>
                <w:color w:val="auto"/>
                <w:sz w:val="24"/>
              </w:rPr>
              <w:t>表4-</w:t>
            </w:r>
            <w:r>
              <w:rPr>
                <w:rFonts w:hint="eastAsia"/>
                <w:b/>
                <w:bCs/>
                <w:color w:val="auto"/>
                <w:sz w:val="24"/>
              </w:rPr>
              <w:t xml:space="preserve">8 </w:t>
            </w:r>
            <w:r>
              <w:rPr>
                <w:b/>
                <w:bCs/>
                <w:color w:val="auto"/>
                <w:sz w:val="24"/>
              </w:rPr>
              <w:t>卫生防护距离计算系数</w:t>
            </w:r>
          </w:p>
          <w:tbl>
            <w:tblPr>
              <w:tblStyle w:val="88"/>
              <w:tblW w:w="5000" w:type="pct"/>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fixed"/>
              <w:tblCellMar>
                <w:top w:w="0" w:type="dxa"/>
                <w:left w:w="28" w:type="dxa"/>
                <w:bottom w:w="0" w:type="dxa"/>
                <w:right w:w="28" w:type="dxa"/>
              </w:tblCellMar>
            </w:tblPr>
            <w:tblGrid>
              <w:gridCol w:w="924"/>
              <w:gridCol w:w="946"/>
              <w:gridCol w:w="734"/>
              <w:gridCol w:w="738"/>
              <w:gridCol w:w="734"/>
              <w:gridCol w:w="734"/>
              <w:gridCol w:w="734"/>
              <w:gridCol w:w="736"/>
              <w:gridCol w:w="734"/>
              <w:gridCol w:w="734"/>
              <w:gridCol w:w="711"/>
            </w:tblGrid>
            <w:tr w14:paraId="1738285B">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546" w:type="pct"/>
                  <w:vMerge w:val="restart"/>
                  <w:vAlign w:val="center"/>
                </w:tcPr>
                <w:p w14:paraId="17382858">
                  <w:pPr>
                    <w:adjustRightInd w:val="0"/>
                    <w:snapToGrid w:val="0"/>
                    <w:jc w:val="center"/>
                    <w:rPr>
                      <w:b/>
                      <w:bCs/>
                      <w:color w:val="auto"/>
                      <w:szCs w:val="21"/>
                    </w:rPr>
                  </w:pPr>
                  <w:r>
                    <w:rPr>
                      <w:b/>
                      <w:bCs/>
                      <w:color w:val="auto"/>
                      <w:szCs w:val="21"/>
                    </w:rPr>
                    <w:t>卫生防护距离初值计算系数</w:t>
                  </w:r>
                </w:p>
              </w:tc>
              <w:tc>
                <w:tcPr>
                  <w:tcW w:w="559" w:type="pct"/>
                  <w:vMerge w:val="restart"/>
                  <w:vAlign w:val="center"/>
                </w:tcPr>
                <w:p w14:paraId="17382859">
                  <w:pPr>
                    <w:adjustRightInd w:val="0"/>
                    <w:snapToGrid w:val="0"/>
                    <w:jc w:val="center"/>
                    <w:rPr>
                      <w:b/>
                      <w:bCs/>
                      <w:color w:val="auto"/>
                      <w:szCs w:val="21"/>
                    </w:rPr>
                  </w:pPr>
                  <w:r>
                    <w:rPr>
                      <w:b/>
                      <w:bCs/>
                      <w:color w:val="auto"/>
                      <w:szCs w:val="21"/>
                    </w:rPr>
                    <w:t>工业企业所在地区近5年平均风速(m/s)</w:t>
                  </w:r>
                </w:p>
              </w:tc>
              <w:tc>
                <w:tcPr>
                  <w:tcW w:w="3895" w:type="pct"/>
                  <w:gridSpan w:val="9"/>
                  <w:vAlign w:val="center"/>
                </w:tcPr>
                <w:p w14:paraId="1738285A">
                  <w:pPr>
                    <w:adjustRightInd w:val="0"/>
                    <w:snapToGrid w:val="0"/>
                    <w:jc w:val="center"/>
                    <w:rPr>
                      <w:b/>
                      <w:bCs/>
                      <w:color w:val="auto"/>
                      <w:szCs w:val="21"/>
                    </w:rPr>
                  </w:pPr>
                  <w:r>
                    <w:rPr>
                      <w:b/>
                      <w:bCs/>
                      <w:color w:val="auto"/>
                      <w:szCs w:val="21"/>
                    </w:rPr>
                    <w:t>卫生防护距离L/m</w:t>
                  </w:r>
                </w:p>
              </w:tc>
            </w:tr>
            <w:tr w14:paraId="17382861">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984" w:type="dxa"/>
                  <w:vMerge w:val="continue"/>
                  <w:vAlign w:val="center"/>
                </w:tcPr>
                <w:p w14:paraId="1738285C">
                  <w:pPr>
                    <w:widowControl/>
                    <w:jc w:val="center"/>
                    <w:rPr>
                      <w:b/>
                      <w:bCs/>
                      <w:color w:val="auto"/>
                      <w:szCs w:val="21"/>
                    </w:rPr>
                  </w:pPr>
                </w:p>
              </w:tc>
              <w:tc>
                <w:tcPr>
                  <w:tcW w:w="1007" w:type="dxa"/>
                  <w:vMerge w:val="continue"/>
                  <w:vAlign w:val="center"/>
                </w:tcPr>
                <w:p w14:paraId="1738285D">
                  <w:pPr>
                    <w:widowControl/>
                    <w:jc w:val="center"/>
                    <w:rPr>
                      <w:b/>
                      <w:bCs/>
                      <w:color w:val="auto"/>
                      <w:szCs w:val="21"/>
                    </w:rPr>
                  </w:pPr>
                </w:p>
              </w:tc>
              <w:tc>
                <w:tcPr>
                  <w:tcW w:w="1304" w:type="pct"/>
                  <w:gridSpan w:val="3"/>
                  <w:vAlign w:val="center"/>
                </w:tcPr>
                <w:p w14:paraId="1738285E">
                  <w:pPr>
                    <w:adjustRightInd w:val="0"/>
                    <w:snapToGrid w:val="0"/>
                    <w:jc w:val="center"/>
                    <w:rPr>
                      <w:color w:val="auto"/>
                      <w:szCs w:val="21"/>
                    </w:rPr>
                  </w:pPr>
                  <w:r>
                    <w:rPr>
                      <w:color w:val="auto"/>
                      <w:szCs w:val="21"/>
                    </w:rPr>
                    <w:t>L≤1000</w:t>
                  </w:r>
                </w:p>
              </w:tc>
              <w:tc>
                <w:tcPr>
                  <w:tcW w:w="1303" w:type="pct"/>
                  <w:gridSpan w:val="3"/>
                  <w:vAlign w:val="center"/>
                </w:tcPr>
                <w:p w14:paraId="1738285F">
                  <w:pPr>
                    <w:adjustRightInd w:val="0"/>
                    <w:snapToGrid w:val="0"/>
                    <w:jc w:val="center"/>
                    <w:rPr>
                      <w:color w:val="auto"/>
                      <w:szCs w:val="21"/>
                    </w:rPr>
                  </w:pPr>
                  <w:r>
                    <w:rPr>
                      <w:color w:val="auto"/>
                      <w:szCs w:val="21"/>
                    </w:rPr>
                    <w:t>1000＜L≤2000</w:t>
                  </w:r>
                </w:p>
              </w:tc>
              <w:tc>
                <w:tcPr>
                  <w:tcW w:w="1288" w:type="pct"/>
                  <w:gridSpan w:val="3"/>
                  <w:vAlign w:val="center"/>
                </w:tcPr>
                <w:p w14:paraId="17382860">
                  <w:pPr>
                    <w:adjustRightInd w:val="0"/>
                    <w:snapToGrid w:val="0"/>
                    <w:jc w:val="center"/>
                    <w:rPr>
                      <w:color w:val="auto"/>
                      <w:szCs w:val="21"/>
                    </w:rPr>
                  </w:pPr>
                  <w:r>
                    <w:rPr>
                      <w:color w:val="auto"/>
                      <w:szCs w:val="21"/>
                    </w:rPr>
                    <w:t>L＞2000</w:t>
                  </w:r>
                </w:p>
              </w:tc>
            </w:tr>
            <w:tr w14:paraId="17382865">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984" w:type="dxa"/>
                  <w:vMerge w:val="continue"/>
                  <w:vAlign w:val="center"/>
                </w:tcPr>
                <w:p w14:paraId="17382862">
                  <w:pPr>
                    <w:widowControl/>
                    <w:jc w:val="center"/>
                    <w:rPr>
                      <w:b/>
                      <w:bCs/>
                      <w:color w:val="auto"/>
                      <w:szCs w:val="21"/>
                    </w:rPr>
                  </w:pPr>
                </w:p>
              </w:tc>
              <w:tc>
                <w:tcPr>
                  <w:tcW w:w="1007" w:type="dxa"/>
                  <w:vMerge w:val="continue"/>
                  <w:vAlign w:val="center"/>
                </w:tcPr>
                <w:p w14:paraId="17382863">
                  <w:pPr>
                    <w:widowControl/>
                    <w:jc w:val="center"/>
                    <w:rPr>
                      <w:b/>
                      <w:bCs/>
                      <w:color w:val="auto"/>
                      <w:szCs w:val="21"/>
                    </w:rPr>
                  </w:pPr>
                </w:p>
              </w:tc>
              <w:tc>
                <w:tcPr>
                  <w:tcW w:w="3895" w:type="pct"/>
                  <w:gridSpan w:val="9"/>
                  <w:vAlign w:val="center"/>
                </w:tcPr>
                <w:p w14:paraId="17382864">
                  <w:pPr>
                    <w:adjustRightInd w:val="0"/>
                    <w:snapToGrid w:val="0"/>
                    <w:jc w:val="center"/>
                    <w:rPr>
                      <w:b/>
                      <w:bCs/>
                      <w:color w:val="auto"/>
                      <w:szCs w:val="21"/>
                    </w:rPr>
                  </w:pPr>
                  <w:r>
                    <w:rPr>
                      <w:b/>
                      <w:bCs/>
                      <w:color w:val="auto"/>
                      <w:szCs w:val="21"/>
                    </w:rPr>
                    <w:t>工业企业大气污染源构成类别</w:t>
                  </w:r>
                </w:p>
              </w:tc>
            </w:tr>
            <w:tr w14:paraId="17382871">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984" w:type="dxa"/>
                  <w:vMerge w:val="continue"/>
                  <w:vAlign w:val="center"/>
                </w:tcPr>
                <w:p w14:paraId="17382866">
                  <w:pPr>
                    <w:widowControl/>
                    <w:jc w:val="center"/>
                    <w:rPr>
                      <w:b/>
                      <w:bCs/>
                      <w:color w:val="auto"/>
                      <w:szCs w:val="21"/>
                    </w:rPr>
                  </w:pPr>
                </w:p>
              </w:tc>
              <w:tc>
                <w:tcPr>
                  <w:tcW w:w="1007" w:type="dxa"/>
                  <w:vMerge w:val="continue"/>
                  <w:vAlign w:val="center"/>
                </w:tcPr>
                <w:p w14:paraId="17382867">
                  <w:pPr>
                    <w:widowControl/>
                    <w:jc w:val="center"/>
                    <w:rPr>
                      <w:b/>
                      <w:bCs/>
                      <w:color w:val="auto"/>
                      <w:szCs w:val="21"/>
                    </w:rPr>
                  </w:pPr>
                </w:p>
              </w:tc>
              <w:tc>
                <w:tcPr>
                  <w:tcW w:w="434" w:type="pct"/>
                  <w:vAlign w:val="center"/>
                </w:tcPr>
                <w:p w14:paraId="17382868">
                  <w:pPr>
                    <w:adjustRightInd w:val="0"/>
                    <w:snapToGrid w:val="0"/>
                    <w:jc w:val="center"/>
                    <w:rPr>
                      <w:color w:val="auto"/>
                      <w:szCs w:val="21"/>
                    </w:rPr>
                  </w:pPr>
                  <w:r>
                    <w:rPr>
                      <w:color w:val="auto"/>
                      <w:szCs w:val="21"/>
                    </w:rPr>
                    <w:t>Ⅰ</w:t>
                  </w:r>
                </w:p>
              </w:tc>
              <w:tc>
                <w:tcPr>
                  <w:tcW w:w="436" w:type="pct"/>
                  <w:vAlign w:val="center"/>
                </w:tcPr>
                <w:p w14:paraId="17382869">
                  <w:pPr>
                    <w:adjustRightInd w:val="0"/>
                    <w:snapToGrid w:val="0"/>
                    <w:jc w:val="center"/>
                    <w:rPr>
                      <w:color w:val="auto"/>
                      <w:szCs w:val="21"/>
                    </w:rPr>
                  </w:pPr>
                  <w:r>
                    <w:rPr>
                      <w:color w:val="auto"/>
                      <w:szCs w:val="21"/>
                    </w:rPr>
                    <w:t>Ⅱ</w:t>
                  </w:r>
                </w:p>
              </w:tc>
              <w:tc>
                <w:tcPr>
                  <w:tcW w:w="434" w:type="pct"/>
                  <w:vAlign w:val="center"/>
                </w:tcPr>
                <w:p w14:paraId="1738286A">
                  <w:pPr>
                    <w:adjustRightInd w:val="0"/>
                    <w:snapToGrid w:val="0"/>
                    <w:jc w:val="center"/>
                    <w:rPr>
                      <w:color w:val="auto"/>
                      <w:szCs w:val="21"/>
                    </w:rPr>
                  </w:pPr>
                  <w:r>
                    <w:rPr>
                      <w:color w:val="auto"/>
                      <w:szCs w:val="21"/>
                    </w:rPr>
                    <w:t>Ⅲ</w:t>
                  </w:r>
                </w:p>
              </w:tc>
              <w:tc>
                <w:tcPr>
                  <w:tcW w:w="434" w:type="pct"/>
                  <w:vAlign w:val="center"/>
                </w:tcPr>
                <w:p w14:paraId="1738286B">
                  <w:pPr>
                    <w:adjustRightInd w:val="0"/>
                    <w:snapToGrid w:val="0"/>
                    <w:jc w:val="center"/>
                    <w:rPr>
                      <w:color w:val="auto"/>
                      <w:szCs w:val="21"/>
                    </w:rPr>
                  </w:pPr>
                  <w:r>
                    <w:rPr>
                      <w:color w:val="auto"/>
                      <w:szCs w:val="21"/>
                    </w:rPr>
                    <w:t>Ⅰ</w:t>
                  </w:r>
                </w:p>
              </w:tc>
              <w:tc>
                <w:tcPr>
                  <w:tcW w:w="434" w:type="pct"/>
                  <w:vAlign w:val="center"/>
                </w:tcPr>
                <w:p w14:paraId="1738286C">
                  <w:pPr>
                    <w:adjustRightInd w:val="0"/>
                    <w:snapToGrid w:val="0"/>
                    <w:jc w:val="center"/>
                    <w:rPr>
                      <w:color w:val="auto"/>
                      <w:szCs w:val="21"/>
                    </w:rPr>
                  </w:pPr>
                  <w:r>
                    <w:rPr>
                      <w:color w:val="auto"/>
                      <w:szCs w:val="21"/>
                    </w:rPr>
                    <w:t>Ⅱ</w:t>
                  </w:r>
                </w:p>
              </w:tc>
              <w:tc>
                <w:tcPr>
                  <w:tcW w:w="435" w:type="pct"/>
                  <w:vAlign w:val="center"/>
                </w:tcPr>
                <w:p w14:paraId="1738286D">
                  <w:pPr>
                    <w:adjustRightInd w:val="0"/>
                    <w:snapToGrid w:val="0"/>
                    <w:jc w:val="center"/>
                    <w:rPr>
                      <w:color w:val="auto"/>
                      <w:szCs w:val="21"/>
                    </w:rPr>
                  </w:pPr>
                  <w:r>
                    <w:rPr>
                      <w:color w:val="auto"/>
                      <w:szCs w:val="21"/>
                    </w:rPr>
                    <w:t>Ⅲ</w:t>
                  </w:r>
                </w:p>
              </w:tc>
              <w:tc>
                <w:tcPr>
                  <w:tcW w:w="434" w:type="pct"/>
                  <w:vAlign w:val="center"/>
                </w:tcPr>
                <w:p w14:paraId="1738286E">
                  <w:pPr>
                    <w:adjustRightInd w:val="0"/>
                    <w:snapToGrid w:val="0"/>
                    <w:jc w:val="center"/>
                    <w:rPr>
                      <w:color w:val="auto"/>
                      <w:szCs w:val="21"/>
                    </w:rPr>
                  </w:pPr>
                  <w:r>
                    <w:rPr>
                      <w:color w:val="auto"/>
                      <w:szCs w:val="21"/>
                    </w:rPr>
                    <w:t>Ⅰ</w:t>
                  </w:r>
                </w:p>
              </w:tc>
              <w:tc>
                <w:tcPr>
                  <w:tcW w:w="434" w:type="pct"/>
                  <w:vAlign w:val="center"/>
                </w:tcPr>
                <w:p w14:paraId="1738286F">
                  <w:pPr>
                    <w:adjustRightInd w:val="0"/>
                    <w:snapToGrid w:val="0"/>
                    <w:jc w:val="center"/>
                    <w:rPr>
                      <w:color w:val="auto"/>
                      <w:szCs w:val="21"/>
                    </w:rPr>
                  </w:pPr>
                  <w:r>
                    <w:rPr>
                      <w:color w:val="auto"/>
                      <w:szCs w:val="21"/>
                    </w:rPr>
                    <w:t>Ⅱ</w:t>
                  </w:r>
                </w:p>
              </w:tc>
              <w:tc>
                <w:tcPr>
                  <w:tcW w:w="420" w:type="pct"/>
                  <w:vAlign w:val="center"/>
                </w:tcPr>
                <w:p w14:paraId="17382870">
                  <w:pPr>
                    <w:adjustRightInd w:val="0"/>
                    <w:snapToGrid w:val="0"/>
                    <w:jc w:val="center"/>
                    <w:rPr>
                      <w:color w:val="auto"/>
                      <w:szCs w:val="21"/>
                    </w:rPr>
                  </w:pPr>
                  <w:r>
                    <w:rPr>
                      <w:color w:val="auto"/>
                      <w:szCs w:val="21"/>
                    </w:rPr>
                    <w:t>Ⅲ</w:t>
                  </w:r>
                </w:p>
              </w:tc>
            </w:tr>
            <w:tr w14:paraId="1738287D">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546" w:type="pct"/>
                  <w:vMerge w:val="restart"/>
                  <w:vAlign w:val="center"/>
                </w:tcPr>
                <w:p w14:paraId="17382872">
                  <w:pPr>
                    <w:adjustRightInd w:val="0"/>
                    <w:snapToGrid w:val="0"/>
                    <w:jc w:val="center"/>
                    <w:rPr>
                      <w:color w:val="auto"/>
                      <w:szCs w:val="21"/>
                    </w:rPr>
                  </w:pPr>
                  <w:r>
                    <w:rPr>
                      <w:color w:val="auto"/>
                      <w:szCs w:val="21"/>
                    </w:rPr>
                    <w:t>A</w:t>
                  </w:r>
                </w:p>
              </w:tc>
              <w:tc>
                <w:tcPr>
                  <w:tcW w:w="559" w:type="pct"/>
                  <w:vAlign w:val="center"/>
                </w:tcPr>
                <w:p w14:paraId="17382873">
                  <w:pPr>
                    <w:adjustRightInd w:val="0"/>
                    <w:snapToGrid w:val="0"/>
                    <w:jc w:val="center"/>
                    <w:rPr>
                      <w:color w:val="auto"/>
                      <w:szCs w:val="21"/>
                    </w:rPr>
                  </w:pPr>
                  <w:r>
                    <w:rPr>
                      <w:color w:val="auto"/>
                      <w:szCs w:val="21"/>
                    </w:rPr>
                    <w:t>&lt;2</w:t>
                  </w:r>
                </w:p>
              </w:tc>
              <w:tc>
                <w:tcPr>
                  <w:tcW w:w="434" w:type="pct"/>
                  <w:vAlign w:val="center"/>
                </w:tcPr>
                <w:p w14:paraId="17382874">
                  <w:pPr>
                    <w:adjustRightInd w:val="0"/>
                    <w:snapToGrid w:val="0"/>
                    <w:jc w:val="center"/>
                    <w:rPr>
                      <w:color w:val="auto"/>
                      <w:szCs w:val="21"/>
                    </w:rPr>
                  </w:pPr>
                  <w:r>
                    <w:rPr>
                      <w:color w:val="auto"/>
                      <w:szCs w:val="21"/>
                    </w:rPr>
                    <w:t>400</w:t>
                  </w:r>
                </w:p>
              </w:tc>
              <w:tc>
                <w:tcPr>
                  <w:tcW w:w="436" w:type="pct"/>
                  <w:vAlign w:val="center"/>
                </w:tcPr>
                <w:p w14:paraId="17382875">
                  <w:pPr>
                    <w:adjustRightInd w:val="0"/>
                    <w:snapToGrid w:val="0"/>
                    <w:jc w:val="center"/>
                    <w:rPr>
                      <w:color w:val="auto"/>
                      <w:szCs w:val="21"/>
                    </w:rPr>
                  </w:pPr>
                  <w:r>
                    <w:rPr>
                      <w:color w:val="auto"/>
                      <w:szCs w:val="21"/>
                    </w:rPr>
                    <w:t>400</w:t>
                  </w:r>
                </w:p>
              </w:tc>
              <w:tc>
                <w:tcPr>
                  <w:tcW w:w="434" w:type="pct"/>
                  <w:vAlign w:val="center"/>
                </w:tcPr>
                <w:p w14:paraId="17382876">
                  <w:pPr>
                    <w:adjustRightInd w:val="0"/>
                    <w:snapToGrid w:val="0"/>
                    <w:jc w:val="center"/>
                    <w:rPr>
                      <w:color w:val="auto"/>
                      <w:szCs w:val="21"/>
                    </w:rPr>
                  </w:pPr>
                  <w:r>
                    <w:rPr>
                      <w:color w:val="auto"/>
                      <w:szCs w:val="21"/>
                    </w:rPr>
                    <w:t>400</w:t>
                  </w:r>
                </w:p>
              </w:tc>
              <w:tc>
                <w:tcPr>
                  <w:tcW w:w="434" w:type="pct"/>
                  <w:vAlign w:val="center"/>
                </w:tcPr>
                <w:p w14:paraId="17382877">
                  <w:pPr>
                    <w:adjustRightInd w:val="0"/>
                    <w:snapToGrid w:val="0"/>
                    <w:jc w:val="center"/>
                    <w:rPr>
                      <w:color w:val="auto"/>
                      <w:szCs w:val="21"/>
                    </w:rPr>
                  </w:pPr>
                  <w:r>
                    <w:rPr>
                      <w:color w:val="auto"/>
                      <w:szCs w:val="21"/>
                    </w:rPr>
                    <w:t>400</w:t>
                  </w:r>
                </w:p>
              </w:tc>
              <w:tc>
                <w:tcPr>
                  <w:tcW w:w="434" w:type="pct"/>
                  <w:vAlign w:val="center"/>
                </w:tcPr>
                <w:p w14:paraId="17382878">
                  <w:pPr>
                    <w:adjustRightInd w:val="0"/>
                    <w:snapToGrid w:val="0"/>
                    <w:jc w:val="center"/>
                    <w:rPr>
                      <w:color w:val="auto"/>
                      <w:szCs w:val="21"/>
                    </w:rPr>
                  </w:pPr>
                  <w:r>
                    <w:rPr>
                      <w:color w:val="auto"/>
                      <w:szCs w:val="21"/>
                    </w:rPr>
                    <w:t>400</w:t>
                  </w:r>
                </w:p>
              </w:tc>
              <w:tc>
                <w:tcPr>
                  <w:tcW w:w="435" w:type="pct"/>
                  <w:vAlign w:val="center"/>
                </w:tcPr>
                <w:p w14:paraId="17382879">
                  <w:pPr>
                    <w:adjustRightInd w:val="0"/>
                    <w:snapToGrid w:val="0"/>
                    <w:jc w:val="center"/>
                    <w:rPr>
                      <w:color w:val="auto"/>
                      <w:szCs w:val="21"/>
                    </w:rPr>
                  </w:pPr>
                  <w:r>
                    <w:rPr>
                      <w:color w:val="auto"/>
                      <w:szCs w:val="21"/>
                    </w:rPr>
                    <w:t>400</w:t>
                  </w:r>
                </w:p>
              </w:tc>
              <w:tc>
                <w:tcPr>
                  <w:tcW w:w="434" w:type="pct"/>
                  <w:vAlign w:val="center"/>
                </w:tcPr>
                <w:p w14:paraId="1738287A">
                  <w:pPr>
                    <w:adjustRightInd w:val="0"/>
                    <w:snapToGrid w:val="0"/>
                    <w:jc w:val="center"/>
                    <w:rPr>
                      <w:color w:val="auto"/>
                      <w:szCs w:val="21"/>
                    </w:rPr>
                  </w:pPr>
                  <w:r>
                    <w:rPr>
                      <w:color w:val="auto"/>
                      <w:szCs w:val="21"/>
                    </w:rPr>
                    <w:t>80</w:t>
                  </w:r>
                </w:p>
              </w:tc>
              <w:tc>
                <w:tcPr>
                  <w:tcW w:w="434" w:type="pct"/>
                  <w:vAlign w:val="center"/>
                </w:tcPr>
                <w:p w14:paraId="1738287B">
                  <w:pPr>
                    <w:adjustRightInd w:val="0"/>
                    <w:snapToGrid w:val="0"/>
                    <w:jc w:val="center"/>
                    <w:rPr>
                      <w:color w:val="auto"/>
                      <w:szCs w:val="21"/>
                    </w:rPr>
                  </w:pPr>
                  <w:r>
                    <w:rPr>
                      <w:color w:val="auto"/>
                      <w:szCs w:val="21"/>
                    </w:rPr>
                    <w:t>80</w:t>
                  </w:r>
                </w:p>
              </w:tc>
              <w:tc>
                <w:tcPr>
                  <w:tcW w:w="420" w:type="pct"/>
                  <w:vAlign w:val="center"/>
                </w:tcPr>
                <w:p w14:paraId="1738287C">
                  <w:pPr>
                    <w:adjustRightInd w:val="0"/>
                    <w:snapToGrid w:val="0"/>
                    <w:jc w:val="center"/>
                    <w:rPr>
                      <w:color w:val="auto"/>
                      <w:szCs w:val="21"/>
                    </w:rPr>
                  </w:pPr>
                  <w:r>
                    <w:rPr>
                      <w:color w:val="auto"/>
                      <w:szCs w:val="21"/>
                    </w:rPr>
                    <w:t>80</w:t>
                  </w:r>
                </w:p>
              </w:tc>
            </w:tr>
            <w:tr w14:paraId="17382889">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984" w:type="dxa"/>
                  <w:vMerge w:val="continue"/>
                  <w:shd w:val="clear" w:color="auto" w:fill="auto"/>
                  <w:vAlign w:val="center"/>
                </w:tcPr>
                <w:p w14:paraId="1738287E">
                  <w:pPr>
                    <w:widowControl/>
                    <w:jc w:val="center"/>
                    <w:rPr>
                      <w:color w:val="auto"/>
                      <w:szCs w:val="21"/>
                    </w:rPr>
                  </w:pPr>
                </w:p>
              </w:tc>
              <w:tc>
                <w:tcPr>
                  <w:tcW w:w="559" w:type="pct"/>
                  <w:shd w:val="clear" w:color="auto" w:fill="auto"/>
                  <w:vAlign w:val="center"/>
                </w:tcPr>
                <w:p w14:paraId="1738287F">
                  <w:pPr>
                    <w:adjustRightInd w:val="0"/>
                    <w:snapToGrid w:val="0"/>
                    <w:jc w:val="center"/>
                    <w:rPr>
                      <w:color w:val="auto"/>
                      <w:szCs w:val="21"/>
                    </w:rPr>
                  </w:pPr>
                  <w:r>
                    <w:rPr>
                      <w:color w:val="auto"/>
                      <w:szCs w:val="21"/>
                    </w:rPr>
                    <w:t>2~4</w:t>
                  </w:r>
                </w:p>
              </w:tc>
              <w:tc>
                <w:tcPr>
                  <w:tcW w:w="434" w:type="pct"/>
                  <w:shd w:val="clear" w:color="auto" w:fill="auto"/>
                  <w:vAlign w:val="center"/>
                </w:tcPr>
                <w:p w14:paraId="17382880">
                  <w:pPr>
                    <w:adjustRightInd w:val="0"/>
                    <w:snapToGrid w:val="0"/>
                    <w:jc w:val="center"/>
                    <w:rPr>
                      <w:color w:val="auto"/>
                      <w:szCs w:val="21"/>
                    </w:rPr>
                  </w:pPr>
                  <w:r>
                    <w:rPr>
                      <w:color w:val="auto"/>
                      <w:szCs w:val="21"/>
                    </w:rPr>
                    <w:t>700</w:t>
                  </w:r>
                </w:p>
              </w:tc>
              <w:tc>
                <w:tcPr>
                  <w:tcW w:w="436" w:type="pct"/>
                  <w:shd w:val="clear" w:color="auto" w:fill="D8D8D8"/>
                  <w:vAlign w:val="center"/>
                </w:tcPr>
                <w:p w14:paraId="17382881">
                  <w:pPr>
                    <w:adjustRightInd w:val="0"/>
                    <w:snapToGrid w:val="0"/>
                    <w:jc w:val="center"/>
                    <w:rPr>
                      <w:color w:val="auto"/>
                      <w:szCs w:val="21"/>
                    </w:rPr>
                  </w:pPr>
                  <w:r>
                    <w:rPr>
                      <w:color w:val="auto"/>
                      <w:szCs w:val="21"/>
                    </w:rPr>
                    <w:t>470</w:t>
                  </w:r>
                </w:p>
              </w:tc>
              <w:tc>
                <w:tcPr>
                  <w:tcW w:w="434" w:type="pct"/>
                  <w:vAlign w:val="center"/>
                </w:tcPr>
                <w:p w14:paraId="17382882">
                  <w:pPr>
                    <w:adjustRightInd w:val="0"/>
                    <w:snapToGrid w:val="0"/>
                    <w:jc w:val="center"/>
                    <w:rPr>
                      <w:color w:val="auto"/>
                      <w:szCs w:val="21"/>
                    </w:rPr>
                  </w:pPr>
                  <w:r>
                    <w:rPr>
                      <w:color w:val="auto"/>
                      <w:szCs w:val="21"/>
                    </w:rPr>
                    <w:t>350</w:t>
                  </w:r>
                </w:p>
              </w:tc>
              <w:tc>
                <w:tcPr>
                  <w:tcW w:w="434" w:type="pct"/>
                  <w:vAlign w:val="center"/>
                </w:tcPr>
                <w:p w14:paraId="17382883">
                  <w:pPr>
                    <w:adjustRightInd w:val="0"/>
                    <w:snapToGrid w:val="0"/>
                    <w:jc w:val="center"/>
                    <w:rPr>
                      <w:color w:val="auto"/>
                      <w:szCs w:val="21"/>
                    </w:rPr>
                  </w:pPr>
                  <w:r>
                    <w:rPr>
                      <w:color w:val="auto"/>
                      <w:szCs w:val="21"/>
                    </w:rPr>
                    <w:t>700</w:t>
                  </w:r>
                </w:p>
              </w:tc>
              <w:tc>
                <w:tcPr>
                  <w:tcW w:w="434" w:type="pct"/>
                  <w:vAlign w:val="center"/>
                </w:tcPr>
                <w:p w14:paraId="17382884">
                  <w:pPr>
                    <w:adjustRightInd w:val="0"/>
                    <w:snapToGrid w:val="0"/>
                    <w:jc w:val="center"/>
                    <w:rPr>
                      <w:color w:val="auto"/>
                      <w:szCs w:val="21"/>
                    </w:rPr>
                  </w:pPr>
                  <w:r>
                    <w:rPr>
                      <w:color w:val="auto"/>
                      <w:szCs w:val="21"/>
                    </w:rPr>
                    <w:t>470</w:t>
                  </w:r>
                </w:p>
              </w:tc>
              <w:tc>
                <w:tcPr>
                  <w:tcW w:w="435" w:type="pct"/>
                  <w:vAlign w:val="center"/>
                </w:tcPr>
                <w:p w14:paraId="17382885">
                  <w:pPr>
                    <w:adjustRightInd w:val="0"/>
                    <w:snapToGrid w:val="0"/>
                    <w:jc w:val="center"/>
                    <w:rPr>
                      <w:color w:val="auto"/>
                      <w:szCs w:val="21"/>
                    </w:rPr>
                  </w:pPr>
                  <w:r>
                    <w:rPr>
                      <w:color w:val="auto"/>
                      <w:szCs w:val="21"/>
                    </w:rPr>
                    <w:t>350</w:t>
                  </w:r>
                </w:p>
              </w:tc>
              <w:tc>
                <w:tcPr>
                  <w:tcW w:w="434" w:type="pct"/>
                  <w:vAlign w:val="center"/>
                </w:tcPr>
                <w:p w14:paraId="17382886">
                  <w:pPr>
                    <w:adjustRightInd w:val="0"/>
                    <w:snapToGrid w:val="0"/>
                    <w:jc w:val="center"/>
                    <w:rPr>
                      <w:color w:val="auto"/>
                      <w:szCs w:val="21"/>
                    </w:rPr>
                  </w:pPr>
                  <w:r>
                    <w:rPr>
                      <w:color w:val="auto"/>
                      <w:szCs w:val="21"/>
                    </w:rPr>
                    <w:t>380</w:t>
                  </w:r>
                </w:p>
              </w:tc>
              <w:tc>
                <w:tcPr>
                  <w:tcW w:w="434" w:type="pct"/>
                  <w:vAlign w:val="center"/>
                </w:tcPr>
                <w:p w14:paraId="17382887">
                  <w:pPr>
                    <w:adjustRightInd w:val="0"/>
                    <w:snapToGrid w:val="0"/>
                    <w:jc w:val="center"/>
                    <w:rPr>
                      <w:color w:val="auto"/>
                      <w:szCs w:val="21"/>
                    </w:rPr>
                  </w:pPr>
                  <w:r>
                    <w:rPr>
                      <w:color w:val="auto"/>
                      <w:szCs w:val="21"/>
                    </w:rPr>
                    <w:t>250</w:t>
                  </w:r>
                </w:p>
              </w:tc>
              <w:tc>
                <w:tcPr>
                  <w:tcW w:w="420" w:type="pct"/>
                  <w:vAlign w:val="center"/>
                </w:tcPr>
                <w:p w14:paraId="17382888">
                  <w:pPr>
                    <w:adjustRightInd w:val="0"/>
                    <w:snapToGrid w:val="0"/>
                    <w:jc w:val="center"/>
                    <w:rPr>
                      <w:color w:val="auto"/>
                      <w:szCs w:val="21"/>
                    </w:rPr>
                  </w:pPr>
                  <w:r>
                    <w:rPr>
                      <w:color w:val="auto"/>
                      <w:szCs w:val="21"/>
                    </w:rPr>
                    <w:t>190</w:t>
                  </w:r>
                </w:p>
              </w:tc>
            </w:tr>
            <w:tr w14:paraId="17382895">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984" w:type="dxa"/>
                  <w:vMerge w:val="continue"/>
                  <w:vAlign w:val="center"/>
                </w:tcPr>
                <w:p w14:paraId="1738288A">
                  <w:pPr>
                    <w:widowControl/>
                    <w:jc w:val="center"/>
                    <w:rPr>
                      <w:color w:val="auto"/>
                      <w:szCs w:val="21"/>
                    </w:rPr>
                  </w:pPr>
                </w:p>
              </w:tc>
              <w:tc>
                <w:tcPr>
                  <w:tcW w:w="559" w:type="pct"/>
                  <w:vAlign w:val="center"/>
                </w:tcPr>
                <w:p w14:paraId="1738288B">
                  <w:pPr>
                    <w:adjustRightInd w:val="0"/>
                    <w:snapToGrid w:val="0"/>
                    <w:jc w:val="center"/>
                    <w:rPr>
                      <w:color w:val="auto"/>
                      <w:szCs w:val="21"/>
                    </w:rPr>
                  </w:pPr>
                  <w:r>
                    <w:rPr>
                      <w:color w:val="auto"/>
                      <w:szCs w:val="21"/>
                    </w:rPr>
                    <w:t>&gt;4</w:t>
                  </w:r>
                </w:p>
              </w:tc>
              <w:tc>
                <w:tcPr>
                  <w:tcW w:w="434" w:type="pct"/>
                  <w:vAlign w:val="center"/>
                </w:tcPr>
                <w:p w14:paraId="1738288C">
                  <w:pPr>
                    <w:adjustRightInd w:val="0"/>
                    <w:snapToGrid w:val="0"/>
                    <w:jc w:val="center"/>
                    <w:rPr>
                      <w:color w:val="auto"/>
                      <w:szCs w:val="21"/>
                    </w:rPr>
                  </w:pPr>
                  <w:r>
                    <w:rPr>
                      <w:color w:val="auto"/>
                      <w:szCs w:val="21"/>
                    </w:rPr>
                    <w:t>530</w:t>
                  </w:r>
                </w:p>
              </w:tc>
              <w:tc>
                <w:tcPr>
                  <w:tcW w:w="436" w:type="pct"/>
                  <w:vAlign w:val="center"/>
                </w:tcPr>
                <w:p w14:paraId="1738288D">
                  <w:pPr>
                    <w:adjustRightInd w:val="0"/>
                    <w:snapToGrid w:val="0"/>
                    <w:jc w:val="center"/>
                    <w:rPr>
                      <w:color w:val="auto"/>
                      <w:szCs w:val="21"/>
                    </w:rPr>
                  </w:pPr>
                  <w:r>
                    <w:rPr>
                      <w:color w:val="auto"/>
                      <w:szCs w:val="21"/>
                    </w:rPr>
                    <w:t>350</w:t>
                  </w:r>
                </w:p>
              </w:tc>
              <w:tc>
                <w:tcPr>
                  <w:tcW w:w="434" w:type="pct"/>
                  <w:vAlign w:val="center"/>
                </w:tcPr>
                <w:p w14:paraId="1738288E">
                  <w:pPr>
                    <w:adjustRightInd w:val="0"/>
                    <w:snapToGrid w:val="0"/>
                    <w:jc w:val="center"/>
                    <w:rPr>
                      <w:color w:val="auto"/>
                      <w:szCs w:val="21"/>
                    </w:rPr>
                  </w:pPr>
                  <w:r>
                    <w:rPr>
                      <w:color w:val="auto"/>
                      <w:szCs w:val="21"/>
                    </w:rPr>
                    <w:t>260</w:t>
                  </w:r>
                </w:p>
              </w:tc>
              <w:tc>
                <w:tcPr>
                  <w:tcW w:w="434" w:type="pct"/>
                  <w:vAlign w:val="center"/>
                </w:tcPr>
                <w:p w14:paraId="1738288F">
                  <w:pPr>
                    <w:adjustRightInd w:val="0"/>
                    <w:snapToGrid w:val="0"/>
                    <w:jc w:val="center"/>
                    <w:rPr>
                      <w:color w:val="auto"/>
                      <w:szCs w:val="21"/>
                    </w:rPr>
                  </w:pPr>
                  <w:r>
                    <w:rPr>
                      <w:color w:val="auto"/>
                      <w:szCs w:val="21"/>
                    </w:rPr>
                    <w:t>530</w:t>
                  </w:r>
                </w:p>
              </w:tc>
              <w:tc>
                <w:tcPr>
                  <w:tcW w:w="434" w:type="pct"/>
                  <w:vAlign w:val="center"/>
                </w:tcPr>
                <w:p w14:paraId="17382890">
                  <w:pPr>
                    <w:adjustRightInd w:val="0"/>
                    <w:snapToGrid w:val="0"/>
                    <w:jc w:val="center"/>
                    <w:rPr>
                      <w:color w:val="auto"/>
                      <w:szCs w:val="21"/>
                    </w:rPr>
                  </w:pPr>
                  <w:r>
                    <w:rPr>
                      <w:color w:val="auto"/>
                      <w:szCs w:val="21"/>
                    </w:rPr>
                    <w:t>350</w:t>
                  </w:r>
                </w:p>
              </w:tc>
              <w:tc>
                <w:tcPr>
                  <w:tcW w:w="435" w:type="pct"/>
                  <w:vAlign w:val="center"/>
                </w:tcPr>
                <w:p w14:paraId="17382891">
                  <w:pPr>
                    <w:adjustRightInd w:val="0"/>
                    <w:snapToGrid w:val="0"/>
                    <w:jc w:val="center"/>
                    <w:rPr>
                      <w:color w:val="auto"/>
                      <w:szCs w:val="21"/>
                    </w:rPr>
                  </w:pPr>
                  <w:r>
                    <w:rPr>
                      <w:color w:val="auto"/>
                      <w:szCs w:val="21"/>
                    </w:rPr>
                    <w:t>260</w:t>
                  </w:r>
                </w:p>
              </w:tc>
              <w:tc>
                <w:tcPr>
                  <w:tcW w:w="434" w:type="pct"/>
                  <w:vAlign w:val="center"/>
                </w:tcPr>
                <w:p w14:paraId="17382892">
                  <w:pPr>
                    <w:adjustRightInd w:val="0"/>
                    <w:snapToGrid w:val="0"/>
                    <w:jc w:val="center"/>
                    <w:rPr>
                      <w:color w:val="auto"/>
                      <w:szCs w:val="21"/>
                    </w:rPr>
                  </w:pPr>
                  <w:r>
                    <w:rPr>
                      <w:color w:val="auto"/>
                      <w:szCs w:val="21"/>
                    </w:rPr>
                    <w:t>290</w:t>
                  </w:r>
                </w:p>
              </w:tc>
              <w:tc>
                <w:tcPr>
                  <w:tcW w:w="434" w:type="pct"/>
                  <w:vAlign w:val="center"/>
                </w:tcPr>
                <w:p w14:paraId="17382893">
                  <w:pPr>
                    <w:adjustRightInd w:val="0"/>
                    <w:snapToGrid w:val="0"/>
                    <w:jc w:val="center"/>
                    <w:rPr>
                      <w:color w:val="auto"/>
                      <w:szCs w:val="21"/>
                    </w:rPr>
                  </w:pPr>
                  <w:r>
                    <w:rPr>
                      <w:color w:val="auto"/>
                      <w:szCs w:val="21"/>
                    </w:rPr>
                    <w:t>190</w:t>
                  </w:r>
                </w:p>
              </w:tc>
              <w:tc>
                <w:tcPr>
                  <w:tcW w:w="420" w:type="pct"/>
                  <w:vAlign w:val="center"/>
                </w:tcPr>
                <w:p w14:paraId="17382894">
                  <w:pPr>
                    <w:adjustRightInd w:val="0"/>
                    <w:snapToGrid w:val="0"/>
                    <w:jc w:val="center"/>
                    <w:rPr>
                      <w:color w:val="auto"/>
                      <w:szCs w:val="21"/>
                    </w:rPr>
                  </w:pPr>
                  <w:r>
                    <w:rPr>
                      <w:color w:val="auto"/>
                      <w:szCs w:val="21"/>
                    </w:rPr>
                    <w:t>110</w:t>
                  </w:r>
                </w:p>
              </w:tc>
            </w:tr>
            <w:tr w14:paraId="1738289B">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546" w:type="pct"/>
                  <w:vMerge w:val="restart"/>
                  <w:vAlign w:val="center"/>
                </w:tcPr>
                <w:p w14:paraId="17382896">
                  <w:pPr>
                    <w:adjustRightInd w:val="0"/>
                    <w:snapToGrid w:val="0"/>
                    <w:jc w:val="center"/>
                    <w:rPr>
                      <w:color w:val="auto"/>
                      <w:szCs w:val="21"/>
                    </w:rPr>
                  </w:pPr>
                  <w:r>
                    <w:rPr>
                      <w:color w:val="auto"/>
                      <w:szCs w:val="21"/>
                    </w:rPr>
                    <w:t>B</w:t>
                  </w:r>
                </w:p>
              </w:tc>
              <w:tc>
                <w:tcPr>
                  <w:tcW w:w="559" w:type="pct"/>
                  <w:vAlign w:val="center"/>
                </w:tcPr>
                <w:p w14:paraId="17382897">
                  <w:pPr>
                    <w:adjustRightInd w:val="0"/>
                    <w:snapToGrid w:val="0"/>
                    <w:jc w:val="center"/>
                    <w:rPr>
                      <w:color w:val="auto"/>
                      <w:szCs w:val="21"/>
                    </w:rPr>
                  </w:pPr>
                  <w:r>
                    <w:rPr>
                      <w:color w:val="auto"/>
                      <w:szCs w:val="21"/>
                    </w:rPr>
                    <w:t>&lt;2</w:t>
                  </w:r>
                </w:p>
              </w:tc>
              <w:tc>
                <w:tcPr>
                  <w:tcW w:w="1304" w:type="pct"/>
                  <w:gridSpan w:val="3"/>
                  <w:vAlign w:val="center"/>
                </w:tcPr>
                <w:p w14:paraId="17382898">
                  <w:pPr>
                    <w:adjustRightInd w:val="0"/>
                    <w:snapToGrid w:val="0"/>
                    <w:jc w:val="center"/>
                    <w:rPr>
                      <w:color w:val="auto"/>
                      <w:szCs w:val="21"/>
                    </w:rPr>
                  </w:pPr>
                  <w:r>
                    <w:rPr>
                      <w:color w:val="auto"/>
                      <w:szCs w:val="21"/>
                    </w:rPr>
                    <w:t>0.01</w:t>
                  </w:r>
                </w:p>
              </w:tc>
              <w:tc>
                <w:tcPr>
                  <w:tcW w:w="1303" w:type="pct"/>
                  <w:gridSpan w:val="3"/>
                  <w:vAlign w:val="center"/>
                </w:tcPr>
                <w:p w14:paraId="17382899">
                  <w:pPr>
                    <w:adjustRightInd w:val="0"/>
                    <w:snapToGrid w:val="0"/>
                    <w:jc w:val="center"/>
                    <w:rPr>
                      <w:color w:val="auto"/>
                      <w:szCs w:val="21"/>
                    </w:rPr>
                  </w:pPr>
                  <w:r>
                    <w:rPr>
                      <w:color w:val="auto"/>
                      <w:szCs w:val="21"/>
                    </w:rPr>
                    <w:t>0.015</w:t>
                  </w:r>
                </w:p>
              </w:tc>
              <w:tc>
                <w:tcPr>
                  <w:tcW w:w="1288" w:type="pct"/>
                  <w:gridSpan w:val="3"/>
                  <w:vAlign w:val="center"/>
                </w:tcPr>
                <w:p w14:paraId="1738289A">
                  <w:pPr>
                    <w:adjustRightInd w:val="0"/>
                    <w:snapToGrid w:val="0"/>
                    <w:jc w:val="center"/>
                    <w:rPr>
                      <w:color w:val="auto"/>
                      <w:szCs w:val="21"/>
                    </w:rPr>
                  </w:pPr>
                  <w:r>
                    <w:rPr>
                      <w:color w:val="auto"/>
                      <w:szCs w:val="21"/>
                    </w:rPr>
                    <w:t>0.015</w:t>
                  </w:r>
                </w:p>
              </w:tc>
            </w:tr>
            <w:tr w14:paraId="173828A1">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984" w:type="dxa"/>
                  <w:vMerge w:val="continue"/>
                  <w:shd w:val="clear" w:color="auto" w:fill="auto"/>
                  <w:vAlign w:val="center"/>
                </w:tcPr>
                <w:p w14:paraId="1738289C">
                  <w:pPr>
                    <w:widowControl/>
                    <w:jc w:val="center"/>
                    <w:rPr>
                      <w:color w:val="auto"/>
                      <w:szCs w:val="21"/>
                    </w:rPr>
                  </w:pPr>
                </w:p>
              </w:tc>
              <w:tc>
                <w:tcPr>
                  <w:tcW w:w="559" w:type="pct"/>
                  <w:shd w:val="clear" w:color="auto" w:fill="auto"/>
                  <w:vAlign w:val="center"/>
                </w:tcPr>
                <w:p w14:paraId="1738289D">
                  <w:pPr>
                    <w:adjustRightInd w:val="0"/>
                    <w:snapToGrid w:val="0"/>
                    <w:jc w:val="center"/>
                    <w:rPr>
                      <w:color w:val="auto"/>
                      <w:szCs w:val="21"/>
                    </w:rPr>
                  </w:pPr>
                  <w:r>
                    <w:rPr>
                      <w:color w:val="auto"/>
                      <w:szCs w:val="21"/>
                    </w:rPr>
                    <w:t>&gt;2</w:t>
                  </w:r>
                </w:p>
              </w:tc>
              <w:tc>
                <w:tcPr>
                  <w:tcW w:w="1304" w:type="pct"/>
                  <w:gridSpan w:val="3"/>
                  <w:shd w:val="clear" w:color="auto" w:fill="D8D8D8"/>
                  <w:vAlign w:val="center"/>
                </w:tcPr>
                <w:p w14:paraId="1738289E">
                  <w:pPr>
                    <w:adjustRightInd w:val="0"/>
                    <w:snapToGrid w:val="0"/>
                    <w:jc w:val="center"/>
                    <w:rPr>
                      <w:color w:val="auto"/>
                      <w:szCs w:val="21"/>
                    </w:rPr>
                  </w:pPr>
                  <w:r>
                    <w:rPr>
                      <w:color w:val="auto"/>
                      <w:szCs w:val="21"/>
                    </w:rPr>
                    <w:t>0.021</w:t>
                  </w:r>
                </w:p>
              </w:tc>
              <w:tc>
                <w:tcPr>
                  <w:tcW w:w="1303" w:type="pct"/>
                  <w:gridSpan w:val="3"/>
                  <w:vAlign w:val="center"/>
                </w:tcPr>
                <w:p w14:paraId="1738289F">
                  <w:pPr>
                    <w:adjustRightInd w:val="0"/>
                    <w:snapToGrid w:val="0"/>
                    <w:jc w:val="center"/>
                    <w:rPr>
                      <w:color w:val="auto"/>
                      <w:szCs w:val="21"/>
                    </w:rPr>
                  </w:pPr>
                  <w:r>
                    <w:rPr>
                      <w:color w:val="auto"/>
                      <w:szCs w:val="21"/>
                    </w:rPr>
                    <w:t>0.036</w:t>
                  </w:r>
                </w:p>
              </w:tc>
              <w:tc>
                <w:tcPr>
                  <w:tcW w:w="1288" w:type="pct"/>
                  <w:gridSpan w:val="3"/>
                  <w:vAlign w:val="center"/>
                </w:tcPr>
                <w:p w14:paraId="173828A0">
                  <w:pPr>
                    <w:adjustRightInd w:val="0"/>
                    <w:snapToGrid w:val="0"/>
                    <w:jc w:val="center"/>
                    <w:rPr>
                      <w:color w:val="auto"/>
                      <w:szCs w:val="21"/>
                    </w:rPr>
                  </w:pPr>
                  <w:r>
                    <w:rPr>
                      <w:color w:val="auto"/>
                      <w:szCs w:val="21"/>
                    </w:rPr>
                    <w:t>0.036</w:t>
                  </w:r>
                </w:p>
              </w:tc>
            </w:tr>
            <w:tr w14:paraId="173828A7">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546" w:type="pct"/>
                  <w:vMerge w:val="restart"/>
                  <w:vAlign w:val="center"/>
                </w:tcPr>
                <w:p w14:paraId="173828A2">
                  <w:pPr>
                    <w:adjustRightInd w:val="0"/>
                    <w:snapToGrid w:val="0"/>
                    <w:jc w:val="center"/>
                    <w:rPr>
                      <w:color w:val="auto"/>
                      <w:szCs w:val="21"/>
                    </w:rPr>
                  </w:pPr>
                  <w:r>
                    <w:rPr>
                      <w:color w:val="auto"/>
                      <w:szCs w:val="21"/>
                    </w:rPr>
                    <w:t>C</w:t>
                  </w:r>
                </w:p>
              </w:tc>
              <w:tc>
                <w:tcPr>
                  <w:tcW w:w="559" w:type="pct"/>
                  <w:vAlign w:val="center"/>
                </w:tcPr>
                <w:p w14:paraId="173828A3">
                  <w:pPr>
                    <w:adjustRightInd w:val="0"/>
                    <w:snapToGrid w:val="0"/>
                    <w:jc w:val="center"/>
                    <w:rPr>
                      <w:color w:val="auto"/>
                      <w:szCs w:val="21"/>
                    </w:rPr>
                  </w:pPr>
                  <w:r>
                    <w:rPr>
                      <w:color w:val="auto"/>
                      <w:szCs w:val="21"/>
                    </w:rPr>
                    <w:t>&lt;2</w:t>
                  </w:r>
                </w:p>
              </w:tc>
              <w:tc>
                <w:tcPr>
                  <w:tcW w:w="1304" w:type="pct"/>
                  <w:gridSpan w:val="3"/>
                  <w:vAlign w:val="center"/>
                </w:tcPr>
                <w:p w14:paraId="173828A4">
                  <w:pPr>
                    <w:adjustRightInd w:val="0"/>
                    <w:snapToGrid w:val="0"/>
                    <w:jc w:val="center"/>
                    <w:rPr>
                      <w:color w:val="auto"/>
                      <w:szCs w:val="21"/>
                    </w:rPr>
                  </w:pPr>
                  <w:r>
                    <w:rPr>
                      <w:color w:val="auto"/>
                      <w:szCs w:val="21"/>
                    </w:rPr>
                    <w:t>1.85</w:t>
                  </w:r>
                </w:p>
              </w:tc>
              <w:tc>
                <w:tcPr>
                  <w:tcW w:w="1303" w:type="pct"/>
                  <w:gridSpan w:val="3"/>
                  <w:vAlign w:val="center"/>
                </w:tcPr>
                <w:p w14:paraId="173828A5">
                  <w:pPr>
                    <w:adjustRightInd w:val="0"/>
                    <w:snapToGrid w:val="0"/>
                    <w:jc w:val="center"/>
                    <w:rPr>
                      <w:color w:val="auto"/>
                      <w:szCs w:val="21"/>
                    </w:rPr>
                  </w:pPr>
                  <w:r>
                    <w:rPr>
                      <w:color w:val="auto"/>
                      <w:szCs w:val="21"/>
                    </w:rPr>
                    <w:t>1.79</w:t>
                  </w:r>
                </w:p>
              </w:tc>
              <w:tc>
                <w:tcPr>
                  <w:tcW w:w="1288" w:type="pct"/>
                  <w:gridSpan w:val="3"/>
                  <w:vAlign w:val="center"/>
                </w:tcPr>
                <w:p w14:paraId="173828A6">
                  <w:pPr>
                    <w:adjustRightInd w:val="0"/>
                    <w:snapToGrid w:val="0"/>
                    <w:jc w:val="center"/>
                    <w:rPr>
                      <w:color w:val="auto"/>
                      <w:szCs w:val="21"/>
                    </w:rPr>
                  </w:pPr>
                  <w:r>
                    <w:rPr>
                      <w:color w:val="auto"/>
                      <w:szCs w:val="21"/>
                    </w:rPr>
                    <w:t>1.79</w:t>
                  </w:r>
                </w:p>
              </w:tc>
            </w:tr>
            <w:tr w14:paraId="173828AD">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984" w:type="dxa"/>
                  <w:vMerge w:val="continue"/>
                  <w:shd w:val="clear" w:color="auto" w:fill="auto"/>
                  <w:vAlign w:val="center"/>
                </w:tcPr>
                <w:p w14:paraId="173828A8">
                  <w:pPr>
                    <w:widowControl/>
                    <w:jc w:val="center"/>
                    <w:rPr>
                      <w:color w:val="auto"/>
                      <w:szCs w:val="21"/>
                    </w:rPr>
                  </w:pPr>
                </w:p>
              </w:tc>
              <w:tc>
                <w:tcPr>
                  <w:tcW w:w="559" w:type="pct"/>
                  <w:shd w:val="clear" w:color="auto" w:fill="auto"/>
                  <w:vAlign w:val="center"/>
                </w:tcPr>
                <w:p w14:paraId="173828A9">
                  <w:pPr>
                    <w:adjustRightInd w:val="0"/>
                    <w:snapToGrid w:val="0"/>
                    <w:jc w:val="center"/>
                    <w:rPr>
                      <w:color w:val="auto"/>
                      <w:szCs w:val="21"/>
                    </w:rPr>
                  </w:pPr>
                  <w:r>
                    <w:rPr>
                      <w:color w:val="auto"/>
                      <w:szCs w:val="21"/>
                    </w:rPr>
                    <w:t>&gt;2</w:t>
                  </w:r>
                </w:p>
              </w:tc>
              <w:tc>
                <w:tcPr>
                  <w:tcW w:w="1304" w:type="pct"/>
                  <w:gridSpan w:val="3"/>
                  <w:shd w:val="clear" w:color="auto" w:fill="D8D8D8"/>
                  <w:vAlign w:val="center"/>
                </w:tcPr>
                <w:p w14:paraId="173828AA">
                  <w:pPr>
                    <w:adjustRightInd w:val="0"/>
                    <w:snapToGrid w:val="0"/>
                    <w:jc w:val="center"/>
                    <w:rPr>
                      <w:color w:val="auto"/>
                      <w:szCs w:val="21"/>
                    </w:rPr>
                  </w:pPr>
                  <w:r>
                    <w:rPr>
                      <w:color w:val="auto"/>
                      <w:szCs w:val="21"/>
                    </w:rPr>
                    <w:t>1.85</w:t>
                  </w:r>
                </w:p>
              </w:tc>
              <w:tc>
                <w:tcPr>
                  <w:tcW w:w="1303" w:type="pct"/>
                  <w:gridSpan w:val="3"/>
                  <w:vAlign w:val="center"/>
                </w:tcPr>
                <w:p w14:paraId="173828AB">
                  <w:pPr>
                    <w:adjustRightInd w:val="0"/>
                    <w:snapToGrid w:val="0"/>
                    <w:jc w:val="center"/>
                    <w:rPr>
                      <w:color w:val="auto"/>
                      <w:szCs w:val="21"/>
                    </w:rPr>
                  </w:pPr>
                  <w:r>
                    <w:rPr>
                      <w:color w:val="auto"/>
                      <w:szCs w:val="21"/>
                    </w:rPr>
                    <w:t>1.77</w:t>
                  </w:r>
                </w:p>
              </w:tc>
              <w:tc>
                <w:tcPr>
                  <w:tcW w:w="1288" w:type="pct"/>
                  <w:gridSpan w:val="3"/>
                  <w:vAlign w:val="center"/>
                </w:tcPr>
                <w:p w14:paraId="173828AC">
                  <w:pPr>
                    <w:adjustRightInd w:val="0"/>
                    <w:snapToGrid w:val="0"/>
                    <w:jc w:val="center"/>
                    <w:rPr>
                      <w:color w:val="auto"/>
                      <w:szCs w:val="21"/>
                    </w:rPr>
                  </w:pPr>
                  <w:r>
                    <w:rPr>
                      <w:color w:val="auto"/>
                      <w:szCs w:val="21"/>
                    </w:rPr>
                    <w:t>1.77</w:t>
                  </w:r>
                </w:p>
              </w:tc>
            </w:tr>
            <w:tr w14:paraId="173828B3">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546" w:type="pct"/>
                  <w:vMerge w:val="restart"/>
                  <w:vAlign w:val="center"/>
                </w:tcPr>
                <w:p w14:paraId="173828AE">
                  <w:pPr>
                    <w:adjustRightInd w:val="0"/>
                    <w:snapToGrid w:val="0"/>
                    <w:jc w:val="center"/>
                    <w:rPr>
                      <w:color w:val="auto"/>
                      <w:szCs w:val="21"/>
                    </w:rPr>
                  </w:pPr>
                  <w:r>
                    <w:rPr>
                      <w:color w:val="auto"/>
                      <w:szCs w:val="21"/>
                    </w:rPr>
                    <w:t>D</w:t>
                  </w:r>
                </w:p>
              </w:tc>
              <w:tc>
                <w:tcPr>
                  <w:tcW w:w="559" w:type="pct"/>
                  <w:vAlign w:val="center"/>
                </w:tcPr>
                <w:p w14:paraId="173828AF">
                  <w:pPr>
                    <w:adjustRightInd w:val="0"/>
                    <w:snapToGrid w:val="0"/>
                    <w:jc w:val="center"/>
                    <w:rPr>
                      <w:color w:val="auto"/>
                      <w:szCs w:val="21"/>
                    </w:rPr>
                  </w:pPr>
                  <w:r>
                    <w:rPr>
                      <w:color w:val="auto"/>
                      <w:szCs w:val="21"/>
                    </w:rPr>
                    <w:t>&lt;2</w:t>
                  </w:r>
                </w:p>
              </w:tc>
              <w:tc>
                <w:tcPr>
                  <w:tcW w:w="1304" w:type="pct"/>
                  <w:gridSpan w:val="3"/>
                  <w:vAlign w:val="center"/>
                </w:tcPr>
                <w:p w14:paraId="173828B0">
                  <w:pPr>
                    <w:adjustRightInd w:val="0"/>
                    <w:snapToGrid w:val="0"/>
                    <w:jc w:val="center"/>
                    <w:rPr>
                      <w:color w:val="auto"/>
                      <w:szCs w:val="21"/>
                    </w:rPr>
                  </w:pPr>
                  <w:r>
                    <w:rPr>
                      <w:color w:val="auto"/>
                      <w:szCs w:val="21"/>
                    </w:rPr>
                    <w:t>0.78</w:t>
                  </w:r>
                </w:p>
              </w:tc>
              <w:tc>
                <w:tcPr>
                  <w:tcW w:w="1303" w:type="pct"/>
                  <w:gridSpan w:val="3"/>
                  <w:vAlign w:val="center"/>
                </w:tcPr>
                <w:p w14:paraId="173828B1">
                  <w:pPr>
                    <w:adjustRightInd w:val="0"/>
                    <w:snapToGrid w:val="0"/>
                    <w:jc w:val="center"/>
                    <w:rPr>
                      <w:color w:val="auto"/>
                      <w:szCs w:val="21"/>
                    </w:rPr>
                  </w:pPr>
                  <w:r>
                    <w:rPr>
                      <w:color w:val="auto"/>
                      <w:szCs w:val="21"/>
                    </w:rPr>
                    <w:t>0.78</w:t>
                  </w:r>
                </w:p>
              </w:tc>
              <w:tc>
                <w:tcPr>
                  <w:tcW w:w="1288" w:type="pct"/>
                  <w:gridSpan w:val="3"/>
                  <w:vAlign w:val="center"/>
                </w:tcPr>
                <w:p w14:paraId="173828B2">
                  <w:pPr>
                    <w:adjustRightInd w:val="0"/>
                    <w:snapToGrid w:val="0"/>
                    <w:jc w:val="center"/>
                    <w:rPr>
                      <w:color w:val="auto"/>
                      <w:szCs w:val="21"/>
                    </w:rPr>
                  </w:pPr>
                  <w:r>
                    <w:rPr>
                      <w:color w:val="auto"/>
                      <w:szCs w:val="21"/>
                    </w:rPr>
                    <w:t>0.57</w:t>
                  </w:r>
                </w:p>
              </w:tc>
            </w:tr>
            <w:tr w14:paraId="173828B9">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984" w:type="dxa"/>
                  <w:vMerge w:val="continue"/>
                  <w:shd w:val="clear" w:color="auto" w:fill="auto"/>
                  <w:vAlign w:val="center"/>
                </w:tcPr>
                <w:p w14:paraId="173828B4">
                  <w:pPr>
                    <w:widowControl/>
                    <w:jc w:val="center"/>
                    <w:rPr>
                      <w:color w:val="auto"/>
                      <w:szCs w:val="21"/>
                    </w:rPr>
                  </w:pPr>
                </w:p>
              </w:tc>
              <w:tc>
                <w:tcPr>
                  <w:tcW w:w="559" w:type="pct"/>
                  <w:shd w:val="clear" w:color="auto" w:fill="auto"/>
                  <w:vAlign w:val="center"/>
                </w:tcPr>
                <w:p w14:paraId="173828B5">
                  <w:pPr>
                    <w:adjustRightInd w:val="0"/>
                    <w:snapToGrid w:val="0"/>
                    <w:jc w:val="center"/>
                    <w:rPr>
                      <w:color w:val="auto"/>
                      <w:szCs w:val="21"/>
                    </w:rPr>
                  </w:pPr>
                  <w:r>
                    <w:rPr>
                      <w:color w:val="auto"/>
                      <w:szCs w:val="21"/>
                    </w:rPr>
                    <w:t>&gt;2</w:t>
                  </w:r>
                </w:p>
              </w:tc>
              <w:tc>
                <w:tcPr>
                  <w:tcW w:w="1304" w:type="pct"/>
                  <w:gridSpan w:val="3"/>
                  <w:shd w:val="clear" w:color="auto" w:fill="D8D8D8"/>
                  <w:vAlign w:val="center"/>
                </w:tcPr>
                <w:p w14:paraId="173828B6">
                  <w:pPr>
                    <w:adjustRightInd w:val="0"/>
                    <w:snapToGrid w:val="0"/>
                    <w:jc w:val="center"/>
                    <w:rPr>
                      <w:color w:val="auto"/>
                      <w:szCs w:val="21"/>
                    </w:rPr>
                  </w:pPr>
                  <w:r>
                    <w:rPr>
                      <w:color w:val="auto"/>
                      <w:szCs w:val="21"/>
                    </w:rPr>
                    <w:t>0.84</w:t>
                  </w:r>
                </w:p>
              </w:tc>
              <w:tc>
                <w:tcPr>
                  <w:tcW w:w="1303" w:type="pct"/>
                  <w:gridSpan w:val="3"/>
                  <w:vAlign w:val="center"/>
                </w:tcPr>
                <w:p w14:paraId="173828B7">
                  <w:pPr>
                    <w:adjustRightInd w:val="0"/>
                    <w:snapToGrid w:val="0"/>
                    <w:jc w:val="center"/>
                    <w:rPr>
                      <w:color w:val="auto"/>
                      <w:szCs w:val="21"/>
                    </w:rPr>
                  </w:pPr>
                  <w:r>
                    <w:rPr>
                      <w:color w:val="auto"/>
                      <w:szCs w:val="21"/>
                    </w:rPr>
                    <w:t>0.84</w:t>
                  </w:r>
                </w:p>
              </w:tc>
              <w:tc>
                <w:tcPr>
                  <w:tcW w:w="1288" w:type="pct"/>
                  <w:gridSpan w:val="3"/>
                  <w:vAlign w:val="center"/>
                </w:tcPr>
                <w:p w14:paraId="173828B8">
                  <w:pPr>
                    <w:adjustRightInd w:val="0"/>
                    <w:snapToGrid w:val="0"/>
                    <w:jc w:val="center"/>
                    <w:rPr>
                      <w:color w:val="auto"/>
                      <w:szCs w:val="21"/>
                    </w:rPr>
                  </w:pPr>
                  <w:r>
                    <w:rPr>
                      <w:color w:val="auto"/>
                      <w:szCs w:val="21"/>
                    </w:rPr>
                    <w:t>0.76</w:t>
                  </w:r>
                </w:p>
              </w:tc>
            </w:tr>
            <w:tr w14:paraId="173828BD">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0" w:hRule="atLeast"/>
                <w:jc w:val="center"/>
              </w:trPr>
              <w:tc>
                <w:tcPr>
                  <w:tcW w:w="5000" w:type="pct"/>
                  <w:gridSpan w:val="11"/>
                  <w:vAlign w:val="center"/>
                </w:tcPr>
                <w:p w14:paraId="173828BA">
                  <w:pPr>
                    <w:adjustRightInd w:val="0"/>
                    <w:snapToGrid w:val="0"/>
                    <w:jc w:val="left"/>
                    <w:rPr>
                      <w:color w:val="auto"/>
                      <w:szCs w:val="21"/>
                    </w:rPr>
                  </w:pPr>
                  <w:r>
                    <w:rPr>
                      <w:color w:val="auto"/>
                      <w:szCs w:val="21"/>
                    </w:rPr>
                    <w:t>注：Ⅰ类：与无组织排放源共存的排放同种有害气体的排气筒的排放量，大于或等于标准规定的允许排放量的1/3者。</w:t>
                  </w:r>
                </w:p>
                <w:p w14:paraId="173828BB">
                  <w:pPr>
                    <w:adjustRightInd w:val="0"/>
                    <w:snapToGrid w:val="0"/>
                    <w:ind w:firstLine="420" w:firstLineChars="200"/>
                    <w:jc w:val="left"/>
                    <w:rPr>
                      <w:color w:val="auto"/>
                      <w:szCs w:val="21"/>
                    </w:rPr>
                  </w:pPr>
                  <w:r>
                    <w:rPr>
                      <w:color w:val="auto"/>
                      <w:szCs w:val="21"/>
                    </w:rPr>
                    <w:t>Ⅱ类：与无组织排放源共存的排放同种有害气体的排气筒的排放量，小于标准规定的允许排放量的1/3，或虽无排放同种大气污染物之排气筒共存，但无组织排放的有害物质的容许浓度指标是按急性反应指标确定者。</w:t>
                  </w:r>
                </w:p>
                <w:p w14:paraId="173828BC">
                  <w:pPr>
                    <w:adjustRightInd w:val="0"/>
                    <w:snapToGrid w:val="0"/>
                    <w:ind w:firstLine="420" w:firstLineChars="200"/>
                    <w:jc w:val="left"/>
                    <w:rPr>
                      <w:color w:val="auto"/>
                      <w:szCs w:val="21"/>
                    </w:rPr>
                  </w:pPr>
                  <w:r>
                    <w:rPr>
                      <w:color w:val="auto"/>
                      <w:szCs w:val="21"/>
                    </w:rPr>
                    <w:t>Ⅲ类：无排放同种有害物质的排气筒与无组织排放源共存，但无组织排放的有害物质的容许排放是按慢性反应指标确定者。</w:t>
                  </w:r>
                </w:p>
              </w:tc>
            </w:tr>
          </w:tbl>
          <w:p w14:paraId="173828BE">
            <w:pPr>
              <w:adjustRightInd w:val="0"/>
              <w:snapToGrid w:val="0"/>
              <w:spacing w:line="360" w:lineRule="auto"/>
              <w:ind w:firstLine="480" w:firstLineChars="200"/>
              <w:rPr>
                <w:color w:val="auto"/>
                <w:sz w:val="24"/>
              </w:rPr>
            </w:pPr>
            <w:r>
              <w:rPr>
                <w:color w:val="auto"/>
                <w:sz w:val="24"/>
              </w:rPr>
              <w:t>本项目卫生防护距离计算结果见下表。</w:t>
            </w:r>
          </w:p>
          <w:p w14:paraId="173828BF">
            <w:pPr>
              <w:widowControl/>
              <w:adjustRightInd w:val="0"/>
              <w:snapToGrid w:val="0"/>
              <w:jc w:val="center"/>
              <w:rPr>
                <w:b/>
                <w:color w:val="auto"/>
                <w:kern w:val="0"/>
                <w:sz w:val="24"/>
              </w:rPr>
            </w:pPr>
            <w:r>
              <w:rPr>
                <w:b/>
                <w:color w:val="auto"/>
                <w:kern w:val="0"/>
                <w:sz w:val="24"/>
              </w:rPr>
              <w:t>表4-</w:t>
            </w:r>
            <w:r>
              <w:rPr>
                <w:rFonts w:hint="eastAsia"/>
                <w:b/>
                <w:color w:val="auto"/>
                <w:kern w:val="0"/>
                <w:sz w:val="24"/>
              </w:rPr>
              <w:t xml:space="preserve">9 </w:t>
            </w:r>
            <w:r>
              <w:rPr>
                <w:b/>
                <w:color w:val="auto"/>
                <w:kern w:val="0"/>
                <w:sz w:val="24"/>
              </w:rPr>
              <w:t>本项目卫生防护距离计算结果</w:t>
            </w:r>
          </w:p>
          <w:tbl>
            <w:tblPr>
              <w:tblStyle w:val="88"/>
              <w:tblW w:w="8457" w:type="dxa"/>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fixed"/>
              <w:tblCellMar>
                <w:top w:w="0" w:type="dxa"/>
                <w:left w:w="28" w:type="dxa"/>
                <w:bottom w:w="0" w:type="dxa"/>
                <w:right w:w="28" w:type="dxa"/>
              </w:tblCellMar>
            </w:tblPr>
            <w:tblGrid>
              <w:gridCol w:w="1242"/>
              <w:gridCol w:w="1630"/>
              <w:gridCol w:w="1105"/>
              <w:gridCol w:w="1155"/>
              <w:gridCol w:w="1072"/>
              <w:gridCol w:w="1091"/>
              <w:gridCol w:w="1162"/>
            </w:tblGrid>
            <w:tr w14:paraId="173828C6">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24" w:hRule="atLeast"/>
                <w:jc w:val="center"/>
              </w:trPr>
              <w:tc>
                <w:tcPr>
                  <w:tcW w:w="1696" w:type="pct"/>
                  <w:gridSpan w:val="2"/>
                  <w:vMerge w:val="restart"/>
                  <w:vAlign w:val="center"/>
                </w:tcPr>
                <w:p w14:paraId="173828C0">
                  <w:pPr>
                    <w:adjustRightInd w:val="0"/>
                    <w:snapToGrid w:val="0"/>
                    <w:jc w:val="center"/>
                    <w:rPr>
                      <w:b/>
                      <w:bCs/>
                      <w:color w:val="auto"/>
                      <w:szCs w:val="21"/>
                    </w:rPr>
                  </w:pPr>
                  <w:r>
                    <w:rPr>
                      <w:b/>
                      <w:bCs/>
                      <w:color w:val="auto"/>
                      <w:szCs w:val="21"/>
                    </w:rPr>
                    <w:t>污染物</w:t>
                  </w:r>
                </w:p>
              </w:tc>
              <w:tc>
                <w:tcPr>
                  <w:tcW w:w="653" w:type="pct"/>
                  <w:vMerge w:val="restart"/>
                  <w:vAlign w:val="center"/>
                </w:tcPr>
                <w:p w14:paraId="173828C1">
                  <w:pPr>
                    <w:adjustRightInd w:val="0"/>
                    <w:snapToGrid w:val="0"/>
                    <w:jc w:val="center"/>
                    <w:rPr>
                      <w:b/>
                      <w:bCs/>
                      <w:color w:val="auto"/>
                      <w:szCs w:val="21"/>
                    </w:rPr>
                  </w:pPr>
                  <w:r>
                    <w:rPr>
                      <w:b/>
                      <w:bCs/>
                      <w:color w:val="auto"/>
                      <w:szCs w:val="21"/>
                    </w:rPr>
                    <w:t>源强Q</w:t>
                  </w:r>
                  <w:r>
                    <w:rPr>
                      <w:b/>
                      <w:bCs/>
                      <w:color w:val="auto"/>
                      <w:szCs w:val="21"/>
                      <w:vertAlign w:val="subscript"/>
                    </w:rPr>
                    <w:t>c</w:t>
                  </w:r>
                  <w:r>
                    <w:rPr>
                      <w:b/>
                      <w:bCs/>
                      <w:color w:val="auto"/>
                      <w:szCs w:val="21"/>
                    </w:rPr>
                    <w:t>（kg/h）</w:t>
                  </w:r>
                </w:p>
              </w:tc>
              <w:tc>
                <w:tcPr>
                  <w:tcW w:w="682" w:type="pct"/>
                  <w:vMerge w:val="restart"/>
                  <w:vAlign w:val="center"/>
                </w:tcPr>
                <w:p w14:paraId="173828C2">
                  <w:pPr>
                    <w:adjustRightInd w:val="0"/>
                    <w:snapToGrid w:val="0"/>
                    <w:jc w:val="center"/>
                    <w:rPr>
                      <w:b/>
                      <w:bCs/>
                      <w:color w:val="auto"/>
                      <w:szCs w:val="21"/>
                    </w:rPr>
                  </w:pPr>
                  <w:r>
                    <w:rPr>
                      <w:b/>
                      <w:bCs/>
                      <w:color w:val="auto"/>
                      <w:szCs w:val="21"/>
                    </w:rPr>
                    <w:t>排放源面积（m</w:t>
                  </w:r>
                  <w:r>
                    <w:rPr>
                      <w:b/>
                      <w:bCs/>
                      <w:color w:val="auto"/>
                      <w:szCs w:val="21"/>
                      <w:vertAlign w:val="superscript"/>
                    </w:rPr>
                    <w:t>2</w:t>
                  </w:r>
                  <w:r>
                    <w:rPr>
                      <w:b/>
                      <w:bCs/>
                      <w:color w:val="auto"/>
                      <w:szCs w:val="21"/>
                    </w:rPr>
                    <w:t>）</w:t>
                  </w:r>
                </w:p>
              </w:tc>
              <w:tc>
                <w:tcPr>
                  <w:tcW w:w="634" w:type="pct"/>
                  <w:vMerge w:val="restart"/>
                  <w:tcBorders>
                    <w:left w:val="single" w:color="auto" w:sz="4" w:space="0"/>
                  </w:tcBorders>
                  <w:vAlign w:val="center"/>
                </w:tcPr>
                <w:p w14:paraId="173828C3">
                  <w:pPr>
                    <w:adjustRightInd w:val="0"/>
                    <w:snapToGrid w:val="0"/>
                    <w:jc w:val="center"/>
                    <w:rPr>
                      <w:b/>
                      <w:bCs/>
                      <w:color w:val="auto"/>
                      <w:szCs w:val="21"/>
                    </w:rPr>
                  </w:pPr>
                  <w:r>
                    <w:rPr>
                      <w:b/>
                      <w:bCs/>
                      <w:color w:val="auto"/>
                      <w:szCs w:val="21"/>
                    </w:rPr>
                    <w:t>等标</w:t>
                  </w:r>
                </w:p>
                <w:p w14:paraId="173828C4">
                  <w:pPr>
                    <w:adjustRightInd w:val="0"/>
                    <w:snapToGrid w:val="0"/>
                    <w:jc w:val="center"/>
                    <w:rPr>
                      <w:b/>
                      <w:bCs/>
                      <w:color w:val="auto"/>
                      <w:szCs w:val="21"/>
                    </w:rPr>
                  </w:pPr>
                  <w:r>
                    <w:rPr>
                      <w:b/>
                      <w:bCs/>
                      <w:color w:val="auto"/>
                      <w:szCs w:val="21"/>
                    </w:rPr>
                    <w:t>排放量</w:t>
                  </w:r>
                </w:p>
              </w:tc>
              <w:tc>
                <w:tcPr>
                  <w:tcW w:w="1332" w:type="pct"/>
                  <w:gridSpan w:val="2"/>
                  <w:vAlign w:val="center"/>
                </w:tcPr>
                <w:p w14:paraId="173828C5">
                  <w:pPr>
                    <w:adjustRightInd w:val="0"/>
                    <w:snapToGrid w:val="0"/>
                    <w:rPr>
                      <w:b/>
                      <w:bCs/>
                      <w:color w:val="auto"/>
                      <w:szCs w:val="21"/>
                    </w:rPr>
                  </w:pPr>
                  <w:r>
                    <w:rPr>
                      <w:b/>
                      <w:bCs/>
                      <w:color w:val="auto"/>
                      <w:szCs w:val="21"/>
                    </w:rPr>
                    <w:t>卫生防护距离L(m)</w:t>
                  </w:r>
                </w:p>
              </w:tc>
            </w:tr>
            <w:tr w14:paraId="173828CD">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264" w:hRule="atLeast"/>
                <w:jc w:val="center"/>
              </w:trPr>
              <w:tc>
                <w:tcPr>
                  <w:tcW w:w="1696" w:type="pct"/>
                  <w:gridSpan w:val="2"/>
                  <w:vMerge w:val="continue"/>
                  <w:tcBorders>
                    <w:bottom w:val="single" w:color="auto" w:sz="4" w:space="0"/>
                  </w:tcBorders>
                  <w:vAlign w:val="center"/>
                </w:tcPr>
                <w:p w14:paraId="173828C7">
                  <w:pPr>
                    <w:widowControl/>
                    <w:jc w:val="center"/>
                    <w:rPr>
                      <w:b/>
                      <w:bCs/>
                      <w:color w:val="auto"/>
                      <w:szCs w:val="21"/>
                    </w:rPr>
                  </w:pPr>
                </w:p>
              </w:tc>
              <w:tc>
                <w:tcPr>
                  <w:tcW w:w="653" w:type="pct"/>
                  <w:vMerge w:val="continue"/>
                  <w:vAlign w:val="center"/>
                </w:tcPr>
                <w:p w14:paraId="173828C8">
                  <w:pPr>
                    <w:widowControl/>
                    <w:jc w:val="center"/>
                    <w:rPr>
                      <w:b/>
                      <w:bCs/>
                      <w:color w:val="auto"/>
                      <w:szCs w:val="21"/>
                    </w:rPr>
                  </w:pPr>
                </w:p>
              </w:tc>
              <w:tc>
                <w:tcPr>
                  <w:tcW w:w="682" w:type="pct"/>
                  <w:vMerge w:val="continue"/>
                  <w:vAlign w:val="center"/>
                </w:tcPr>
                <w:p w14:paraId="173828C9">
                  <w:pPr>
                    <w:widowControl/>
                    <w:jc w:val="center"/>
                    <w:rPr>
                      <w:b/>
                      <w:bCs/>
                      <w:color w:val="auto"/>
                      <w:szCs w:val="21"/>
                    </w:rPr>
                  </w:pPr>
                </w:p>
              </w:tc>
              <w:tc>
                <w:tcPr>
                  <w:tcW w:w="634" w:type="pct"/>
                  <w:vMerge w:val="continue"/>
                  <w:tcBorders>
                    <w:left w:val="single" w:color="auto" w:sz="4" w:space="0"/>
                  </w:tcBorders>
                  <w:vAlign w:val="center"/>
                </w:tcPr>
                <w:p w14:paraId="173828CA">
                  <w:pPr>
                    <w:widowControl/>
                    <w:jc w:val="center"/>
                    <w:rPr>
                      <w:b/>
                      <w:bCs/>
                      <w:color w:val="auto"/>
                      <w:szCs w:val="21"/>
                    </w:rPr>
                  </w:pPr>
                </w:p>
              </w:tc>
              <w:tc>
                <w:tcPr>
                  <w:tcW w:w="645" w:type="pct"/>
                  <w:vAlign w:val="center"/>
                </w:tcPr>
                <w:p w14:paraId="173828CB">
                  <w:pPr>
                    <w:adjustRightInd w:val="0"/>
                    <w:snapToGrid w:val="0"/>
                    <w:jc w:val="center"/>
                    <w:rPr>
                      <w:b/>
                      <w:bCs/>
                      <w:color w:val="auto"/>
                      <w:szCs w:val="21"/>
                    </w:rPr>
                  </w:pPr>
                  <w:r>
                    <w:rPr>
                      <w:b/>
                      <w:bCs/>
                      <w:color w:val="auto"/>
                      <w:szCs w:val="21"/>
                    </w:rPr>
                    <w:t>计算值</w:t>
                  </w:r>
                </w:p>
              </w:tc>
              <w:tc>
                <w:tcPr>
                  <w:tcW w:w="687" w:type="pct"/>
                  <w:vAlign w:val="center"/>
                </w:tcPr>
                <w:p w14:paraId="173828CC">
                  <w:pPr>
                    <w:adjustRightInd w:val="0"/>
                    <w:snapToGrid w:val="0"/>
                    <w:jc w:val="center"/>
                    <w:rPr>
                      <w:b/>
                      <w:bCs/>
                      <w:color w:val="auto"/>
                      <w:szCs w:val="21"/>
                    </w:rPr>
                  </w:pPr>
                  <w:r>
                    <w:rPr>
                      <w:b/>
                      <w:bCs/>
                      <w:color w:val="auto"/>
                      <w:szCs w:val="21"/>
                    </w:rPr>
                    <w:t>取值</w:t>
                  </w:r>
                </w:p>
              </w:tc>
            </w:tr>
            <w:tr w14:paraId="173828D5">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276" w:hRule="atLeast"/>
                <w:jc w:val="center"/>
              </w:trPr>
              <w:tc>
                <w:tcPr>
                  <w:tcW w:w="734" w:type="pct"/>
                  <w:vMerge w:val="restart"/>
                  <w:tcBorders>
                    <w:top w:val="single" w:color="auto" w:sz="4" w:space="0"/>
                    <w:right w:val="single" w:color="auto" w:sz="4" w:space="0"/>
                  </w:tcBorders>
                  <w:vAlign w:val="center"/>
                </w:tcPr>
                <w:p w14:paraId="173828CE">
                  <w:pPr>
                    <w:adjustRightInd w:val="0"/>
                    <w:snapToGrid w:val="0"/>
                    <w:jc w:val="center"/>
                    <w:rPr>
                      <w:color w:val="auto"/>
                      <w:szCs w:val="21"/>
                    </w:rPr>
                  </w:pPr>
                  <w:r>
                    <w:rPr>
                      <w:rFonts w:hint="eastAsia"/>
                      <w:color w:val="auto"/>
                      <w:szCs w:val="21"/>
                    </w:rPr>
                    <w:t>生产车间一</w:t>
                  </w:r>
                </w:p>
              </w:tc>
              <w:tc>
                <w:tcPr>
                  <w:tcW w:w="962" w:type="pct"/>
                  <w:tcBorders>
                    <w:top w:val="single" w:color="auto" w:sz="4" w:space="0"/>
                    <w:left w:val="single" w:color="auto" w:sz="4" w:space="0"/>
                  </w:tcBorders>
                  <w:vAlign w:val="center"/>
                </w:tcPr>
                <w:p w14:paraId="173828CF">
                  <w:pPr>
                    <w:adjustRightInd w:val="0"/>
                    <w:snapToGrid w:val="0"/>
                    <w:jc w:val="center"/>
                    <w:rPr>
                      <w:b/>
                      <w:bCs/>
                      <w:color w:val="auto"/>
                      <w:szCs w:val="21"/>
                    </w:rPr>
                  </w:pPr>
                  <w:r>
                    <w:rPr>
                      <w:bCs/>
                      <w:color w:val="auto"/>
                      <w:kern w:val="0"/>
                      <w:szCs w:val="21"/>
                    </w:rPr>
                    <w:t>颗粒物</w:t>
                  </w:r>
                </w:p>
              </w:tc>
              <w:tc>
                <w:tcPr>
                  <w:tcW w:w="1106" w:type="dxa"/>
                  <w:vAlign w:val="center"/>
                </w:tcPr>
                <w:p w14:paraId="173828D0">
                  <w:pPr>
                    <w:widowControl/>
                    <w:jc w:val="center"/>
                    <w:textAlignment w:val="center"/>
                    <w:rPr>
                      <w:color w:val="auto"/>
                      <w:szCs w:val="21"/>
                    </w:rPr>
                  </w:pPr>
                  <w:r>
                    <w:rPr>
                      <w:color w:val="auto"/>
                      <w:kern w:val="0"/>
                      <w:szCs w:val="21"/>
                      <w:lang w:bidi="ar"/>
                    </w:rPr>
                    <w:t xml:space="preserve">0.0713 </w:t>
                  </w:r>
                </w:p>
              </w:tc>
              <w:tc>
                <w:tcPr>
                  <w:tcW w:w="682" w:type="pct"/>
                  <w:vMerge w:val="restart"/>
                  <w:vAlign w:val="center"/>
                </w:tcPr>
                <w:p w14:paraId="173828D1">
                  <w:pPr>
                    <w:adjustRightInd w:val="0"/>
                    <w:snapToGrid w:val="0"/>
                    <w:jc w:val="center"/>
                    <w:rPr>
                      <w:color w:val="auto"/>
                      <w:szCs w:val="21"/>
                    </w:rPr>
                  </w:pPr>
                  <w:r>
                    <w:rPr>
                      <w:rFonts w:hint="eastAsia"/>
                      <w:color w:val="auto"/>
                      <w:szCs w:val="21"/>
                    </w:rPr>
                    <w:t>432</w:t>
                  </w:r>
                </w:p>
              </w:tc>
              <w:tc>
                <w:tcPr>
                  <w:tcW w:w="634" w:type="pct"/>
                  <w:tcBorders>
                    <w:left w:val="single" w:color="auto" w:sz="4" w:space="0"/>
                  </w:tcBorders>
                  <w:vAlign w:val="center"/>
                </w:tcPr>
                <w:p w14:paraId="173828D2">
                  <w:pPr>
                    <w:adjustRightInd w:val="0"/>
                    <w:snapToGrid w:val="0"/>
                    <w:jc w:val="center"/>
                    <w:rPr>
                      <w:color w:val="auto"/>
                      <w:szCs w:val="21"/>
                    </w:rPr>
                  </w:pPr>
                  <w:r>
                    <w:rPr>
                      <w:rFonts w:hint="eastAsia"/>
                      <w:color w:val="auto"/>
                      <w:szCs w:val="21"/>
                    </w:rPr>
                    <w:t>0.052</w:t>
                  </w:r>
                </w:p>
              </w:tc>
              <w:tc>
                <w:tcPr>
                  <w:tcW w:w="645" w:type="pct"/>
                  <w:vAlign w:val="center"/>
                </w:tcPr>
                <w:p w14:paraId="173828D3">
                  <w:pPr>
                    <w:adjustRightInd w:val="0"/>
                    <w:snapToGrid w:val="0"/>
                    <w:jc w:val="center"/>
                    <w:rPr>
                      <w:color w:val="auto"/>
                      <w:szCs w:val="21"/>
                    </w:rPr>
                  </w:pPr>
                  <w:r>
                    <w:rPr>
                      <w:color w:val="auto"/>
                      <w:szCs w:val="21"/>
                    </w:rPr>
                    <w:t>-</w:t>
                  </w:r>
                </w:p>
              </w:tc>
              <w:tc>
                <w:tcPr>
                  <w:tcW w:w="687" w:type="pct"/>
                  <w:vMerge w:val="restart"/>
                  <w:vAlign w:val="center"/>
                </w:tcPr>
                <w:p w14:paraId="173828D4">
                  <w:pPr>
                    <w:adjustRightInd w:val="0"/>
                    <w:snapToGrid w:val="0"/>
                    <w:jc w:val="center"/>
                    <w:rPr>
                      <w:color w:val="auto"/>
                      <w:szCs w:val="21"/>
                    </w:rPr>
                  </w:pPr>
                  <w:r>
                    <w:rPr>
                      <w:color w:val="auto"/>
                      <w:szCs w:val="21"/>
                    </w:rPr>
                    <w:t>50</w:t>
                  </w:r>
                </w:p>
              </w:tc>
            </w:tr>
            <w:tr w14:paraId="173828DD">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276" w:hRule="atLeast"/>
                <w:jc w:val="center"/>
              </w:trPr>
              <w:tc>
                <w:tcPr>
                  <w:tcW w:w="734" w:type="pct"/>
                  <w:vMerge w:val="continue"/>
                  <w:tcBorders>
                    <w:right w:val="single" w:color="auto" w:sz="4" w:space="0"/>
                  </w:tcBorders>
                  <w:vAlign w:val="center"/>
                </w:tcPr>
                <w:p w14:paraId="173828D6">
                  <w:pPr>
                    <w:adjustRightInd w:val="0"/>
                    <w:snapToGrid w:val="0"/>
                    <w:jc w:val="center"/>
                    <w:rPr>
                      <w:color w:val="auto"/>
                      <w:szCs w:val="21"/>
                    </w:rPr>
                  </w:pPr>
                </w:p>
              </w:tc>
              <w:tc>
                <w:tcPr>
                  <w:tcW w:w="962" w:type="pct"/>
                  <w:tcBorders>
                    <w:top w:val="single" w:color="auto" w:sz="4" w:space="0"/>
                    <w:left w:val="single" w:color="auto" w:sz="4" w:space="0"/>
                  </w:tcBorders>
                  <w:vAlign w:val="center"/>
                </w:tcPr>
                <w:p w14:paraId="173828D7">
                  <w:pPr>
                    <w:adjustRightInd w:val="0"/>
                    <w:snapToGrid w:val="0"/>
                    <w:jc w:val="center"/>
                    <w:rPr>
                      <w:color w:val="auto"/>
                      <w:szCs w:val="21"/>
                    </w:rPr>
                  </w:pPr>
                  <w:r>
                    <w:rPr>
                      <w:rFonts w:hint="eastAsia"/>
                      <w:bCs/>
                      <w:color w:val="auto"/>
                      <w:szCs w:val="21"/>
                    </w:rPr>
                    <w:t>非甲烷总烃</w:t>
                  </w:r>
                </w:p>
              </w:tc>
              <w:tc>
                <w:tcPr>
                  <w:tcW w:w="1106" w:type="dxa"/>
                  <w:vAlign w:val="center"/>
                </w:tcPr>
                <w:p w14:paraId="173828D8">
                  <w:pPr>
                    <w:widowControl/>
                    <w:jc w:val="center"/>
                    <w:textAlignment w:val="center"/>
                    <w:rPr>
                      <w:color w:val="auto"/>
                      <w:szCs w:val="21"/>
                    </w:rPr>
                  </w:pPr>
                  <w:r>
                    <w:rPr>
                      <w:color w:val="auto"/>
                      <w:kern w:val="0"/>
                      <w:szCs w:val="21"/>
                      <w:lang w:bidi="ar"/>
                    </w:rPr>
                    <w:t xml:space="preserve">0.0069 </w:t>
                  </w:r>
                </w:p>
              </w:tc>
              <w:tc>
                <w:tcPr>
                  <w:tcW w:w="682" w:type="pct"/>
                  <w:vMerge w:val="continue"/>
                  <w:vAlign w:val="center"/>
                </w:tcPr>
                <w:p w14:paraId="173828D9">
                  <w:pPr>
                    <w:adjustRightInd w:val="0"/>
                    <w:snapToGrid w:val="0"/>
                    <w:jc w:val="center"/>
                    <w:rPr>
                      <w:color w:val="auto"/>
                      <w:szCs w:val="21"/>
                    </w:rPr>
                  </w:pPr>
                </w:p>
              </w:tc>
              <w:tc>
                <w:tcPr>
                  <w:tcW w:w="634" w:type="pct"/>
                  <w:tcBorders>
                    <w:left w:val="single" w:color="auto" w:sz="4" w:space="0"/>
                  </w:tcBorders>
                  <w:vAlign w:val="center"/>
                </w:tcPr>
                <w:p w14:paraId="173828DA">
                  <w:pPr>
                    <w:adjustRightInd w:val="0"/>
                    <w:snapToGrid w:val="0"/>
                    <w:jc w:val="center"/>
                    <w:rPr>
                      <w:rFonts w:hint="default" w:eastAsia="宋体"/>
                      <w:color w:val="auto"/>
                      <w:szCs w:val="21"/>
                      <w:lang w:val="en-US" w:eastAsia="zh-CN"/>
                    </w:rPr>
                  </w:pPr>
                  <w:r>
                    <w:rPr>
                      <w:rFonts w:hint="eastAsia"/>
                      <w:color w:val="auto"/>
                      <w:szCs w:val="21"/>
                    </w:rPr>
                    <w:t>0.00</w:t>
                  </w:r>
                  <w:r>
                    <w:rPr>
                      <w:rFonts w:hint="eastAsia"/>
                      <w:color w:val="auto"/>
                      <w:szCs w:val="21"/>
                      <w:lang w:val="en-US" w:eastAsia="zh-CN"/>
                    </w:rPr>
                    <w:t>35</w:t>
                  </w:r>
                </w:p>
              </w:tc>
              <w:tc>
                <w:tcPr>
                  <w:tcW w:w="645" w:type="pct"/>
                  <w:vAlign w:val="center"/>
                </w:tcPr>
                <w:p w14:paraId="173828DB">
                  <w:pPr>
                    <w:adjustRightInd w:val="0"/>
                    <w:snapToGrid w:val="0"/>
                    <w:jc w:val="center"/>
                    <w:rPr>
                      <w:color w:val="auto"/>
                      <w:szCs w:val="21"/>
                    </w:rPr>
                  </w:pPr>
                  <w:r>
                    <w:rPr>
                      <w:color w:val="auto"/>
                      <w:szCs w:val="21"/>
                    </w:rPr>
                    <w:t>-</w:t>
                  </w:r>
                </w:p>
              </w:tc>
              <w:tc>
                <w:tcPr>
                  <w:tcW w:w="687" w:type="pct"/>
                  <w:vMerge w:val="continue"/>
                  <w:vAlign w:val="center"/>
                </w:tcPr>
                <w:p w14:paraId="173828DC">
                  <w:pPr>
                    <w:adjustRightInd w:val="0"/>
                    <w:snapToGrid w:val="0"/>
                    <w:jc w:val="center"/>
                    <w:rPr>
                      <w:color w:val="auto"/>
                      <w:szCs w:val="21"/>
                    </w:rPr>
                  </w:pPr>
                </w:p>
              </w:tc>
            </w:tr>
            <w:tr w14:paraId="173828E5">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trHeight w:val="348" w:hRule="atLeast"/>
                <w:jc w:val="center"/>
              </w:trPr>
              <w:tc>
                <w:tcPr>
                  <w:tcW w:w="734" w:type="pct"/>
                  <w:vMerge w:val="continue"/>
                  <w:tcBorders>
                    <w:right w:val="single" w:color="auto" w:sz="4" w:space="0"/>
                  </w:tcBorders>
                  <w:vAlign w:val="center"/>
                </w:tcPr>
                <w:p w14:paraId="173828DE">
                  <w:pPr>
                    <w:adjustRightInd w:val="0"/>
                    <w:snapToGrid w:val="0"/>
                    <w:jc w:val="center"/>
                    <w:rPr>
                      <w:color w:val="auto"/>
                      <w:szCs w:val="21"/>
                    </w:rPr>
                  </w:pPr>
                </w:p>
              </w:tc>
              <w:tc>
                <w:tcPr>
                  <w:tcW w:w="962" w:type="pct"/>
                  <w:tcBorders>
                    <w:top w:val="single" w:color="auto" w:sz="4" w:space="0"/>
                    <w:left w:val="single" w:color="auto" w:sz="4" w:space="0"/>
                  </w:tcBorders>
                  <w:vAlign w:val="center"/>
                </w:tcPr>
                <w:p w14:paraId="173828DF">
                  <w:pPr>
                    <w:adjustRightInd w:val="0"/>
                    <w:snapToGrid w:val="0"/>
                    <w:jc w:val="center"/>
                    <w:rPr>
                      <w:color w:val="auto"/>
                      <w:szCs w:val="21"/>
                    </w:rPr>
                  </w:pPr>
                  <w:r>
                    <w:rPr>
                      <w:rFonts w:hint="eastAsia"/>
                      <w:bCs/>
                      <w:color w:val="auto"/>
                      <w:szCs w:val="21"/>
                    </w:rPr>
                    <w:t>苯乙烯</w:t>
                  </w:r>
                </w:p>
              </w:tc>
              <w:tc>
                <w:tcPr>
                  <w:tcW w:w="1106" w:type="dxa"/>
                  <w:vAlign w:val="center"/>
                </w:tcPr>
                <w:p w14:paraId="173828E0">
                  <w:pPr>
                    <w:widowControl/>
                    <w:jc w:val="center"/>
                    <w:textAlignment w:val="center"/>
                    <w:rPr>
                      <w:color w:val="auto"/>
                      <w:szCs w:val="21"/>
                    </w:rPr>
                  </w:pPr>
                  <w:r>
                    <w:rPr>
                      <w:color w:val="auto"/>
                      <w:kern w:val="0"/>
                      <w:szCs w:val="21"/>
                      <w:lang w:bidi="ar"/>
                    </w:rPr>
                    <w:t xml:space="preserve">0.0010 </w:t>
                  </w:r>
                </w:p>
              </w:tc>
              <w:tc>
                <w:tcPr>
                  <w:tcW w:w="682" w:type="pct"/>
                  <w:vMerge w:val="continue"/>
                  <w:vAlign w:val="center"/>
                </w:tcPr>
                <w:p w14:paraId="173828E1">
                  <w:pPr>
                    <w:adjustRightInd w:val="0"/>
                    <w:snapToGrid w:val="0"/>
                    <w:jc w:val="center"/>
                    <w:rPr>
                      <w:color w:val="auto"/>
                      <w:szCs w:val="21"/>
                    </w:rPr>
                  </w:pPr>
                </w:p>
              </w:tc>
              <w:tc>
                <w:tcPr>
                  <w:tcW w:w="634" w:type="pct"/>
                  <w:tcBorders>
                    <w:left w:val="single" w:color="auto" w:sz="4" w:space="0"/>
                  </w:tcBorders>
                  <w:vAlign w:val="center"/>
                </w:tcPr>
                <w:p w14:paraId="173828E2">
                  <w:pPr>
                    <w:adjustRightInd w:val="0"/>
                    <w:snapToGrid w:val="0"/>
                    <w:jc w:val="center"/>
                    <w:rPr>
                      <w:color w:val="auto"/>
                      <w:szCs w:val="21"/>
                    </w:rPr>
                  </w:pPr>
                  <w:r>
                    <w:rPr>
                      <w:rFonts w:hint="eastAsia"/>
                      <w:color w:val="auto"/>
                      <w:szCs w:val="21"/>
                    </w:rPr>
                    <w:t>0.1</w:t>
                  </w:r>
                </w:p>
              </w:tc>
              <w:tc>
                <w:tcPr>
                  <w:tcW w:w="645" w:type="pct"/>
                  <w:vAlign w:val="center"/>
                </w:tcPr>
                <w:p w14:paraId="173828E3">
                  <w:pPr>
                    <w:adjustRightInd w:val="0"/>
                    <w:snapToGrid w:val="0"/>
                    <w:jc w:val="center"/>
                    <w:rPr>
                      <w:color w:val="auto"/>
                      <w:szCs w:val="21"/>
                    </w:rPr>
                  </w:pPr>
                  <w:r>
                    <w:rPr>
                      <w:rFonts w:hint="eastAsia"/>
                      <w:color w:val="auto"/>
                      <w:szCs w:val="21"/>
                    </w:rPr>
                    <w:t>11.41</w:t>
                  </w:r>
                </w:p>
              </w:tc>
              <w:tc>
                <w:tcPr>
                  <w:tcW w:w="687" w:type="pct"/>
                  <w:vMerge w:val="continue"/>
                  <w:vAlign w:val="center"/>
                </w:tcPr>
                <w:p w14:paraId="173828E4">
                  <w:pPr>
                    <w:adjustRightInd w:val="0"/>
                    <w:snapToGrid w:val="0"/>
                    <w:jc w:val="center"/>
                    <w:rPr>
                      <w:color w:val="auto"/>
                      <w:szCs w:val="21"/>
                    </w:rPr>
                  </w:pPr>
                </w:p>
              </w:tc>
            </w:tr>
          </w:tbl>
          <w:p w14:paraId="173828E6">
            <w:pPr>
              <w:adjustRightInd w:val="0"/>
              <w:snapToGrid w:val="0"/>
              <w:spacing w:line="360" w:lineRule="auto"/>
              <w:ind w:firstLine="480" w:firstLineChars="200"/>
              <w:rPr>
                <w:color w:val="auto"/>
                <w:sz w:val="24"/>
              </w:rPr>
            </w:pPr>
            <w:r>
              <w:rPr>
                <w:color w:val="auto"/>
                <w:sz w:val="24"/>
              </w:rPr>
              <w:t>《大气有害物质无组织排放卫生防护距离推导技术导则》(GB/T</w:t>
            </w:r>
            <w:r>
              <w:rPr>
                <w:rFonts w:hint="eastAsia"/>
                <w:color w:val="auto"/>
                <w:sz w:val="24"/>
              </w:rPr>
              <w:t xml:space="preserve"> </w:t>
            </w:r>
            <w:r>
              <w:rPr>
                <w:color w:val="auto"/>
                <w:sz w:val="24"/>
              </w:rPr>
              <w:t>39499-2020)规定：</w:t>
            </w:r>
            <w:r>
              <w:rPr>
                <w:rFonts w:hint="eastAsia"/>
                <w:color w:val="auto"/>
                <w:sz w:val="24"/>
              </w:rPr>
              <w:t>“</w:t>
            </w:r>
            <w:r>
              <w:rPr>
                <w:color w:val="auto"/>
                <w:sz w:val="24"/>
              </w:rPr>
              <w:t>当目标企业无组织排放存在多种有毒有害污染物时，基于单个污染物的等标排放量</w:t>
            </w:r>
            <w:r>
              <w:rPr>
                <w:rFonts w:hint="eastAsia"/>
                <w:color w:val="auto"/>
                <w:sz w:val="24"/>
              </w:rPr>
              <w:t>（</w:t>
            </w:r>
            <w:r>
              <w:rPr>
                <w:color w:val="auto"/>
                <w:sz w:val="24"/>
              </w:rPr>
              <w:t>Q</w:t>
            </w:r>
            <w:r>
              <w:rPr>
                <w:color w:val="auto"/>
                <w:sz w:val="24"/>
                <w:vertAlign w:val="subscript"/>
              </w:rPr>
              <w:t>c</w:t>
            </w:r>
            <w:r>
              <w:rPr>
                <w:color w:val="auto"/>
                <w:sz w:val="24"/>
              </w:rPr>
              <w:t>/C</w:t>
            </w:r>
            <w:r>
              <w:rPr>
                <w:color w:val="auto"/>
                <w:sz w:val="24"/>
                <w:vertAlign w:val="subscript"/>
              </w:rPr>
              <w:t>m</w:t>
            </w:r>
            <w:r>
              <w:rPr>
                <w:rFonts w:hint="eastAsia"/>
                <w:color w:val="auto"/>
                <w:sz w:val="24"/>
              </w:rPr>
              <w:t>）</w:t>
            </w:r>
            <w:r>
              <w:rPr>
                <w:color w:val="auto"/>
                <w:sz w:val="24"/>
              </w:rPr>
              <w:t>计算结果，优先选择等标排放量最大的污染物为企业无组织排放的主要特征大气有害物质。当前两种污染物的等标排放量相差在10%以内时，需要同时选择这两种特征大气有害物质分别计算卫生防护距离初值。”</w:t>
            </w:r>
          </w:p>
          <w:p w14:paraId="173828E7">
            <w:pPr>
              <w:adjustRightInd w:val="0"/>
              <w:snapToGrid w:val="0"/>
              <w:spacing w:line="360" w:lineRule="auto"/>
              <w:ind w:firstLine="480" w:firstLineChars="200"/>
              <w:rPr>
                <w:color w:val="auto"/>
                <w:sz w:val="24"/>
              </w:rPr>
            </w:pPr>
            <w:r>
              <w:rPr>
                <w:color w:val="auto"/>
                <w:sz w:val="24"/>
              </w:rPr>
              <w:t>由上表可知，</w:t>
            </w:r>
            <w:r>
              <w:rPr>
                <w:rFonts w:hint="eastAsia"/>
                <w:color w:val="auto"/>
                <w:sz w:val="24"/>
              </w:rPr>
              <w:t>生产车间内</w:t>
            </w:r>
            <w:r>
              <w:rPr>
                <w:color w:val="auto"/>
                <w:sz w:val="24"/>
              </w:rPr>
              <w:t>污染物的等标排放量相差10%以上</w:t>
            </w:r>
            <w:r>
              <w:rPr>
                <w:rFonts w:hint="eastAsia"/>
                <w:color w:val="auto"/>
                <w:sz w:val="24"/>
              </w:rPr>
              <w:t>，</w:t>
            </w:r>
            <w:r>
              <w:rPr>
                <w:color w:val="auto"/>
                <w:sz w:val="24"/>
              </w:rPr>
              <w:t>因此</w:t>
            </w:r>
            <w:r>
              <w:rPr>
                <w:rFonts w:hint="eastAsia"/>
                <w:color w:val="auto"/>
                <w:sz w:val="24"/>
              </w:rPr>
              <w:t>生产车间</w:t>
            </w:r>
            <w:r>
              <w:rPr>
                <w:color w:val="auto"/>
                <w:sz w:val="24"/>
              </w:rPr>
              <w:t>选择</w:t>
            </w:r>
            <w:r>
              <w:rPr>
                <w:rFonts w:hint="eastAsia"/>
                <w:color w:val="auto"/>
                <w:sz w:val="24"/>
              </w:rPr>
              <w:t>等标排放量最大的苯乙烯作为特征大气有害物质。</w:t>
            </w:r>
            <w:r>
              <w:rPr>
                <w:rFonts w:hint="eastAsia"/>
                <w:color w:val="auto"/>
                <w:sz w:val="24"/>
                <w:lang w:val="en-US" w:eastAsia="zh-CN"/>
              </w:rPr>
              <w:t>根据建设单位提供的平面布置图，本项目生产车间一包含金属加工区（除锈工序、喷塑工序、烘干固化工序、抛光工序）、玻璃纤维杆生产区（投料搅拌工序、浸纱工序、拉挤固化成型工序、切割工序）、注塑区（注塑工序），生产车间二包含热处理区（热处理工序）、清洗组装区（清洗涂油工序、组装工序），因此，本项目所涉及无组织废气工段均位于生产车间一。</w:t>
            </w:r>
            <w:r>
              <w:rPr>
                <w:color w:val="auto"/>
                <w:sz w:val="24"/>
              </w:rPr>
              <w:t>根据卫生防护距离的计算结果，结合企业平面布置，本项目</w:t>
            </w:r>
            <w:r>
              <w:rPr>
                <w:rFonts w:hint="eastAsia"/>
                <w:color w:val="auto"/>
                <w:sz w:val="24"/>
                <w:lang w:val="en-US" w:eastAsia="zh-CN"/>
              </w:rPr>
              <w:t>应</w:t>
            </w:r>
            <w:r>
              <w:rPr>
                <w:color w:val="auto"/>
                <w:sz w:val="24"/>
              </w:rPr>
              <w:t>以</w:t>
            </w:r>
            <w:r>
              <w:rPr>
                <w:rFonts w:hint="eastAsia"/>
                <w:color w:val="auto"/>
                <w:sz w:val="24"/>
              </w:rPr>
              <w:t>生产车间</w:t>
            </w:r>
            <w:r>
              <w:rPr>
                <w:rFonts w:hint="eastAsia"/>
                <w:color w:val="auto"/>
                <w:sz w:val="24"/>
                <w:lang w:val="en-US" w:eastAsia="zh-CN"/>
              </w:rPr>
              <w:t>一</w:t>
            </w:r>
            <w:r>
              <w:rPr>
                <w:color w:val="auto"/>
                <w:sz w:val="24"/>
              </w:rPr>
              <w:t>为边界设置</w:t>
            </w:r>
            <w:r>
              <w:rPr>
                <w:rFonts w:hint="eastAsia"/>
                <w:color w:val="auto"/>
                <w:sz w:val="24"/>
              </w:rPr>
              <w:t>5</w:t>
            </w:r>
            <w:r>
              <w:rPr>
                <w:color w:val="auto"/>
                <w:sz w:val="24"/>
              </w:rPr>
              <w:t>0m卫生防护距离</w:t>
            </w:r>
            <w:r>
              <w:rPr>
                <w:rFonts w:hint="eastAsia"/>
                <w:color w:val="auto"/>
                <w:sz w:val="24"/>
              </w:rPr>
              <w:t>。</w:t>
            </w:r>
            <w:r>
              <w:rPr>
                <w:color w:val="auto"/>
                <w:sz w:val="24"/>
              </w:rPr>
              <w:t>本项目卫生防护距离内目前无敏感目标，今后亦不得新建居民、学校、医院、食品企业等环境敏感目标。</w:t>
            </w:r>
          </w:p>
          <w:p w14:paraId="4429D8C4">
            <w:pPr>
              <w:widowControl/>
              <w:autoSpaceDE w:val="0"/>
              <w:autoSpaceDN w:val="0"/>
              <w:adjustRightInd w:val="0"/>
              <w:snapToGrid w:val="0"/>
              <w:spacing w:before="120" w:beforeLines="50" w:line="360" w:lineRule="auto"/>
              <w:ind w:firstLine="482"/>
              <w:jc w:val="left"/>
              <w:rPr>
                <w:rFonts w:hint="eastAsia" w:ascii="Times New Roman" w:hAnsi="Times New Roman" w:eastAsia="宋体" w:cs="Times New Roman"/>
                <w:b/>
                <w:bCs/>
                <w:color w:val="auto"/>
                <w:sz w:val="24"/>
                <w:lang w:val="en-US" w:eastAsia="zh-CN"/>
              </w:rPr>
            </w:pPr>
            <w:r>
              <w:rPr>
                <w:rFonts w:hint="eastAsia" w:ascii="Times New Roman" w:hAnsi="Times New Roman" w:eastAsia="宋体" w:cs="Times New Roman"/>
                <w:b/>
                <w:bCs/>
                <w:color w:val="auto"/>
                <w:sz w:val="24"/>
                <w:lang w:val="en-US" w:eastAsia="zh-CN"/>
              </w:rPr>
              <w:t>1.7废气排放环境影响分析</w:t>
            </w:r>
          </w:p>
          <w:p w14:paraId="4FD4F0C0">
            <w:pPr>
              <w:adjustRightInd w:val="0"/>
              <w:snapToGrid w:val="0"/>
              <w:spacing w:line="360" w:lineRule="auto"/>
              <w:ind w:firstLine="480" w:firstLineChars="200"/>
              <w:rPr>
                <w:rFonts w:hint="eastAsia"/>
                <w:color w:val="auto"/>
                <w:sz w:val="24"/>
                <w:lang w:val="en-US" w:eastAsia="zh-CN"/>
              </w:rPr>
            </w:pPr>
            <w:r>
              <w:rPr>
                <w:rFonts w:hint="eastAsia"/>
                <w:color w:val="auto"/>
                <w:sz w:val="24"/>
                <w:lang w:val="en-US" w:eastAsia="zh-CN"/>
              </w:rPr>
              <w:t>根据工程分析结果，采用</w:t>
            </w:r>
            <w:r>
              <w:rPr>
                <w:rFonts w:hint="default"/>
                <w:color w:val="auto"/>
                <w:sz w:val="24"/>
                <w:lang w:val="en-US" w:eastAsia="zh-CN"/>
              </w:rPr>
              <w:t>AERSCREEN</w:t>
            </w:r>
            <w:r>
              <w:rPr>
                <w:rFonts w:hint="eastAsia"/>
                <w:color w:val="auto"/>
                <w:sz w:val="24"/>
                <w:lang w:val="en-US" w:eastAsia="zh-CN"/>
              </w:rPr>
              <w:t>模式预测正常排放情况下，本项目主要点源排放污染因子最大落地浓度、距排放源距离和占标率。经预测可知，本项目废气采取相关措施后，其有组织废气污染源的最大落地浓度占标率小于</w:t>
            </w:r>
            <w:r>
              <w:rPr>
                <w:rFonts w:hint="default"/>
                <w:color w:val="auto"/>
                <w:sz w:val="24"/>
                <w:lang w:val="en-US" w:eastAsia="zh-CN"/>
              </w:rPr>
              <w:t>10%</w:t>
            </w:r>
            <w:r>
              <w:rPr>
                <w:rFonts w:hint="eastAsia"/>
                <w:color w:val="auto"/>
                <w:sz w:val="24"/>
                <w:lang w:val="en-US" w:eastAsia="zh-CN"/>
              </w:rPr>
              <w:t>。因此，项目排放废气对大气环境影响较小。</w:t>
            </w:r>
          </w:p>
          <w:p w14:paraId="2A4C15D6">
            <w:pPr>
              <w:adjustRightInd w:val="0"/>
              <w:snapToGrid w:val="0"/>
              <w:spacing w:line="360" w:lineRule="auto"/>
              <w:ind w:firstLine="480" w:firstLineChars="200"/>
              <w:rPr>
                <w:rFonts w:hint="eastAsia"/>
                <w:color w:val="auto"/>
                <w:sz w:val="24"/>
                <w:lang w:val="en-US" w:eastAsia="zh-CN"/>
              </w:rPr>
            </w:pPr>
            <w:r>
              <w:rPr>
                <w:rFonts w:hint="eastAsia"/>
                <w:color w:val="auto"/>
                <w:sz w:val="24"/>
                <w:lang w:val="en-US" w:eastAsia="zh-CN"/>
              </w:rPr>
              <w:t>根据</w:t>
            </w:r>
            <w:r>
              <w:rPr>
                <w:rFonts w:hint="eastAsia"/>
                <w:color w:val="auto"/>
                <w:sz w:val="24"/>
              </w:rPr>
              <w:t>表3-2主要环境保护目标</w:t>
            </w:r>
            <w:r>
              <w:rPr>
                <w:rFonts w:hint="eastAsia"/>
                <w:color w:val="auto"/>
                <w:sz w:val="24"/>
                <w:lang w:eastAsia="zh-CN"/>
              </w:rPr>
              <w:t>，</w:t>
            </w:r>
            <w:r>
              <w:rPr>
                <w:rFonts w:hint="eastAsia"/>
                <w:color w:val="auto"/>
                <w:sz w:val="24"/>
                <w:lang w:val="en-US" w:eastAsia="zh-CN"/>
              </w:rPr>
              <w:t>距离本项目最近的保护目标为张庄镇，为使周边居民充分了解项目建设对周围环境可能产生的影响，对附近居民进行了公众参与调查（详见附件11），根据公众参与调查表，附近居民认为本项目建设对环境造成的污染程度可以接受，且对自己及家人的正常生活、工作、学习没有影响，该项目的建设对地区经济的发展会产生有利影响，无反对意见。</w:t>
            </w:r>
          </w:p>
          <w:p w14:paraId="50F2D755">
            <w:pPr>
              <w:adjustRightInd w:val="0"/>
              <w:snapToGrid w:val="0"/>
              <w:spacing w:line="360" w:lineRule="auto"/>
              <w:ind w:firstLine="480" w:firstLineChars="200"/>
              <w:rPr>
                <w:rFonts w:hint="default"/>
                <w:color w:val="auto"/>
                <w:sz w:val="24"/>
                <w:lang w:val="en-US" w:eastAsia="zh-CN"/>
              </w:rPr>
            </w:pPr>
            <w:r>
              <w:rPr>
                <w:rFonts w:hint="eastAsia"/>
                <w:color w:val="auto"/>
                <w:sz w:val="24"/>
                <w:lang w:val="en-US" w:eastAsia="zh-CN"/>
              </w:rPr>
              <w:t>本项目建成后，要求建设单位严格按照国家的有关环保法律法规办事，做好污染防治措施和有关环境监控措施，做到污染治理措施建设与项目建设“三同时”，给周围居民一个良好的生活环境。</w:t>
            </w:r>
          </w:p>
          <w:p w14:paraId="173828E8">
            <w:pPr>
              <w:autoSpaceDE w:val="0"/>
              <w:autoSpaceDN w:val="0"/>
              <w:adjustRightInd w:val="0"/>
              <w:snapToGrid w:val="0"/>
              <w:spacing w:line="360" w:lineRule="auto"/>
              <w:ind w:firstLine="482" w:firstLineChars="200"/>
              <w:rPr>
                <w:b/>
                <w:bCs/>
                <w:color w:val="auto"/>
                <w:sz w:val="24"/>
              </w:rPr>
            </w:pPr>
            <w:r>
              <w:rPr>
                <w:b/>
                <w:bCs/>
                <w:color w:val="auto"/>
                <w:sz w:val="24"/>
              </w:rPr>
              <w:t>2</w:t>
            </w:r>
            <w:r>
              <w:rPr>
                <w:rFonts w:hint="eastAsia"/>
                <w:b/>
                <w:bCs/>
                <w:color w:val="auto"/>
                <w:sz w:val="24"/>
              </w:rPr>
              <w:t>、</w:t>
            </w:r>
            <w:r>
              <w:rPr>
                <w:b/>
                <w:bCs/>
                <w:color w:val="auto"/>
                <w:sz w:val="24"/>
              </w:rPr>
              <w:t>水污染物产生分析</w:t>
            </w:r>
          </w:p>
          <w:p w14:paraId="173828E9">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2.1废水污染源源强分析</w:t>
            </w:r>
          </w:p>
          <w:p w14:paraId="173828EB">
            <w:pPr>
              <w:adjustRightInd w:val="0"/>
              <w:snapToGrid w:val="0"/>
              <w:spacing w:line="360" w:lineRule="auto"/>
              <w:ind w:firstLine="480" w:firstLineChars="200"/>
              <w:rPr>
                <w:color w:val="auto"/>
                <w:sz w:val="24"/>
              </w:rPr>
            </w:pPr>
            <w:r>
              <w:rPr>
                <w:color w:val="auto"/>
                <w:sz w:val="24"/>
              </w:rPr>
              <w:t>本项目</w:t>
            </w:r>
            <w:r>
              <w:rPr>
                <w:rFonts w:hint="eastAsia"/>
                <w:color w:val="auto"/>
                <w:sz w:val="24"/>
              </w:rPr>
              <w:t>废水主要为员工生活污水</w:t>
            </w:r>
            <w:r>
              <w:rPr>
                <w:color w:val="auto"/>
                <w:sz w:val="24"/>
              </w:rPr>
              <w:t>。</w:t>
            </w:r>
            <w:r>
              <w:rPr>
                <w:color w:val="auto"/>
                <w:kern w:val="0"/>
                <w:sz w:val="24"/>
              </w:rPr>
              <w:t>本项目劳动定员</w:t>
            </w:r>
            <w:r>
              <w:rPr>
                <w:rFonts w:hint="eastAsia"/>
                <w:color w:val="auto"/>
                <w:kern w:val="0"/>
                <w:sz w:val="24"/>
              </w:rPr>
              <w:t>12</w:t>
            </w:r>
            <w:r>
              <w:rPr>
                <w:color w:val="auto"/>
                <w:kern w:val="0"/>
                <w:sz w:val="24"/>
              </w:rPr>
              <w:t>人，年生产300天，根据《建筑给水排水设计标准》（GB50015-2019），工业企业管理人员与工人生活用水可取30-50L/人·班，本次评价取50L/人·班，则年用水量为</w:t>
            </w:r>
            <w:r>
              <w:rPr>
                <w:rFonts w:hint="eastAsia"/>
                <w:color w:val="auto"/>
                <w:kern w:val="0"/>
                <w:sz w:val="24"/>
              </w:rPr>
              <w:t>180</w:t>
            </w:r>
            <w:r>
              <w:rPr>
                <w:color w:val="auto"/>
                <w:kern w:val="0"/>
                <w:sz w:val="24"/>
              </w:rPr>
              <w:t>m</w:t>
            </w:r>
            <w:r>
              <w:rPr>
                <w:color w:val="auto"/>
                <w:kern w:val="0"/>
                <w:sz w:val="24"/>
                <w:vertAlign w:val="superscript"/>
              </w:rPr>
              <w:t>3</w:t>
            </w:r>
            <w:r>
              <w:rPr>
                <w:color w:val="auto"/>
                <w:kern w:val="0"/>
                <w:sz w:val="24"/>
              </w:rPr>
              <w:t>/a。根据生态环境部发布的《排放源统计调查产排污核算方法和系数手册》（公告 2021年 第24号）</w:t>
            </w:r>
            <w:r>
              <w:rPr>
                <w:rFonts w:hint="eastAsia"/>
                <w:color w:val="auto"/>
                <w:kern w:val="0"/>
                <w:sz w:val="24"/>
              </w:rPr>
              <w:t>“</w:t>
            </w:r>
            <w:r>
              <w:rPr>
                <w:color w:val="auto"/>
                <w:kern w:val="0"/>
                <w:sz w:val="24"/>
              </w:rPr>
              <w:t>附表 生活源产排污核算系数手册</w:t>
            </w:r>
            <w:r>
              <w:rPr>
                <w:rFonts w:hint="eastAsia"/>
                <w:color w:val="auto"/>
                <w:kern w:val="0"/>
                <w:sz w:val="24"/>
              </w:rPr>
              <w:t>”</w:t>
            </w:r>
            <w:r>
              <w:rPr>
                <w:color w:val="auto"/>
                <w:kern w:val="0"/>
                <w:sz w:val="24"/>
              </w:rPr>
              <w:t>中</w:t>
            </w:r>
            <w:r>
              <w:rPr>
                <w:rFonts w:hint="eastAsia"/>
                <w:color w:val="auto"/>
                <w:kern w:val="0"/>
                <w:sz w:val="24"/>
              </w:rPr>
              <w:t>“</w:t>
            </w:r>
            <w:r>
              <w:rPr>
                <w:color w:val="auto"/>
                <w:kern w:val="0"/>
                <w:sz w:val="24"/>
              </w:rPr>
              <w:t>城镇生活污水产生量根据城镇生活用水量和折污系数计算。折污系数为0.8-0.9，其中，人均日生活用水量≤150升/人·天时，折污系数取0.8；人均日生活用水量≥250升/人·天时，取0.9；人均日生活用水量介于150升/人·天和250升/人·天间时，采用插值法确定</w:t>
            </w:r>
            <w:r>
              <w:rPr>
                <w:rFonts w:hint="eastAsia"/>
                <w:color w:val="auto"/>
                <w:kern w:val="0"/>
                <w:sz w:val="24"/>
              </w:rPr>
              <w:t>”</w:t>
            </w:r>
            <w:r>
              <w:rPr>
                <w:color w:val="auto"/>
                <w:kern w:val="0"/>
                <w:sz w:val="24"/>
              </w:rPr>
              <w:t>，因此本次评价生活污水产污系数取0.8，生活污水年产生量为</w:t>
            </w:r>
            <w:r>
              <w:rPr>
                <w:rFonts w:hint="eastAsia"/>
                <w:color w:val="auto"/>
                <w:kern w:val="0"/>
                <w:sz w:val="24"/>
              </w:rPr>
              <w:t>144</w:t>
            </w:r>
            <w:r>
              <w:rPr>
                <w:color w:val="auto"/>
                <w:kern w:val="0"/>
                <w:sz w:val="24"/>
              </w:rPr>
              <w:t>m</w:t>
            </w:r>
            <w:r>
              <w:rPr>
                <w:color w:val="auto"/>
                <w:kern w:val="0"/>
                <w:sz w:val="24"/>
                <w:vertAlign w:val="superscript"/>
              </w:rPr>
              <w:t>3</w:t>
            </w:r>
            <w:r>
              <w:rPr>
                <w:color w:val="auto"/>
                <w:kern w:val="0"/>
                <w:sz w:val="24"/>
              </w:rPr>
              <w:t>/a；根据</w:t>
            </w:r>
            <w:r>
              <w:rPr>
                <w:rFonts w:hint="eastAsia"/>
                <w:color w:val="auto"/>
                <w:kern w:val="0"/>
                <w:sz w:val="24"/>
              </w:rPr>
              <w:t>“</w:t>
            </w:r>
            <w:r>
              <w:rPr>
                <w:color w:val="auto"/>
                <w:kern w:val="0"/>
                <w:sz w:val="24"/>
              </w:rPr>
              <w:t>三、使用说明</w:t>
            </w:r>
            <w:r>
              <w:rPr>
                <w:rFonts w:hint="eastAsia"/>
                <w:color w:val="auto"/>
                <w:kern w:val="0"/>
                <w:sz w:val="24"/>
              </w:rPr>
              <w:t>”</w:t>
            </w:r>
            <w:r>
              <w:rPr>
                <w:color w:val="auto"/>
                <w:kern w:val="0"/>
                <w:sz w:val="24"/>
              </w:rPr>
              <w:t>中</w:t>
            </w:r>
            <w:r>
              <w:rPr>
                <w:rFonts w:hint="eastAsia"/>
                <w:color w:val="auto"/>
                <w:kern w:val="0"/>
                <w:sz w:val="24"/>
              </w:rPr>
              <w:t>“</w:t>
            </w:r>
            <w:r>
              <w:rPr>
                <w:color w:val="auto"/>
                <w:kern w:val="0"/>
                <w:sz w:val="24"/>
              </w:rPr>
              <w:t>1.地理区分四区：上海、江苏、浙江、安徽、江西、福建</w:t>
            </w:r>
            <w:r>
              <w:rPr>
                <w:rFonts w:hint="eastAsia"/>
                <w:color w:val="auto"/>
                <w:kern w:val="0"/>
                <w:sz w:val="24"/>
              </w:rPr>
              <w:t>”</w:t>
            </w:r>
            <w:r>
              <w:rPr>
                <w:color w:val="auto"/>
                <w:kern w:val="0"/>
                <w:sz w:val="24"/>
              </w:rPr>
              <w:t>，本项目位于江苏省内，为四区；根据</w:t>
            </w:r>
            <w:r>
              <w:rPr>
                <w:rFonts w:hint="eastAsia"/>
                <w:color w:val="auto"/>
                <w:kern w:val="0"/>
                <w:sz w:val="24"/>
              </w:rPr>
              <w:t>“</w:t>
            </w:r>
            <w:r>
              <w:rPr>
                <w:color w:val="auto"/>
                <w:kern w:val="0"/>
                <w:sz w:val="24"/>
              </w:rPr>
              <w:t>五、系数表单</w:t>
            </w:r>
            <w:r>
              <w:rPr>
                <w:rFonts w:hint="eastAsia"/>
                <w:color w:val="auto"/>
                <w:kern w:val="0"/>
                <w:sz w:val="24"/>
              </w:rPr>
              <w:t>”</w:t>
            </w:r>
            <w:r>
              <w:rPr>
                <w:color w:val="auto"/>
                <w:kern w:val="0"/>
                <w:sz w:val="24"/>
              </w:rPr>
              <w:t>中</w:t>
            </w:r>
            <w:r>
              <w:rPr>
                <w:rFonts w:hint="eastAsia"/>
                <w:color w:val="auto"/>
                <w:kern w:val="0"/>
                <w:sz w:val="24"/>
              </w:rPr>
              <w:t>“</w:t>
            </w:r>
            <w:r>
              <w:rPr>
                <w:color w:val="auto"/>
                <w:kern w:val="0"/>
                <w:sz w:val="24"/>
              </w:rPr>
              <w:t>表1-1城镇生活源水污染物产生系数中四区：化学需氧量340mg/L、氨氮32.6mg/L、总氮44.8mg/L、总磷4.27mg/L</w:t>
            </w:r>
            <w:r>
              <w:rPr>
                <w:rFonts w:hint="eastAsia"/>
                <w:color w:val="auto"/>
                <w:kern w:val="0"/>
                <w:sz w:val="24"/>
              </w:rPr>
              <w:t>”</w:t>
            </w:r>
            <w:r>
              <w:rPr>
                <w:color w:val="auto"/>
                <w:kern w:val="0"/>
                <w:sz w:val="24"/>
              </w:rPr>
              <w:t>，SS取300mg/L计算。因此本项目生活污水各污染物浓度分别为COD</w:t>
            </w:r>
            <w:r>
              <w:rPr>
                <w:rFonts w:hint="eastAsia"/>
                <w:color w:val="auto"/>
                <w:kern w:val="0"/>
                <w:sz w:val="24"/>
              </w:rPr>
              <w:t xml:space="preserve"> </w:t>
            </w:r>
            <w:r>
              <w:rPr>
                <w:color w:val="auto"/>
                <w:kern w:val="0"/>
                <w:sz w:val="24"/>
              </w:rPr>
              <w:t xml:space="preserve">340.00 </w:t>
            </w:r>
            <w:r>
              <w:rPr>
                <w:color w:val="auto"/>
                <w:kern w:val="0"/>
                <w:sz w:val="24"/>
                <w:lang w:bidi="ar"/>
              </w:rPr>
              <w:t>mg/L</w:t>
            </w:r>
            <w:r>
              <w:rPr>
                <w:color w:val="auto"/>
                <w:kern w:val="0"/>
                <w:sz w:val="24"/>
              </w:rPr>
              <w:t>，SS</w:t>
            </w:r>
            <w:r>
              <w:rPr>
                <w:rFonts w:hint="eastAsia"/>
                <w:color w:val="auto"/>
                <w:kern w:val="0"/>
                <w:sz w:val="24"/>
              </w:rPr>
              <w:t xml:space="preserve"> </w:t>
            </w:r>
            <w:r>
              <w:rPr>
                <w:color w:val="auto"/>
                <w:kern w:val="0"/>
                <w:sz w:val="24"/>
              </w:rPr>
              <w:t>300.00</w:t>
            </w:r>
            <w:r>
              <w:rPr>
                <w:color w:val="auto"/>
                <w:kern w:val="0"/>
                <w:sz w:val="24"/>
                <w:lang w:bidi="ar"/>
              </w:rPr>
              <w:t>mg/L</w:t>
            </w:r>
            <w:r>
              <w:rPr>
                <w:color w:val="auto"/>
                <w:kern w:val="0"/>
                <w:sz w:val="24"/>
              </w:rPr>
              <w:t>，氨氮</w:t>
            </w:r>
            <w:r>
              <w:rPr>
                <w:color w:val="auto"/>
                <w:sz w:val="24"/>
              </w:rPr>
              <w:t>32.60mg/L，总氮44.80mg/L，总磷4.27mg/L。</w:t>
            </w:r>
          </w:p>
          <w:p w14:paraId="173828EC">
            <w:pPr>
              <w:adjustRightInd w:val="0"/>
              <w:snapToGrid w:val="0"/>
              <w:spacing w:line="360" w:lineRule="auto"/>
              <w:ind w:firstLine="480" w:firstLineChars="200"/>
              <w:rPr>
                <w:color w:val="auto"/>
                <w:sz w:val="24"/>
              </w:rPr>
            </w:pPr>
            <w:r>
              <w:rPr>
                <w:rFonts w:hint="eastAsia"/>
                <w:color w:val="auto"/>
                <w:sz w:val="24"/>
              </w:rPr>
              <w:t>本项目废水污染源源强采用《污染源源强核算技术指南 准则》（HJ884-2018）中的产污系数法进行核算。本项目废水污染源强核算结果及相关参数见表4-10，废水类别、污染物及污染治理设施信息表见表4-11。</w:t>
            </w:r>
          </w:p>
          <w:p w14:paraId="173828ED">
            <w:pPr>
              <w:widowControl/>
              <w:adjustRightInd w:val="0"/>
              <w:snapToGrid w:val="0"/>
              <w:jc w:val="center"/>
              <w:rPr>
                <w:b/>
                <w:color w:val="auto"/>
                <w:kern w:val="0"/>
                <w:sz w:val="24"/>
              </w:rPr>
            </w:pPr>
            <w:r>
              <w:rPr>
                <w:b/>
                <w:color w:val="auto"/>
                <w:kern w:val="0"/>
                <w:sz w:val="24"/>
              </w:rPr>
              <w:t>表4</w:t>
            </w:r>
            <w:r>
              <w:rPr>
                <w:rFonts w:hint="eastAsia"/>
                <w:b/>
                <w:color w:val="auto"/>
                <w:kern w:val="0"/>
                <w:sz w:val="24"/>
              </w:rPr>
              <w:t>-10</w:t>
            </w:r>
            <w:r>
              <w:rPr>
                <w:b/>
                <w:color w:val="auto"/>
                <w:kern w:val="0"/>
                <w:sz w:val="24"/>
              </w:rPr>
              <w:t>建设项目废水污染源源强核算结果及相关参数一览表</w:t>
            </w:r>
          </w:p>
          <w:tbl>
            <w:tblPr>
              <w:tblStyle w:val="88"/>
              <w:tblW w:w="5000" w:type="pct"/>
              <w:tblInd w:w="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578"/>
              <w:gridCol w:w="580"/>
              <w:gridCol w:w="439"/>
              <w:gridCol w:w="581"/>
              <w:gridCol w:w="776"/>
              <w:gridCol w:w="691"/>
              <w:gridCol w:w="743"/>
              <w:gridCol w:w="614"/>
              <w:gridCol w:w="760"/>
              <w:gridCol w:w="641"/>
              <w:gridCol w:w="719"/>
              <w:gridCol w:w="753"/>
              <w:gridCol w:w="584"/>
            </w:tblGrid>
            <w:tr w14:paraId="173828F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41" w:type="pct"/>
                  <w:vMerge w:val="restart"/>
                  <w:vAlign w:val="center"/>
                </w:tcPr>
                <w:p w14:paraId="173828EE">
                  <w:pPr>
                    <w:widowControl/>
                    <w:jc w:val="center"/>
                    <w:textAlignment w:val="center"/>
                    <w:rPr>
                      <w:b/>
                      <w:bCs/>
                      <w:color w:val="auto"/>
                      <w:kern w:val="0"/>
                      <w:szCs w:val="21"/>
                      <w:lang w:bidi="ar"/>
                    </w:rPr>
                  </w:pPr>
                  <w:r>
                    <w:rPr>
                      <w:b/>
                      <w:bCs/>
                      <w:color w:val="auto"/>
                      <w:kern w:val="0"/>
                      <w:szCs w:val="21"/>
                      <w:lang w:bidi="ar"/>
                    </w:rPr>
                    <w:t>工序/生产线</w:t>
                  </w:r>
                </w:p>
              </w:tc>
              <w:tc>
                <w:tcPr>
                  <w:tcW w:w="342" w:type="pct"/>
                  <w:vMerge w:val="restart"/>
                  <w:vAlign w:val="center"/>
                </w:tcPr>
                <w:p w14:paraId="173828EF">
                  <w:pPr>
                    <w:widowControl/>
                    <w:jc w:val="center"/>
                    <w:textAlignment w:val="center"/>
                    <w:rPr>
                      <w:b/>
                      <w:bCs/>
                      <w:color w:val="auto"/>
                      <w:kern w:val="0"/>
                      <w:szCs w:val="21"/>
                      <w:lang w:bidi="ar"/>
                    </w:rPr>
                  </w:pPr>
                  <w:r>
                    <w:rPr>
                      <w:b/>
                      <w:bCs/>
                      <w:color w:val="auto"/>
                      <w:kern w:val="0"/>
                      <w:szCs w:val="21"/>
                      <w:lang w:bidi="ar"/>
                    </w:rPr>
                    <w:t>污染物</w:t>
                  </w:r>
                </w:p>
              </w:tc>
              <w:tc>
                <w:tcPr>
                  <w:tcW w:w="1468" w:type="pct"/>
                  <w:gridSpan w:val="4"/>
                  <w:vAlign w:val="center"/>
                </w:tcPr>
                <w:p w14:paraId="173828F0">
                  <w:pPr>
                    <w:widowControl/>
                    <w:jc w:val="center"/>
                    <w:textAlignment w:val="center"/>
                    <w:rPr>
                      <w:b/>
                      <w:bCs/>
                      <w:color w:val="auto"/>
                      <w:kern w:val="0"/>
                      <w:szCs w:val="21"/>
                      <w:lang w:bidi="ar"/>
                    </w:rPr>
                  </w:pPr>
                  <w:r>
                    <w:rPr>
                      <w:b/>
                      <w:bCs/>
                      <w:color w:val="auto"/>
                      <w:kern w:val="0"/>
                      <w:szCs w:val="21"/>
                      <w:lang w:bidi="ar"/>
                    </w:rPr>
                    <w:t>污染物产生</w:t>
                  </w:r>
                </w:p>
              </w:tc>
              <w:tc>
                <w:tcPr>
                  <w:tcW w:w="802" w:type="pct"/>
                  <w:gridSpan w:val="2"/>
                  <w:vAlign w:val="center"/>
                </w:tcPr>
                <w:p w14:paraId="173828F1">
                  <w:pPr>
                    <w:widowControl/>
                    <w:jc w:val="center"/>
                    <w:textAlignment w:val="center"/>
                    <w:rPr>
                      <w:b/>
                      <w:bCs/>
                      <w:color w:val="auto"/>
                      <w:kern w:val="0"/>
                      <w:szCs w:val="21"/>
                      <w:lang w:bidi="ar"/>
                    </w:rPr>
                  </w:pPr>
                  <w:r>
                    <w:rPr>
                      <w:b/>
                      <w:bCs/>
                      <w:color w:val="auto"/>
                      <w:kern w:val="0"/>
                      <w:szCs w:val="21"/>
                      <w:lang w:bidi="ar"/>
                    </w:rPr>
                    <w:t>处理措施</w:t>
                  </w:r>
                </w:p>
              </w:tc>
              <w:tc>
                <w:tcPr>
                  <w:tcW w:w="1698" w:type="pct"/>
                  <w:gridSpan w:val="4"/>
                  <w:vAlign w:val="center"/>
                </w:tcPr>
                <w:p w14:paraId="173828F2">
                  <w:pPr>
                    <w:widowControl/>
                    <w:jc w:val="center"/>
                    <w:textAlignment w:val="center"/>
                    <w:rPr>
                      <w:b/>
                      <w:bCs/>
                      <w:color w:val="auto"/>
                      <w:kern w:val="0"/>
                      <w:szCs w:val="21"/>
                      <w:lang w:bidi="ar"/>
                    </w:rPr>
                  </w:pPr>
                  <w:r>
                    <w:rPr>
                      <w:b/>
                      <w:bCs/>
                      <w:color w:val="auto"/>
                      <w:kern w:val="0"/>
                      <w:szCs w:val="21"/>
                      <w:lang w:bidi="ar"/>
                    </w:rPr>
                    <w:t>排放情况</w:t>
                  </w:r>
                </w:p>
              </w:tc>
              <w:tc>
                <w:tcPr>
                  <w:tcW w:w="345" w:type="pct"/>
                  <w:vMerge w:val="restart"/>
                  <w:vAlign w:val="center"/>
                </w:tcPr>
                <w:p w14:paraId="173828F3">
                  <w:pPr>
                    <w:widowControl/>
                    <w:jc w:val="center"/>
                    <w:rPr>
                      <w:b/>
                      <w:bCs/>
                      <w:color w:val="auto"/>
                      <w:kern w:val="0"/>
                      <w:szCs w:val="21"/>
                      <w:lang w:bidi="ar"/>
                    </w:rPr>
                  </w:pPr>
                  <w:r>
                    <w:rPr>
                      <w:b/>
                      <w:bCs/>
                      <w:color w:val="auto"/>
                      <w:kern w:val="0"/>
                      <w:szCs w:val="21"/>
                      <w:lang w:bidi="ar"/>
                    </w:rPr>
                    <w:t>排放去向</w:t>
                  </w:r>
                </w:p>
              </w:tc>
            </w:tr>
            <w:tr w14:paraId="1738290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41" w:type="pct"/>
                  <w:vMerge w:val="continue"/>
                  <w:vAlign w:val="center"/>
                </w:tcPr>
                <w:p w14:paraId="173828F5">
                  <w:pPr>
                    <w:widowControl/>
                    <w:jc w:val="center"/>
                    <w:textAlignment w:val="center"/>
                    <w:rPr>
                      <w:color w:val="auto"/>
                      <w:kern w:val="0"/>
                      <w:szCs w:val="21"/>
                      <w:lang w:bidi="ar"/>
                    </w:rPr>
                  </w:pPr>
                </w:p>
              </w:tc>
              <w:tc>
                <w:tcPr>
                  <w:tcW w:w="342" w:type="pct"/>
                  <w:vMerge w:val="continue"/>
                  <w:vAlign w:val="center"/>
                </w:tcPr>
                <w:p w14:paraId="173828F6">
                  <w:pPr>
                    <w:widowControl/>
                    <w:jc w:val="center"/>
                    <w:textAlignment w:val="center"/>
                    <w:rPr>
                      <w:color w:val="auto"/>
                      <w:kern w:val="0"/>
                      <w:szCs w:val="21"/>
                      <w:lang w:bidi="ar"/>
                    </w:rPr>
                  </w:pPr>
                </w:p>
              </w:tc>
              <w:tc>
                <w:tcPr>
                  <w:tcW w:w="259" w:type="pct"/>
                  <w:vAlign w:val="center"/>
                </w:tcPr>
                <w:p w14:paraId="173828F7">
                  <w:pPr>
                    <w:widowControl/>
                    <w:jc w:val="center"/>
                    <w:textAlignment w:val="center"/>
                    <w:rPr>
                      <w:b/>
                      <w:bCs/>
                      <w:color w:val="auto"/>
                      <w:kern w:val="0"/>
                      <w:szCs w:val="21"/>
                      <w:lang w:bidi="ar"/>
                    </w:rPr>
                  </w:pPr>
                  <w:r>
                    <w:rPr>
                      <w:b/>
                      <w:bCs/>
                      <w:color w:val="auto"/>
                      <w:kern w:val="0"/>
                      <w:szCs w:val="21"/>
                      <w:lang w:bidi="ar"/>
                    </w:rPr>
                    <w:t>核算方法</w:t>
                  </w:r>
                </w:p>
              </w:tc>
              <w:tc>
                <w:tcPr>
                  <w:tcW w:w="343" w:type="pct"/>
                  <w:vAlign w:val="center"/>
                </w:tcPr>
                <w:p w14:paraId="173828F8">
                  <w:pPr>
                    <w:widowControl/>
                    <w:jc w:val="center"/>
                    <w:textAlignment w:val="center"/>
                    <w:rPr>
                      <w:b/>
                      <w:bCs/>
                      <w:color w:val="auto"/>
                      <w:kern w:val="0"/>
                      <w:szCs w:val="21"/>
                      <w:lang w:bidi="ar"/>
                    </w:rPr>
                  </w:pPr>
                  <w:r>
                    <w:rPr>
                      <w:b/>
                      <w:bCs/>
                      <w:color w:val="auto"/>
                      <w:kern w:val="0"/>
                      <w:szCs w:val="21"/>
                      <w:lang w:bidi="ar"/>
                    </w:rPr>
                    <w:t>废水产生量m</w:t>
                  </w:r>
                  <w:r>
                    <w:rPr>
                      <w:b/>
                      <w:bCs/>
                      <w:color w:val="auto"/>
                      <w:kern w:val="0"/>
                      <w:szCs w:val="21"/>
                      <w:vertAlign w:val="superscript"/>
                      <w:lang w:bidi="ar"/>
                    </w:rPr>
                    <w:t>3</w:t>
                  </w:r>
                  <w:r>
                    <w:rPr>
                      <w:b/>
                      <w:bCs/>
                      <w:color w:val="auto"/>
                      <w:kern w:val="0"/>
                      <w:szCs w:val="21"/>
                      <w:lang w:bidi="ar"/>
                    </w:rPr>
                    <w:t>/a</w:t>
                  </w:r>
                </w:p>
              </w:tc>
              <w:tc>
                <w:tcPr>
                  <w:tcW w:w="458" w:type="pct"/>
                  <w:vAlign w:val="center"/>
                </w:tcPr>
                <w:p w14:paraId="173828F9">
                  <w:pPr>
                    <w:widowControl/>
                    <w:jc w:val="center"/>
                    <w:textAlignment w:val="center"/>
                    <w:rPr>
                      <w:b/>
                      <w:bCs/>
                      <w:color w:val="auto"/>
                      <w:kern w:val="0"/>
                      <w:szCs w:val="21"/>
                      <w:lang w:bidi="ar"/>
                    </w:rPr>
                  </w:pPr>
                  <w:r>
                    <w:rPr>
                      <w:b/>
                      <w:bCs/>
                      <w:color w:val="auto"/>
                      <w:kern w:val="0"/>
                      <w:szCs w:val="21"/>
                      <w:lang w:bidi="ar"/>
                    </w:rPr>
                    <w:t>产生</w:t>
                  </w:r>
                </w:p>
                <w:p w14:paraId="173828FA">
                  <w:pPr>
                    <w:widowControl/>
                    <w:jc w:val="center"/>
                    <w:textAlignment w:val="center"/>
                    <w:rPr>
                      <w:b/>
                      <w:bCs/>
                      <w:color w:val="auto"/>
                      <w:kern w:val="0"/>
                      <w:szCs w:val="21"/>
                      <w:lang w:bidi="ar"/>
                    </w:rPr>
                  </w:pPr>
                  <w:r>
                    <w:rPr>
                      <w:b/>
                      <w:bCs/>
                      <w:color w:val="auto"/>
                      <w:kern w:val="0"/>
                      <w:szCs w:val="21"/>
                      <w:lang w:bidi="ar"/>
                    </w:rPr>
                    <w:t>浓度mg/L</w:t>
                  </w:r>
                </w:p>
              </w:tc>
              <w:tc>
                <w:tcPr>
                  <w:tcW w:w="407" w:type="pct"/>
                  <w:vAlign w:val="center"/>
                </w:tcPr>
                <w:p w14:paraId="173828FB">
                  <w:pPr>
                    <w:widowControl/>
                    <w:jc w:val="center"/>
                    <w:textAlignment w:val="center"/>
                    <w:rPr>
                      <w:b/>
                      <w:bCs/>
                      <w:color w:val="auto"/>
                      <w:kern w:val="0"/>
                      <w:szCs w:val="21"/>
                      <w:lang w:bidi="ar"/>
                    </w:rPr>
                  </w:pPr>
                  <w:r>
                    <w:rPr>
                      <w:b/>
                      <w:bCs/>
                      <w:color w:val="auto"/>
                      <w:kern w:val="0"/>
                      <w:szCs w:val="21"/>
                      <w:lang w:bidi="ar"/>
                    </w:rPr>
                    <w:t>产生量t/a</w:t>
                  </w:r>
                </w:p>
              </w:tc>
              <w:tc>
                <w:tcPr>
                  <w:tcW w:w="439" w:type="pct"/>
                  <w:vAlign w:val="center"/>
                </w:tcPr>
                <w:p w14:paraId="173828FC">
                  <w:pPr>
                    <w:widowControl/>
                    <w:jc w:val="center"/>
                    <w:textAlignment w:val="center"/>
                    <w:rPr>
                      <w:b/>
                      <w:bCs/>
                      <w:color w:val="auto"/>
                      <w:kern w:val="0"/>
                      <w:szCs w:val="21"/>
                      <w:lang w:bidi="ar"/>
                    </w:rPr>
                  </w:pPr>
                  <w:r>
                    <w:rPr>
                      <w:b/>
                      <w:bCs/>
                      <w:color w:val="auto"/>
                      <w:kern w:val="0"/>
                      <w:szCs w:val="21"/>
                      <w:lang w:bidi="ar"/>
                    </w:rPr>
                    <w:t>工艺</w:t>
                  </w:r>
                </w:p>
              </w:tc>
              <w:tc>
                <w:tcPr>
                  <w:tcW w:w="362" w:type="pct"/>
                  <w:vAlign w:val="center"/>
                </w:tcPr>
                <w:p w14:paraId="173828FD">
                  <w:pPr>
                    <w:widowControl/>
                    <w:jc w:val="center"/>
                    <w:textAlignment w:val="center"/>
                    <w:rPr>
                      <w:b/>
                      <w:bCs/>
                      <w:color w:val="auto"/>
                      <w:kern w:val="0"/>
                      <w:szCs w:val="21"/>
                      <w:lang w:bidi="ar"/>
                    </w:rPr>
                  </w:pPr>
                  <w:r>
                    <w:rPr>
                      <w:b/>
                      <w:bCs/>
                      <w:color w:val="auto"/>
                      <w:kern w:val="0"/>
                      <w:szCs w:val="21"/>
                      <w:lang w:bidi="ar"/>
                    </w:rPr>
                    <w:t>效率%</w:t>
                  </w:r>
                </w:p>
              </w:tc>
              <w:tc>
                <w:tcPr>
                  <w:tcW w:w="449" w:type="pct"/>
                  <w:vAlign w:val="center"/>
                </w:tcPr>
                <w:p w14:paraId="173828FE">
                  <w:pPr>
                    <w:widowControl/>
                    <w:jc w:val="center"/>
                    <w:textAlignment w:val="center"/>
                    <w:rPr>
                      <w:b/>
                      <w:bCs/>
                      <w:color w:val="auto"/>
                      <w:kern w:val="0"/>
                      <w:szCs w:val="21"/>
                      <w:lang w:bidi="ar"/>
                    </w:rPr>
                  </w:pPr>
                  <w:r>
                    <w:rPr>
                      <w:b/>
                      <w:bCs/>
                      <w:color w:val="auto"/>
                      <w:kern w:val="0"/>
                      <w:szCs w:val="21"/>
                      <w:lang w:bidi="ar"/>
                    </w:rPr>
                    <w:t>废水量m</w:t>
                  </w:r>
                  <w:r>
                    <w:rPr>
                      <w:b/>
                      <w:bCs/>
                      <w:color w:val="auto"/>
                      <w:kern w:val="0"/>
                      <w:szCs w:val="21"/>
                      <w:vertAlign w:val="superscript"/>
                      <w:lang w:bidi="ar"/>
                    </w:rPr>
                    <w:t>3</w:t>
                  </w:r>
                  <w:r>
                    <w:rPr>
                      <w:b/>
                      <w:bCs/>
                      <w:color w:val="auto"/>
                      <w:kern w:val="0"/>
                      <w:szCs w:val="21"/>
                      <w:lang w:bidi="ar"/>
                    </w:rPr>
                    <w:t>/a</w:t>
                  </w:r>
                </w:p>
              </w:tc>
              <w:tc>
                <w:tcPr>
                  <w:tcW w:w="379" w:type="pct"/>
                  <w:vAlign w:val="center"/>
                </w:tcPr>
                <w:p w14:paraId="173828FF">
                  <w:pPr>
                    <w:widowControl/>
                    <w:jc w:val="center"/>
                    <w:textAlignment w:val="center"/>
                    <w:rPr>
                      <w:b/>
                      <w:bCs/>
                      <w:color w:val="auto"/>
                      <w:kern w:val="0"/>
                      <w:szCs w:val="21"/>
                      <w:lang w:bidi="ar"/>
                    </w:rPr>
                  </w:pPr>
                  <w:r>
                    <w:rPr>
                      <w:b/>
                      <w:bCs/>
                      <w:color w:val="auto"/>
                      <w:kern w:val="0"/>
                      <w:szCs w:val="21"/>
                      <w:lang w:bidi="ar"/>
                    </w:rPr>
                    <w:t>污染物</w:t>
                  </w:r>
                </w:p>
              </w:tc>
              <w:tc>
                <w:tcPr>
                  <w:tcW w:w="425" w:type="pct"/>
                  <w:vAlign w:val="center"/>
                </w:tcPr>
                <w:p w14:paraId="17382900">
                  <w:pPr>
                    <w:widowControl/>
                    <w:jc w:val="center"/>
                    <w:textAlignment w:val="center"/>
                    <w:rPr>
                      <w:b/>
                      <w:bCs/>
                      <w:color w:val="auto"/>
                      <w:kern w:val="0"/>
                      <w:szCs w:val="21"/>
                      <w:lang w:bidi="ar"/>
                    </w:rPr>
                  </w:pPr>
                  <w:r>
                    <w:rPr>
                      <w:b/>
                      <w:bCs/>
                      <w:color w:val="auto"/>
                      <w:kern w:val="0"/>
                      <w:szCs w:val="21"/>
                      <w:lang w:bidi="ar"/>
                    </w:rPr>
                    <w:t>浓度mg/L</w:t>
                  </w:r>
                </w:p>
              </w:tc>
              <w:tc>
                <w:tcPr>
                  <w:tcW w:w="443" w:type="pct"/>
                  <w:vAlign w:val="center"/>
                </w:tcPr>
                <w:p w14:paraId="17382901">
                  <w:pPr>
                    <w:widowControl/>
                    <w:jc w:val="center"/>
                    <w:textAlignment w:val="center"/>
                    <w:rPr>
                      <w:b/>
                      <w:bCs/>
                      <w:color w:val="auto"/>
                      <w:kern w:val="0"/>
                      <w:szCs w:val="21"/>
                      <w:lang w:bidi="ar"/>
                    </w:rPr>
                  </w:pPr>
                  <w:r>
                    <w:rPr>
                      <w:b/>
                      <w:bCs/>
                      <w:color w:val="auto"/>
                      <w:kern w:val="0"/>
                      <w:szCs w:val="21"/>
                      <w:lang w:bidi="ar"/>
                    </w:rPr>
                    <w:t>排放量t/a</w:t>
                  </w:r>
                </w:p>
              </w:tc>
              <w:tc>
                <w:tcPr>
                  <w:tcW w:w="345" w:type="pct"/>
                  <w:vMerge w:val="continue"/>
                  <w:vAlign w:val="center"/>
                </w:tcPr>
                <w:p w14:paraId="17382902">
                  <w:pPr>
                    <w:widowControl/>
                    <w:jc w:val="center"/>
                    <w:rPr>
                      <w:color w:val="auto"/>
                      <w:kern w:val="0"/>
                      <w:szCs w:val="21"/>
                      <w:lang w:bidi="ar"/>
                    </w:rPr>
                  </w:pPr>
                </w:p>
              </w:tc>
            </w:tr>
            <w:tr w14:paraId="1738290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41" w:type="pct"/>
                  <w:vMerge w:val="restart"/>
                  <w:vAlign w:val="center"/>
                </w:tcPr>
                <w:p w14:paraId="17382904">
                  <w:pPr>
                    <w:widowControl/>
                    <w:jc w:val="center"/>
                    <w:textAlignment w:val="center"/>
                    <w:rPr>
                      <w:color w:val="auto"/>
                      <w:kern w:val="0"/>
                      <w:szCs w:val="21"/>
                      <w:lang w:bidi="ar"/>
                    </w:rPr>
                  </w:pPr>
                  <w:r>
                    <w:rPr>
                      <w:color w:val="auto"/>
                      <w:kern w:val="0"/>
                      <w:szCs w:val="21"/>
                      <w:lang w:bidi="ar"/>
                    </w:rPr>
                    <w:t>生活污水</w:t>
                  </w:r>
                </w:p>
              </w:tc>
              <w:tc>
                <w:tcPr>
                  <w:tcW w:w="342" w:type="pct"/>
                  <w:vAlign w:val="center"/>
                </w:tcPr>
                <w:p w14:paraId="17382905">
                  <w:pPr>
                    <w:widowControl/>
                    <w:jc w:val="center"/>
                    <w:textAlignment w:val="center"/>
                    <w:rPr>
                      <w:color w:val="auto"/>
                      <w:kern w:val="0"/>
                      <w:szCs w:val="21"/>
                      <w:lang w:bidi="ar"/>
                    </w:rPr>
                  </w:pPr>
                  <w:r>
                    <w:rPr>
                      <w:color w:val="auto"/>
                      <w:kern w:val="0"/>
                      <w:szCs w:val="21"/>
                      <w:lang w:bidi="ar"/>
                    </w:rPr>
                    <w:t>pH</w:t>
                  </w:r>
                </w:p>
              </w:tc>
              <w:tc>
                <w:tcPr>
                  <w:tcW w:w="259" w:type="pct"/>
                  <w:vMerge w:val="restart"/>
                  <w:vAlign w:val="center"/>
                </w:tcPr>
                <w:p w14:paraId="17382906">
                  <w:pPr>
                    <w:widowControl/>
                    <w:jc w:val="center"/>
                    <w:textAlignment w:val="center"/>
                    <w:rPr>
                      <w:color w:val="auto"/>
                      <w:kern w:val="0"/>
                      <w:szCs w:val="21"/>
                      <w:lang w:bidi="ar"/>
                    </w:rPr>
                  </w:pPr>
                  <w:r>
                    <w:rPr>
                      <w:color w:val="auto"/>
                      <w:kern w:val="0"/>
                      <w:szCs w:val="21"/>
                      <w:lang w:bidi="ar"/>
                    </w:rPr>
                    <w:t>类比法</w:t>
                  </w:r>
                </w:p>
              </w:tc>
              <w:tc>
                <w:tcPr>
                  <w:tcW w:w="343" w:type="pct"/>
                  <w:vMerge w:val="restart"/>
                  <w:vAlign w:val="center"/>
                </w:tcPr>
                <w:p w14:paraId="17382907">
                  <w:pPr>
                    <w:widowControl/>
                    <w:jc w:val="center"/>
                    <w:textAlignment w:val="center"/>
                    <w:rPr>
                      <w:color w:val="auto"/>
                      <w:kern w:val="0"/>
                      <w:szCs w:val="21"/>
                      <w:lang w:bidi="ar"/>
                    </w:rPr>
                  </w:pPr>
                  <w:r>
                    <w:rPr>
                      <w:rFonts w:hint="eastAsia"/>
                      <w:color w:val="auto"/>
                      <w:kern w:val="0"/>
                      <w:szCs w:val="21"/>
                      <w:lang w:bidi="ar"/>
                    </w:rPr>
                    <w:t>144</w:t>
                  </w:r>
                </w:p>
              </w:tc>
              <w:tc>
                <w:tcPr>
                  <w:tcW w:w="865" w:type="pct"/>
                  <w:gridSpan w:val="2"/>
                  <w:vAlign w:val="center"/>
                </w:tcPr>
                <w:p w14:paraId="17382908">
                  <w:pPr>
                    <w:widowControl/>
                    <w:jc w:val="center"/>
                    <w:textAlignment w:val="center"/>
                    <w:rPr>
                      <w:color w:val="auto"/>
                      <w:kern w:val="0"/>
                      <w:szCs w:val="21"/>
                      <w:lang w:bidi="ar"/>
                    </w:rPr>
                  </w:pPr>
                  <w:r>
                    <w:rPr>
                      <w:color w:val="auto"/>
                      <w:kern w:val="0"/>
                      <w:szCs w:val="21"/>
                      <w:lang w:bidi="ar"/>
                    </w:rPr>
                    <w:t>6~9</w:t>
                  </w:r>
                </w:p>
              </w:tc>
              <w:tc>
                <w:tcPr>
                  <w:tcW w:w="439" w:type="pct"/>
                  <w:vMerge w:val="restart"/>
                  <w:noWrap/>
                  <w:vAlign w:val="center"/>
                </w:tcPr>
                <w:p w14:paraId="17382909">
                  <w:pPr>
                    <w:widowControl/>
                    <w:jc w:val="center"/>
                    <w:textAlignment w:val="center"/>
                    <w:rPr>
                      <w:color w:val="auto"/>
                      <w:kern w:val="0"/>
                      <w:szCs w:val="21"/>
                      <w:lang w:bidi="ar"/>
                    </w:rPr>
                  </w:pPr>
                  <w:r>
                    <w:rPr>
                      <w:color w:val="auto"/>
                      <w:kern w:val="0"/>
                      <w:szCs w:val="21"/>
                      <w:lang w:bidi="ar"/>
                    </w:rPr>
                    <w:t>化粪池</w:t>
                  </w:r>
                </w:p>
              </w:tc>
              <w:tc>
                <w:tcPr>
                  <w:tcW w:w="362" w:type="pct"/>
                  <w:vAlign w:val="center"/>
                </w:tcPr>
                <w:p w14:paraId="1738290A">
                  <w:pPr>
                    <w:widowControl/>
                    <w:jc w:val="center"/>
                    <w:textAlignment w:val="center"/>
                    <w:rPr>
                      <w:color w:val="auto"/>
                      <w:kern w:val="0"/>
                      <w:szCs w:val="21"/>
                      <w:lang w:bidi="ar"/>
                    </w:rPr>
                  </w:pPr>
                  <w:r>
                    <w:rPr>
                      <w:color w:val="auto"/>
                      <w:kern w:val="0"/>
                      <w:szCs w:val="21"/>
                      <w:lang w:bidi="ar"/>
                    </w:rPr>
                    <w:t>/</w:t>
                  </w:r>
                </w:p>
              </w:tc>
              <w:tc>
                <w:tcPr>
                  <w:tcW w:w="449" w:type="pct"/>
                  <w:vMerge w:val="restart"/>
                  <w:vAlign w:val="center"/>
                </w:tcPr>
                <w:p w14:paraId="1738290B">
                  <w:pPr>
                    <w:widowControl/>
                    <w:jc w:val="center"/>
                    <w:textAlignment w:val="center"/>
                    <w:rPr>
                      <w:color w:val="auto"/>
                      <w:kern w:val="0"/>
                      <w:szCs w:val="21"/>
                      <w:lang w:bidi="ar"/>
                    </w:rPr>
                  </w:pPr>
                  <w:r>
                    <w:rPr>
                      <w:rFonts w:hint="eastAsia"/>
                      <w:color w:val="auto"/>
                      <w:kern w:val="0"/>
                      <w:szCs w:val="21"/>
                      <w:lang w:bidi="ar"/>
                    </w:rPr>
                    <w:t>144</w:t>
                  </w:r>
                </w:p>
              </w:tc>
              <w:tc>
                <w:tcPr>
                  <w:tcW w:w="379" w:type="pct"/>
                  <w:vAlign w:val="center"/>
                </w:tcPr>
                <w:p w14:paraId="1738290C">
                  <w:pPr>
                    <w:widowControl/>
                    <w:jc w:val="center"/>
                    <w:textAlignment w:val="center"/>
                    <w:rPr>
                      <w:color w:val="auto"/>
                      <w:kern w:val="0"/>
                      <w:szCs w:val="21"/>
                      <w:lang w:bidi="ar"/>
                    </w:rPr>
                  </w:pPr>
                  <w:r>
                    <w:rPr>
                      <w:color w:val="auto"/>
                      <w:kern w:val="0"/>
                      <w:szCs w:val="21"/>
                      <w:lang w:bidi="ar"/>
                    </w:rPr>
                    <w:t>pH</w:t>
                  </w:r>
                </w:p>
              </w:tc>
              <w:tc>
                <w:tcPr>
                  <w:tcW w:w="869" w:type="pct"/>
                  <w:gridSpan w:val="2"/>
                  <w:vAlign w:val="center"/>
                </w:tcPr>
                <w:p w14:paraId="1738290D">
                  <w:pPr>
                    <w:widowControl/>
                    <w:jc w:val="center"/>
                    <w:textAlignment w:val="center"/>
                    <w:rPr>
                      <w:color w:val="auto"/>
                      <w:kern w:val="0"/>
                      <w:szCs w:val="21"/>
                      <w:lang w:bidi="ar"/>
                    </w:rPr>
                  </w:pPr>
                  <w:r>
                    <w:rPr>
                      <w:color w:val="auto"/>
                      <w:kern w:val="0"/>
                      <w:szCs w:val="21"/>
                      <w:lang w:bidi="ar"/>
                    </w:rPr>
                    <w:t>6~9</w:t>
                  </w:r>
                </w:p>
              </w:tc>
              <w:tc>
                <w:tcPr>
                  <w:tcW w:w="345" w:type="pct"/>
                  <w:vMerge w:val="restart"/>
                  <w:vAlign w:val="center"/>
                </w:tcPr>
                <w:p w14:paraId="1738290E">
                  <w:pPr>
                    <w:widowControl/>
                    <w:jc w:val="center"/>
                    <w:rPr>
                      <w:rFonts w:hint="eastAsia" w:eastAsia="宋体"/>
                      <w:color w:val="auto"/>
                      <w:kern w:val="0"/>
                      <w:szCs w:val="21"/>
                      <w:lang w:eastAsia="zh-CN" w:bidi="ar"/>
                    </w:rPr>
                  </w:pPr>
                  <w:r>
                    <w:rPr>
                      <w:rFonts w:hint="eastAsia"/>
                      <w:color w:val="auto"/>
                      <w:kern w:val="0"/>
                      <w:szCs w:val="21"/>
                      <w:lang w:bidi="ar"/>
                    </w:rPr>
                    <w:t>用作</w:t>
                  </w:r>
                  <w:r>
                    <w:rPr>
                      <w:rFonts w:hint="eastAsia"/>
                      <w:color w:val="auto"/>
                      <w:kern w:val="0"/>
                      <w:szCs w:val="21"/>
                      <w:lang w:val="en-US" w:eastAsia="zh-CN" w:bidi="ar"/>
                    </w:rPr>
                    <w:t>农田灌溉</w:t>
                  </w:r>
                </w:p>
              </w:tc>
            </w:tr>
            <w:tr w14:paraId="1738291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41" w:type="pct"/>
                  <w:vMerge w:val="continue"/>
                  <w:vAlign w:val="center"/>
                </w:tcPr>
                <w:p w14:paraId="17382910">
                  <w:pPr>
                    <w:widowControl/>
                    <w:jc w:val="center"/>
                    <w:textAlignment w:val="center"/>
                    <w:rPr>
                      <w:color w:val="auto"/>
                      <w:kern w:val="0"/>
                      <w:szCs w:val="21"/>
                      <w:lang w:bidi="ar"/>
                    </w:rPr>
                  </w:pPr>
                </w:p>
              </w:tc>
              <w:tc>
                <w:tcPr>
                  <w:tcW w:w="342" w:type="pct"/>
                  <w:vAlign w:val="center"/>
                </w:tcPr>
                <w:p w14:paraId="17382911">
                  <w:pPr>
                    <w:widowControl/>
                    <w:jc w:val="center"/>
                    <w:textAlignment w:val="center"/>
                    <w:rPr>
                      <w:color w:val="auto"/>
                      <w:kern w:val="0"/>
                      <w:szCs w:val="21"/>
                      <w:lang w:bidi="ar"/>
                    </w:rPr>
                  </w:pPr>
                  <w:r>
                    <w:rPr>
                      <w:color w:val="auto"/>
                      <w:kern w:val="0"/>
                      <w:szCs w:val="21"/>
                      <w:lang w:bidi="ar"/>
                    </w:rPr>
                    <w:t>COD</w:t>
                  </w:r>
                </w:p>
              </w:tc>
              <w:tc>
                <w:tcPr>
                  <w:tcW w:w="259" w:type="pct"/>
                  <w:vMerge w:val="continue"/>
                  <w:vAlign w:val="center"/>
                </w:tcPr>
                <w:p w14:paraId="17382912">
                  <w:pPr>
                    <w:widowControl/>
                    <w:jc w:val="center"/>
                    <w:textAlignment w:val="center"/>
                    <w:rPr>
                      <w:color w:val="auto"/>
                      <w:kern w:val="0"/>
                      <w:szCs w:val="21"/>
                      <w:lang w:bidi="ar"/>
                    </w:rPr>
                  </w:pPr>
                </w:p>
              </w:tc>
              <w:tc>
                <w:tcPr>
                  <w:tcW w:w="343" w:type="pct"/>
                  <w:vMerge w:val="continue"/>
                  <w:vAlign w:val="center"/>
                </w:tcPr>
                <w:p w14:paraId="17382913">
                  <w:pPr>
                    <w:widowControl/>
                    <w:jc w:val="center"/>
                    <w:textAlignment w:val="center"/>
                    <w:rPr>
                      <w:color w:val="auto"/>
                      <w:kern w:val="0"/>
                      <w:szCs w:val="21"/>
                      <w:lang w:bidi="ar"/>
                    </w:rPr>
                  </w:pPr>
                </w:p>
              </w:tc>
              <w:tc>
                <w:tcPr>
                  <w:tcW w:w="458" w:type="pct"/>
                  <w:noWrap/>
                  <w:vAlign w:val="center"/>
                </w:tcPr>
                <w:p w14:paraId="17382914">
                  <w:pPr>
                    <w:widowControl/>
                    <w:jc w:val="center"/>
                    <w:textAlignment w:val="center"/>
                    <w:rPr>
                      <w:color w:val="auto"/>
                      <w:kern w:val="0"/>
                      <w:szCs w:val="21"/>
                      <w:lang w:bidi="ar"/>
                    </w:rPr>
                  </w:pPr>
                  <w:r>
                    <w:rPr>
                      <w:color w:val="auto"/>
                      <w:kern w:val="0"/>
                      <w:szCs w:val="21"/>
                      <w:lang w:bidi="ar"/>
                    </w:rPr>
                    <w:t xml:space="preserve">340.0 </w:t>
                  </w:r>
                </w:p>
              </w:tc>
              <w:tc>
                <w:tcPr>
                  <w:tcW w:w="690" w:type="dxa"/>
                  <w:vAlign w:val="center"/>
                </w:tcPr>
                <w:p w14:paraId="17382915">
                  <w:pPr>
                    <w:widowControl/>
                    <w:jc w:val="center"/>
                    <w:textAlignment w:val="center"/>
                    <w:rPr>
                      <w:color w:val="auto"/>
                      <w:kern w:val="0"/>
                      <w:szCs w:val="21"/>
                      <w:lang w:bidi="ar"/>
                    </w:rPr>
                  </w:pPr>
                  <w:r>
                    <w:rPr>
                      <w:color w:val="auto"/>
                      <w:kern w:val="0"/>
                      <w:szCs w:val="21"/>
                      <w:lang w:bidi="ar"/>
                    </w:rPr>
                    <w:t xml:space="preserve">0.0490 </w:t>
                  </w:r>
                </w:p>
              </w:tc>
              <w:tc>
                <w:tcPr>
                  <w:tcW w:w="439" w:type="pct"/>
                  <w:vMerge w:val="continue"/>
                  <w:vAlign w:val="center"/>
                </w:tcPr>
                <w:p w14:paraId="17382916">
                  <w:pPr>
                    <w:widowControl/>
                    <w:jc w:val="center"/>
                    <w:textAlignment w:val="center"/>
                    <w:rPr>
                      <w:color w:val="auto"/>
                      <w:kern w:val="0"/>
                      <w:szCs w:val="21"/>
                      <w:lang w:bidi="ar"/>
                    </w:rPr>
                  </w:pPr>
                </w:p>
              </w:tc>
              <w:tc>
                <w:tcPr>
                  <w:tcW w:w="362" w:type="pct"/>
                  <w:vAlign w:val="center"/>
                </w:tcPr>
                <w:p w14:paraId="17382917">
                  <w:pPr>
                    <w:widowControl/>
                    <w:jc w:val="center"/>
                    <w:textAlignment w:val="center"/>
                    <w:rPr>
                      <w:color w:val="auto"/>
                      <w:kern w:val="0"/>
                      <w:szCs w:val="21"/>
                      <w:lang w:bidi="ar"/>
                    </w:rPr>
                  </w:pPr>
                  <w:r>
                    <w:rPr>
                      <w:rFonts w:hint="eastAsia"/>
                      <w:color w:val="auto"/>
                      <w:kern w:val="0"/>
                      <w:szCs w:val="21"/>
                      <w:lang w:bidi="ar"/>
                    </w:rPr>
                    <w:t>43</w:t>
                  </w:r>
                </w:p>
              </w:tc>
              <w:tc>
                <w:tcPr>
                  <w:tcW w:w="449" w:type="pct"/>
                  <w:vMerge w:val="continue"/>
                  <w:vAlign w:val="center"/>
                </w:tcPr>
                <w:p w14:paraId="17382918">
                  <w:pPr>
                    <w:widowControl/>
                    <w:jc w:val="center"/>
                    <w:textAlignment w:val="center"/>
                    <w:rPr>
                      <w:color w:val="auto"/>
                      <w:kern w:val="0"/>
                      <w:szCs w:val="21"/>
                      <w:lang w:bidi="ar"/>
                    </w:rPr>
                  </w:pPr>
                </w:p>
              </w:tc>
              <w:tc>
                <w:tcPr>
                  <w:tcW w:w="379" w:type="pct"/>
                  <w:vAlign w:val="center"/>
                </w:tcPr>
                <w:p w14:paraId="17382919">
                  <w:pPr>
                    <w:widowControl/>
                    <w:jc w:val="center"/>
                    <w:textAlignment w:val="center"/>
                    <w:rPr>
                      <w:color w:val="auto"/>
                      <w:kern w:val="0"/>
                      <w:szCs w:val="21"/>
                      <w:lang w:bidi="ar"/>
                    </w:rPr>
                  </w:pPr>
                  <w:r>
                    <w:rPr>
                      <w:color w:val="auto"/>
                      <w:kern w:val="0"/>
                      <w:szCs w:val="21"/>
                      <w:lang w:bidi="ar"/>
                    </w:rPr>
                    <w:t>COD</w:t>
                  </w:r>
                </w:p>
              </w:tc>
              <w:tc>
                <w:tcPr>
                  <w:tcW w:w="425" w:type="pct"/>
                  <w:vAlign w:val="center"/>
                </w:tcPr>
                <w:p w14:paraId="1738291A">
                  <w:pPr>
                    <w:widowControl/>
                    <w:jc w:val="center"/>
                    <w:textAlignment w:val="center"/>
                    <w:rPr>
                      <w:color w:val="auto"/>
                      <w:kern w:val="0"/>
                      <w:szCs w:val="21"/>
                      <w:lang w:bidi="ar"/>
                    </w:rPr>
                  </w:pPr>
                  <w:r>
                    <w:rPr>
                      <w:color w:val="auto"/>
                      <w:kern w:val="0"/>
                      <w:szCs w:val="21"/>
                      <w:lang w:bidi="ar"/>
                    </w:rPr>
                    <w:t xml:space="preserve">193.8 </w:t>
                  </w:r>
                </w:p>
              </w:tc>
              <w:tc>
                <w:tcPr>
                  <w:tcW w:w="751" w:type="dxa"/>
                  <w:vAlign w:val="center"/>
                </w:tcPr>
                <w:p w14:paraId="1738291B">
                  <w:pPr>
                    <w:widowControl/>
                    <w:jc w:val="center"/>
                    <w:textAlignment w:val="center"/>
                    <w:rPr>
                      <w:color w:val="auto"/>
                      <w:kern w:val="0"/>
                      <w:szCs w:val="21"/>
                      <w:lang w:bidi="ar"/>
                    </w:rPr>
                  </w:pPr>
                  <w:r>
                    <w:rPr>
                      <w:color w:val="auto"/>
                      <w:kern w:val="0"/>
                      <w:szCs w:val="21"/>
                      <w:lang w:bidi="ar"/>
                    </w:rPr>
                    <w:t xml:space="preserve">0.0279 </w:t>
                  </w:r>
                </w:p>
              </w:tc>
              <w:tc>
                <w:tcPr>
                  <w:tcW w:w="345" w:type="pct"/>
                  <w:vMerge w:val="continue"/>
                  <w:vAlign w:val="center"/>
                </w:tcPr>
                <w:p w14:paraId="1738291C">
                  <w:pPr>
                    <w:widowControl/>
                    <w:jc w:val="center"/>
                    <w:rPr>
                      <w:color w:val="auto"/>
                      <w:kern w:val="0"/>
                      <w:szCs w:val="21"/>
                      <w:lang w:bidi="ar"/>
                    </w:rPr>
                  </w:pPr>
                </w:p>
              </w:tc>
            </w:tr>
            <w:tr w14:paraId="1738292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41" w:type="pct"/>
                  <w:vMerge w:val="continue"/>
                  <w:vAlign w:val="center"/>
                </w:tcPr>
                <w:p w14:paraId="1738291E">
                  <w:pPr>
                    <w:widowControl/>
                    <w:jc w:val="center"/>
                    <w:textAlignment w:val="center"/>
                    <w:rPr>
                      <w:color w:val="auto"/>
                      <w:kern w:val="0"/>
                      <w:szCs w:val="21"/>
                      <w:lang w:bidi="ar"/>
                    </w:rPr>
                  </w:pPr>
                </w:p>
              </w:tc>
              <w:tc>
                <w:tcPr>
                  <w:tcW w:w="342" w:type="pct"/>
                  <w:vAlign w:val="center"/>
                </w:tcPr>
                <w:p w14:paraId="1738291F">
                  <w:pPr>
                    <w:widowControl/>
                    <w:jc w:val="center"/>
                    <w:textAlignment w:val="center"/>
                    <w:rPr>
                      <w:color w:val="auto"/>
                      <w:kern w:val="0"/>
                      <w:szCs w:val="21"/>
                      <w:lang w:bidi="ar"/>
                    </w:rPr>
                  </w:pPr>
                  <w:r>
                    <w:rPr>
                      <w:color w:val="auto"/>
                      <w:kern w:val="0"/>
                      <w:szCs w:val="21"/>
                      <w:lang w:bidi="ar"/>
                    </w:rPr>
                    <w:t>SS</w:t>
                  </w:r>
                </w:p>
              </w:tc>
              <w:tc>
                <w:tcPr>
                  <w:tcW w:w="259" w:type="pct"/>
                  <w:vMerge w:val="continue"/>
                  <w:vAlign w:val="center"/>
                </w:tcPr>
                <w:p w14:paraId="17382920">
                  <w:pPr>
                    <w:widowControl/>
                    <w:jc w:val="center"/>
                    <w:textAlignment w:val="center"/>
                    <w:rPr>
                      <w:color w:val="auto"/>
                      <w:kern w:val="0"/>
                      <w:szCs w:val="21"/>
                      <w:lang w:bidi="ar"/>
                    </w:rPr>
                  </w:pPr>
                </w:p>
              </w:tc>
              <w:tc>
                <w:tcPr>
                  <w:tcW w:w="343" w:type="pct"/>
                  <w:vMerge w:val="continue"/>
                  <w:vAlign w:val="center"/>
                </w:tcPr>
                <w:p w14:paraId="17382921">
                  <w:pPr>
                    <w:widowControl/>
                    <w:jc w:val="center"/>
                    <w:textAlignment w:val="center"/>
                    <w:rPr>
                      <w:color w:val="auto"/>
                      <w:kern w:val="0"/>
                      <w:szCs w:val="21"/>
                      <w:lang w:bidi="ar"/>
                    </w:rPr>
                  </w:pPr>
                </w:p>
              </w:tc>
              <w:tc>
                <w:tcPr>
                  <w:tcW w:w="458" w:type="pct"/>
                  <w:noWrap/>
                  <w:vAlign w:val="center"/>
                </w:tcPr>
                <w:p w14:paraId="17382922">
                  <w:pPr>
                    <w:widowControl/>
                    <w:jc w:val="center"/>
                    <w:textAlignment w:val="center"/>
                    <w:rPr>
                      <w:color w:val="auto"/>
                      <w:kern w:val="0"/>
                      <w:szCs w:val="21"/>
                      <w:lang w:bidi="ar"/>
                    </w:rPr>
                  </w:pPr>
                  <w:r>
                    <w:rPr>
                      <w:color w:val="auto"/>
                      <w:kern w:val="0"/>
                      <w:szCs w:val="21"/>
                      <w:lang w:bidi="ar"/>
                    </w:rPr>
                    <w:t xml:space="preserve">300.0 </w:t>
                  </w:r>
                </w:p>
              </w:tc>
              <w:tc>
                <w:tcPr>
                  <w:tcW w:w="690" w:type="dxa"/>
                  <w:vAlign w:val="center"/>
                </w:tcPr>
                <w:p w14:paraId="17382923">
                  <w:pPr>
                    <w:widowControl/>
                    <w:jc w:val="center"/>
                    <w:textAlignment w:val="center"/>
                    <w:rPr>
                      <w:color w:val="auto"/>
                      <w:kern w:val="0"/>
                      <w:szCs w:val="21"/>
                      <w:lang w:bidi="ar"/>
                    </w:rPr>
                  </w:pPr>
                  <w:r>
                    <w:rPr>
                      <w:color w:val="auto"/>
                      <w:kern w:val="0"/>
                      <w:szCs w:val="21"/>
                      <w:lang w:bidi="ar"/>
                    </w:rPr>
                    <w:t xml:space="preserve">0.0432 </w:t>
                  </w:r>
                </w:p>
              </w:tc>
              <w:tc>
                <w:tcPr>
                  <w:tcW w:w="439" w:type="pct"/>
                  <w:vMerge w:val="continue"/>
                  <w:vAlign w:val="center"/>
                </w:tcPr>
                <w:p w14:paraId="17382924">
                  <w:pPr>
                    <w:widowControl/>
                    <w:jc w:val="center"/>
                    <w:textAlignment w:val="center"/>
                    <w:rPr>
                      <w:color w:val="auto"/>
                      <w:kern w:val="0"/>
                      <w:szCs w:val="21"/>
                      <w:lang w:bidi="ar"/>
                    </w:rPr>
                  </w:pPr>
                </w:p>
              </w:tc>
              <w:tc>
                <w:tcPr>
                  <w:tcW w:w="362" w:type="pct"/>
                  <w:vAlign w:val="center"/>
                </w:tcPr>
                <w:p w14:paraId="17382925">
                  <w:pPr>
                    <w:widowControl/>
                    <w:jc w:val="center"/>
                    <w:textAlignment w:val="center"/>
                    <w:rPr>
                      <w:color w:val="auto"/>
                      <w:kern w:val="0"/>
                      <w:szCs w:val="21"/>
                      <w:lang w:bidi="ar"/>
                    </w:rPr>
                  </w:pPr>
                  <w:r>
                    <w:rPr>
                      <w:rFonts w:hint="eastAsia"/>
                      <w:color w:val="auto"/>
                      <w:kern w:val="0"/>
                      <w:szCs w:val="21"/>
                      <w:lang w:bidi="ar"/>
                    </w:rPr>
                    <w:t>55</w:t>
                  </w:r>
                </w:p>
              </w:tc>
              <w:tc>
                <w:tcPr>
                  <w:tcW w:w="449" w:type="pct"/>
                  <w:vMerge w:val="continue"/>
                  <w:vAlign w:val="center"/>
                </w:tcPr>
                <w:p w14:paraId="17382926">
                  <w:pPr>
                    <w:widowControl/>
                    <w:jc w:val="center"/>
                    <w:textAlignment w:val="center"/>
                    <w:rPr>
                      <w:color w:val="auto"/>
                      <w:kern w:val="0"/>
                      <w:szCs w:val="21"/>
                      <w:lang w:bidi="ar"/>
                    </w:rPr>
                  </w:pPr>
                </w:p>
              </w:tc>
              <w:tc>
                <w:tcPr>
                  <w:tcW w:w="379" w:type="pct"/>
                  <w:vAlign w:val="center"/>
                </w:tcPr>
                <w:p w14:paraId="17382927">
                  <w:pPr>
                    <w:widowControl/>
                    <w:jc w:val="center"/>
                    <w:textAlignment w:val="center"/>
                    <w:rPr>
                      <w:color w:val="auto"/>
                      <w:kern w:val="0"/>
                      <w:szCs w:val="21"/>
                      <w:lang w:bidi="ar"/>
                    </w:rPr>
                  </w:pPr>
                  <w:r>
                    <w:rPr>
                      <w:color w:val="auto"/>
                      <w:kern w:val="0"/>
                      <w:szCs w:val="21"/>
                      <w:lang w:bidi="ar"/>
                    </w:rPr>
                    <w:t>SS</w:t>
                  </w:r>
                </w:p>
              </w:tc>
              <w:tc>
                <w:tcPr>
                  <w:tcW w:w="425" w:type="pct"/>
                  <w:vAlign w:val="center"/>
                </w:tcPr>
                <w:p w14:paraId="17382928">
                  <w:pPr>
                    <w:widowControl/>
                    <w:jc w:val="center"/>
                    <w:textAlignment w:val="center"/>
                    <w:rPr>
                      <w:color w:val="auto"/>
                      <w:kern w:val="0"/>
                      <w:szCs w:val="21"/>
                      <w:lang w:bidi="ar"/>
                    </w:rPr>
                  </w:pPr>
                  <w:r>
                    <w:rPr>
                      <w:rFonts w:hint="eastAsia"/>
                      <w:color w:val="auto"/>
                      <w:kern w:val="0"/>
                      <w:szCs w:val="21"/>
                      <w:lang w:bidi="ar"/>
                    </w:rPr>
                    <w:t>99</w:t>
                  </w:r>
                  <w:r>
                    <w:rPr>
                      <w:color w:val="auto"/>
                      <w:kern w:val="0"/>
                      <w:szCs w:val="21"/>
                      <w:lang w:bidi="ar"/>
                    </w:rPr>
                    <w:t xml:space="preserve"> </w:t>
                  </w:r>
                </w:p>
              </w:tc>
              <w:tc>
                <w:tcPr>
                  <w:tcW w:w="751" w:type="dxa"/>
                  <w:vAlign w:val="center"/>
                </w:tcPr>
                <w:p w14:paraId="17382929">
                  <w:pPr>
                    <w:widowControl/>
                    <w:jc w:val="center"/>
                    <w:textAlignment w:val="center"/>
                    <w:rPr>
                      <w:color w:val="auto"/>
                      <w:kern w:val="0"/>
                      <w:szCs w:val="21"/>
                      <w:lang w:bidi="ar"/>
                    </w:rPr>
                  </w:pPr>
                  <w:r>
                    <w:rPr>
                      <w:color w:val="auto"/>
                      <w:kern w:val="0"/>
                      <w:szCs w:val="21"/>
                      <w:lang w:bidi="ar"/>
                    </w:rPr>
                    <w:t>0.0</w:t>
                  </w:r>
                  <w:r>
                    <w:rPr>
                      <w:rFonts w:hint="eastAsia"/>
                      <w:color w:val="auto"/>
                      <w:kern w:val="0"/>
                      <w:szCs w:val="21"/>
                      <w:lang w:bidi="ar"/>
                    </w:rPr>
                    <w:t>143</w:t>
                  </w:r>
                  <w:r>
                    <w:rPr>
                      <w:color w:val="auto"/>
                      <w:kern w:val="0"/>
                      <w:szCs w:val="21"/>
                      <w:lang w:bidi="ar"/>
                    </w:rPr>
                    <w:t xml:space="preserve"> </w:t>
                  </w:r>
                </w:p>
              </w:tc>
              <w:tc>
                <w:tcPr>
                  <w:tcW w:w="345" w:type="pct"/>
                  <w:vMerge w:val="continue"/>
                  <w:vAlign w:val="center"/>
                </w:tcPr>
                <w:p w14:paraId="1738292A">
                  <w:pPr>
                    <w:widowControl/>
                    <w:jc w:val="center"/>
                    <w:rPr>
                      <w:color w:val="auto"/>
                      <w:kern w:val="0"/>
                      <w:szCs w:val="21"/>
                      <w:lang w:bidi="ar"/>
                    </w:rPr>
                  </w:pPr>
                </w:p>
              </w:tc>
            </w:tr>
            <w:tr w14:paraId="1738293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41" w:type="pct"/>
                  <w:vMerge w:val="continue"/>
                  <w:vAlign w:val="center"/>
                </w:tcPr>
                <w:p w14:paraId="1738292C">
                  <w:pPr>
                    <w:widowControl/>
                    <w:jc w:val="center"/>
                    <w:textAlignment w:val="center"/>
                    <w:rPr>
                      <w:color w:val="auto"/>
                      <w:kern w:val="0"/>
                      <w:szCs w:val="21"/>
                      <w:lang w:bidi="ar"/>
                    </w:rPr>
                  </w:pPr>
                </w:p>
              </w:tc>
              <w:tc>
                <w:tcPr>
                  <w:tcW w:w="342" w:type="pct"/>
                  <w:vAlign w:val="center"/>
                </w:tcPr>
                <w:p w14:paraId="1738292D">
                  <w:pPr>
                    <w:widowControl/>
                    <w:jc w:val="center"/>
                    <w:textAlignment w:val="center"/>
                    <w:rPr>
                      <w:color w:val="auto"/>
                      <w:kern w:val="0"/>
                      <w:szCs w:val="21"/>
                      <w:lang w:bidi="ar"/>
                    </w:rPr>
                  </w:pPr>
                  <w:r>
                    <w:rPr>
                      <w:color w:val="auto"/>
                      <w:kern w:val="0"/>
                      <w:szCs w:val="21"/>
                      <w:lang w:bidi="ar"/>
                    </w:rPr>
                    <w:t>氨氮</w:t>
                  </w:r>
                </w:p>
              </w:tc>
              <w:tc>
                <w:tcPr>
                  <w:tcW w:w="259" w:type="pct"/>
                  <w:vMerge w:val="continue"/>
                  <w:vAlign w:val="center"/>
                </w:tcPr>
                <w:p w14:paraId="1738292E">
                  <w:pPr>
                    <w:widowControl/>
                    <w:jc w:val="center"/>
                    <w:textAlignment w:val="center"/>
                    <w:rPr>
                      <w:color w:val="auto"/>
                      <w:kern w:val="0"/>
                      <w:szCs w:val="21"/>
                      <w:lang w:bidi="ar"/>
                    </w:rPr>
                  </w:pPr>
                </w:p>
              </w:tc>
              <w:tc>
                <w:tcPr>
                  <w:tcW w:w="343" w:type="pct"/>
                  <w:vMerge w:val="continue"/>
                  <w:vAlign w:val="center"/>
                </w:tcPr>
                <w:p w14:paraId="1738292F">
                  <w:pPr>
                    <w:widowControl/>
                    <w:jc w:val="center"/>
                    <w:textAlignment w:val="center"/>
                    <w:rPr>
                      <w:color w:val="auto"/>
                      <w:kern w:val="0"/>
                      <w:szCs w:val="21"/>
                      <w:lang w:bidi="ar"/>
                    </w:rPr>
                  </w:pPr>
                </w:p>
              </w:tc>
              <w:tc>
                <w:tcPr>
                  <w:tcW w:w="458" w:type="pct"/>
                  <w:noWrap/>
                  <w:vAlign w:val="center"/>
                </w:tcPr>
                <w:p w14:paraId="17382930">
                  <w:pPr>
                    <w:widowControl/>
                    <w:jc w:val="center"/>
                    <w:textAlignment w:val="center"/>
                    <w:rPr>
                      <w:color w:val="auto"/>
                      <w:kern w:val="0"/>
                      <w:szCs w:val="21"/>
                      <w:lang w:bidi="ar"/>
                    </w:rPr>
                  </w:pPr>
                  <w:r>
                    <w:rPr>
                      <w:color w:val="auto"/>
                      <w:kern w:val="0"/>
                      <w:szCs w:val="21"/>
                      <w:lang w:bidi="ar"/>
                    </w:rPr>
                    <w:t xml:space="preserve">32.6 </w:t>
                  </w:r>
                </w:p>
              </w:tc>
              <w:tc>
                <w:tcPr>
                  <w:tcW w:w="690" w:type="dxa"/>
                  <w:vAlign w:val="center"/>
                </w:tcPr>
                <w:p w14:paraId="17382931">
                  <w:pPr>
                    <w:widowControl/>
                    <w:jc w:val="center"/>
                    <w:textAlignment w:val="center"/>
                    <w:rPr>
                      <w:color w:val="auto"/>
                      <w:kern w:val="0"/>
                      <w:szCs w:val="21"/>
                      <w:lang w:bidi="ar"/>
                    </w:rPr>
                  </w:pPr>
                  <w:r>
                    <w:rPr>
                      <w:color w:val="auto"/>
                      <w:kern w:val="0"/>
                      <w:szCs w:val="21"/>
                      <w:lang w:bidi="ar"/>
                    </w:rPr>
                    <w:t xml:space="preserve">0.0047 </w:t>
                  </w:r>
                </w:p>
              </w:tc>
              <w:tc>
                <w:tcPr>
                  <w:tcW w:w="439" w:type="pct"/>
                  <w:vMerge w:val="continue"/>
                  <w:vAlign w:val="center"/>
                </w:tcPr>
                <w:p w14:paraId="17382932">
                  <w:pPr>
                    <w:widowControl/>
                    <w:jc w:val="center"/>
                    <w:textAlignment w:val="center"/>
                    <w:rPr>
                      <w:color w:val="auto"/>
                      <w:kern w:val="0"/>
                      <w:szCs w:val="21"/>
                      <w:lang w:bidi="ar"/>
                    </w:rPr>
                  </w:pPr>
                </w:p>
              </w:tc>
              <w:tc>
                <w:tcPr>
                  <w:tcW w:w="362" w:type="pct"/>
                  <w:vAlign w:val="center"/>
                </w:tcPr>
                <w:p w14:paraId="17382933">
                  <w:pPr>
                    <w:widowControl/>
                    <w:jc w:val="center"/>
                    <w:textAlignment w:val="center"/>
                    <w:rPr>
                      <w:color w:val="auto"/>
                      <w:kern w:val="0"/>
                      <w:szCs w:val="21"/>
                      <w:lang w:bidi="ar"/>
                    </w:rPr>
                  </w:pPr>
                  <w:r>
                    <w:rPr>
                      <w:rFonts w:hint="eastAsia"/>
                      <w:color w:val="auto"/>
                      <w:kern w:val="0"/>
                      <w:szCs w:val="21"/>
                      <w:lang w:bidi="ar"/>
                    </w:rPr>
                    <w:t>19</w:t>
                  </w:r>
                </w:p>
              </w:tc>
              <w:tc>
                <w:tcPr>
                  <w:tcW w:w="449" w:type="pct"/>
                  <w:vMerge w:val="continue"/>
                  <w:vAlign w:val="center"/>
                </w:tcPr>
                <w:p w14:paraId="17382934">
                  <w:pPr>
                    <w:widowControl/>
                    <w:jc w:val="center"/>
                    <w:textAlignment w:val="center"/>
                    <w:rPr>
                      <w:color w:val="auto"/>
                      <w:kern w:val="0"/>
                      <w:szCs w:val="21"/>
                      <w:lang w:bidi="ar"/>
                    </w:rPr>
                  </w:pPr>
                </w:p>
              </w:tc>
              <w:tc>
                <w:tcPr>
                  <w:tcW w:w="379" w:type="pct"/>
                  <w:vAlign w:val="center"/>
                </w:tcPr>
                <w:p w14:paraId="17382935">
                  <w:pPr>
                    <w:widowControl/>
                    <w:jc w:val="center"/>
                    <w:textAlignment w:val="center"/>
                    <w:rPr>
                      <w:color w:val="auto"/>
                      <w:kern w:val="0"/>
                      <w:szCs w:val="21"/>
                      <w:lang w:bidi="ar"/>
                    </w:rPr>
                  </w:pPr>
                  <w:r>
                    <w:rPr>
                      <w:color w:val="auto"/>
                      <w:kern w:val="0"/>
                      <w:szCs w:val="21"/>
                      <w:lang w:bidi="ar"/>
                    </w:rPr>
                    <w:t>氨氮</w:t>
                  </w:r>
                </w:p>
              </w:tc>
              <w:tc>
                <w:tcPr>
                  <w:tcW w:w="425" w:type="pct"/>
                  <w:vAlign w:val="center"/>
                </w:tcPr>
                <w:p w14:paraId="17382936">
                  <w:pPr>
                    <w:widowControl/>
                    <w:jc w:val="center"/>
                    <w:textAlignment w:val="center"/>
                    <w:rPr>
                      <w:color w:val="auto"/>
                      <w:kern w:val="0"/>
                      <w:szCs w:val="21"/>
                      <w:lang w:bidi="ar"/>
                    </w:rPr>
                  </w:pPr>
                  <w:r>
                    <w:rPr>
                      <w:color w:val="auto"/>
                      <w:kern w:val="0"/>
                      <w:szCs w:val="21"/>
                      <w:lang w:bidi="ar"/>
                    </w:rPr>
                    <w:t xml:space="preserve">26.4 </w:t>
                  </w:r>
                </w:p>
              </w:tc>
              <w:tc>
                <w:tcPr>
                  <w:tcW w:w="751" w:type="dxa"/>
                  <w:vAlign w:val="center"/>
                </w:tcPr>
                <w:p w14:paraId="17382937">
                  <w:pPr>
                    <w:widowControl/>
                    <w:jc w:val="center"/>
                    <w:textAlignment w:val="center"/>
                    <w:rPr>
                      <w:color w:val="auto"/>
                      <w:kern w:val="0"/>
                      <w:szCs w:val="21"/>
                      <w:lang w:bidi="ar"/>
                    </w:rPr>
                  </w:pPr>
                  <w:r>
                    <w:rPr>
                      <w:color w:val="auto"/>
                      <w:kern w:val="0"/>
                      <w:szCs w:val="21"/>
                      <w:lang w:bidi="ar"/>
                    </w:rPr>
                    <w:t xml:space="preserve">0.0038 </w:t>
                  </w:r>
                </w:p>
              </w:tc>
              <w:tc>
                <w:tcPr>
                  <w:tcW w:w="345" w:type="pct"/>
                  <w:vMerge w:val="continue"/>
                  <w:vAlign w:val="center"/>
                </w:tcPr>
                <w:p w14:paraId="17382938">
                  <w:pPr>
                    <w:widowControl/>
                    <w:jc w:val="center"/>
                    <w:rPr>
                      <w:color w:val="auto"/>
                      <w:kern w:val="0"/>
                      <w:szCs w:val="21"/>
                      <w:lang w:bidi="ar"/>
                    </w:rPr>
                  </w:pPr>
                </w:p>
              </w:tc>
            </w:tr>
            <w:tr w14:paraId="1738294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41" w:type="pct"/>
                  <w:vMerge w:val="continue"/>
                  <w:vAlign w:val="center"/>
                </w:tcPr>
                <w:p w14:paraId="1738293A">
                  <w:pPr>
                    <w:widowControl/>
                    <w:jc w:val="center"/>
                    <w:textAlignment w:val="center"/>
                    <w:rPr>
                      <w:color w:val="auto"/>
                      <w:kern w:val="0"/>
                      <w:szCs w:val="21"/>
                      <w:lang w:bidi="ar"/>
                    </w:rPr>
                  </w:pPr>
                </w:p>
              </w:tc>
              <w:tc>
                <w:tcPr>
                  <w:tcW w:w="342" w:type="pct"/>
                  <w:vAlign w:val="center"/>
                </w:tcPr>
                <w:p w14:paraId="1738293B">
                  <w:pPr>
                    <w:widowControl/>
                    <w:jc w:val="center"/>
                    <w:textAlignment w:val="center"/>
                    <w:rPr>
                      <w:color w:val="auto"/>
                      <w:kern w:val="0"/>
                      <w:szCs w:val="21"/>
                      <w:lang w:bidi="ar"/>
                    </w:rPr>
                  </w:pPr>
                  <w:r>
                    <w:rPr>
                      <w:color w:val="auto"/>
                      <w:kern w:val="0"/>
                      <w:szCs w:val="21"/>
                      <w:lang w:bidi="ar"/>
                    </w:rPr>
                    <w:t>总氮</w:t>
                  </w:r>
                </w:p>
              </w:tc>
              <w:tc>
                <w:tcPr>
                  <w:tcW w:w="259" w:type="pct"/>
                  <w:vMerge w:val="continue"/>
                  <w:vAlign w:val="center"/>
                </w:tcPr>
                <w:p w14:paraId="1738293C">
                  <w:pPr>
                    <w:widowControl/>
                    <w:jc w:val="center"/>
                    <w:textAlignment w:val="center"/>
                    <w:rPr>
                      <w:color w:val="auto"/>
                      <w:kern w:val="0"/>
                      <w:szCs w:val="21"/>
                      <w:lang w:bidi="ar"/>
                    </w:rPr>
                  </w:pPr>
                </w:p>
              </w:tc>
              <w:tc>
                <w:tcPr>
                  <w:tcW w:w="343" w:type="pct"/>
                  <w:vMerge w:val="continue"/>
                  <w:vAlign w:val="center"/>
                </w:tcPr>
                <w:p w14:paraId="1738293D">
                  <w:pPr>
                    <w:widowControl/>
                    <w:jc w:val="center"/>
                    <w:textAlignment w:val="center"/>
                    <w:rPr>
                      <w:color w:val="auto"/>
                      <w:kern w:val="0"/>
                      <w:szCs w:val="21"/>
                      <w:lang w:bidi="ar"/>
                    </w:rPr>
                  </w:pPr>
                </w:p>
              </w:tc>
              <w:tc>
                <w:tcPr>
                  <w:tcW w:w="458" w:type="pct"/>
                  <w:noWrap/>
                  <w:vAlign w:val="center"/>
                </w:tcPr>
                <w:p w14:paraId="1738293E">
                  <w:pPr>
                    <w:widowControl/>
                    <w:jc w:val="center"/>
                    <w:textAlignment w:val="center"/>
                    <w:rPr>
                      <w:color w:val="auto"/>
                      <w:kern w:val="0"/>
                      <w:szCs w:val="21"/>
                      <w:lang w:bidi="ar"/>
                    </w:rPr>
                  </w:pPr>
                  <w:r>
                    <w:rPr>
                      <w:color w:val="auto"/>
                      <w:kern w:val="0"/>
                      <w:szCs w:val="21"/>
                      <w:lang w:bidi="ar"/>
                    </w:rPr>
                    <w:t xml:space="preserve">44.8 </w:t>
                  </w:r>
                </w:p>
              </w:tc>
              <w:tc>
                <w:tcPr>
                  <w:tcW w:w="690" w:type="dxa"/>
                  <w:vAlign w:val="center"/>
                </w:tcPr>
                <w:p w14:paraId="1738293F">
                  <w:pPr>
                    <w:widowControl/>
                    <w:jc w:val="center"/>
                    <w:textAlignment w:val="center"/>
                    <w:rPr>
                      <w:color w:val="auto"/>
                      <w:kern w:val="0"/>
                      <w:szCs w:val="21"/>
                      <w:lang w:bidi="ar"/>
                    </w:rPr>
                  </w:pPr>
                  <w:r>
                    <w:rPr>
                      <w:color w:val="auto"/>
                      <w:kern w:val="0"/>
                      <w:szCs w:val="21"/>
                      <w:lang w:bidi="ar"/>
                    </w:rPr>
                    <w:t xml:space="preserve">0.0065 </w:t>
                  </w:r>
                </w:p>
              </w:tc>
              <w:tc>
                <w:tcPr>
                  <w:tcW w:w="439" w:type="pct"/>
                  <w:vMerge w:val="continue"/>
                  <w:vAlign w:val="center"/>
                </w:tcPr>
                <w:p w14:paraId="17382940">
                  <w:pPr>
                    <w:widowControl/>
                    <w:jc w:val="center"/>
                    <w:textAlignment w:val="center"/>
                    <w:rPr>
                      <w:color w:val="auto"/>
                      <w:kern w:val="0"/>
                      <w:szCs w:val="21"/>
                      <w:lang w:bidi="ar"/>
                    </w:rPr>
                  </w:pPr>
                </w:p>
              </w:tc>
              <w:tc>
                <w:tcPr>
                  <w:tcW w:w="362" w:type="pct"/>
                  <w:vAlign w:val="center"/>
                </w:tcPr>
                <w:p w14:paraId="17382941">
                  <w:pPr>
                    <w:widowControl/>
                    <w:jc w:val="center"/>
                    <w:textAlignment w:val="center"/>
                    <w:rPr>
                      <w:color w:val="auto"/>
                      <w:kern w:val="0"/>
                      <w:szCs w:val="21"/>
                      <w:lang w:bidi="ar"/>
                    </w:rPr>
                  </w:pPr>
                  <w:r>
                    <w:rPr>
                      <w:rFonts w:hint="eastAsia"/>
                      <w:color w:val="auto"/>
                      <w:kern w:val="0"/>
                      <w:szCs w:val="21"/>
                      <w:lang w:bidi="ar"/>
                    </w:rPr>
                    <w:t>16</w:t>
                  </w:r>
                </w:p>
              </w:tc>
              <w:tc>
                <w:tcPr>
                  <w:tcW w:w="449" w:type="pct"/>
                  <w:vMerge w:val="continue"/>
                  <w:vAlign w:val="center"/>
                </w:tcPr>
                <w:p w14:paraId="17382942">
                  <w:pPr>
                    <w:widowControl/>
                    <w:jc w:val="center"/>
                    <w:textAlignment w:val="center"/>
                    <w:rPr>
                      <w:color w:val="auto"/>
                      <w:kern w:val="0"/>
                      <w:szCs w:val="21"/>
                      <w:lang w:bidi="ar"/>
                    </w:rPr>
                  </w:pPr>
                </w:p>
              </w:tc>
              <w:tc>
                <w:tcPr>
                  <w:tcW w:w="379" w:type="pct"/>
                  <w:vAlign w:val="center"/>
                </w:tcPr>
                <w:p w14:paraId="17382943">
                  <w:pPr>
                    <w:widowControl/>
                    <w:jc w:val="center"/>
                    <w:textAlignment w:val="center"/>
                    <w:rPr>
                      <w:color w:val="auto"/>
                      <w:kern w:val="0"/>
                      <w:szCs w:val="21"/>
                      <w:lang w:bidi="ar"/>
                    </w:rPr>
                  </w:pPr>
                  <w:r>
                    <w:rPr>
                      <w:color w:val="auto"/>
                      <w:kern w:val="0"/>
                      <w:szCs w:val="21"/>
                      <w:lang w:bidi="ar"/>
                    </w:rPr>
                    <w:t>总氮</w:t>
                  </w:r>
                </w:p>
              </w:tc>
              <w:tc>
                <w:tcPr>
                  <w:tcW w:w="425" w:type="pct"/>
                  <w:vAlign w:val="center"/>
                </w:tcPr>
                <w:p w14:paraId="17382944">
                  <w:pPr>
                    <w:widowControl/>
                    <w:jc w:val="center"/>
                    <w:textAlignment w:val="center"/>
                    <w:rPr>
                      <w:color w:val="auto"/>
                      <w:kern w:val="0"/>
                      <w:szCs w:val="21"/>
                      <w:lang w:bidi="ar"/>
                    </w:rPr>
                  </w:pPr>
                  <w:r>
                    <w:rPr>
                      <w:color w:val="auto"/>
                      <w:kern w:val="0"/>
                      <w:szCs w:val="21"/>
                      <w:lang w:bidi="ar"/>
                    </w:rPr>
                    <w:t xml:space="preserve">37.6 </w:t>
                  </w:r>
                </w:p>
              </w:tc>
              <w:tc>
                <w:tcPr>
                  <w:tcW w:w="751" w:type="dxa"/>
                  <w:vAlign w:val="center"/>
                </w:tcPr>
                <w:p w14:paraId="17382945">
                  <w:pPr>
                    <w:widowControl/>
                    <w:jc w:val="center"/>
                    <w:textAlignment w:val="center"/>
                    <w:rPr>
                      <w:color w:val="auto"/>
                      <w:kern w:val="0"/>
                      <w:szCs w:val="21"/>
                      <w:lang w:bidi="ar"/>
                    </w:rPr>
                  </w:pPr>
                  <w:r>
                    <w:rPr>
                      <w:color w:val="auto"/>
                      <w:kern w:val="0"/>
                      <w:szCs w:val="21"/>
                      <w:lang w:bidi="ar"/>
                    </w:rPr>
                    <w:t xml:space="preserve">0.0054 </w:t>
                  </w:r>
                </w:p>
              </w:tc>
              <w:tc>
                <w:tcPr>
                  <w:tcW w:w="345" w:type="pct"/>
                  <w:vMerge w:val="continue"/>
                  <w:vAlign w:val="center"/>
                </w:tcPr>
                <w:p w14:paraId="17382946">
                  <w:pPr>
                    <w:widowControl/>
                    <w:jc w:val="center"/>
                    <w:rPr>
                      <w:color w:val="auto"/>
                      <w:kern w:val="0"/>
                      <w:szCs w:val="21"/>
                      <w:lang w:bidi="ar"/>
                    </w:rPr>
                  </w:pPr>
                </w:p>
              </w:tc>
            </w:tr>
            <w:tr w14:paraId="1738295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341" w:type="pct"/>
                  <w:vMerge w:val="continue"/>
                  <w:vAlign w:val="center"/>
                </w:tcPr>
                <w:p w14:paraId="17382948">
                  <w:pPr>
                    <w:widowControl/>
                    <w:jc w:val="center"/>
                    <w:textAlignment w:val="center"/>
                    <w:rPr>
                      <w:color w:val="auto"/>
                      <w:kern w:val="0"/>
                      <w:szCs w:val="21"/>
                      <w:lang w:bidi="ar"/>
                    </w:rPr>
                  </w:pPr>
                </w:p>
              </w:tc>
              <w:tc>
                <w:tcPr>
                  <w:tcW w:w="342" w:type="pct"/>
                  <w:vAlign w:val="center"/>
                </w:tcPr>
                <w:p w14:paraId="17382949">
                  <w:pPr>
                    <w:widowControl/>
                    <w:jc w:val="center"/>
                    <w:textAlignment w:val="center"/>
                    <w:rPr>
                      <w:color w:val="auto"/>
                      <w:kern w:val="0"/>
                      <w:szCs w:val="21"/>
                      <w:lang w:bidi="ar"/>
                    </w:rPr>
                  </w:pPr>
                  <w:r>
                    <w:rPr>
                      <w:color w:val="auto"/>
                      <w:kern w:val="0"/>
                      <w:szCs w:val="21"/>
                      <w:lang w:bidi="ar"/>
                    </w:rPr>
                    <w:t>总磷</w:t>
                  </w:r>
                </w:p>
              </w:tc>
              <w:tc>
                <w:tcPr>
                  <w:tcW w:w="259" w:type="pct"/>
                  <w:vMerge w:val="continue"/>
                  <w:vAlign w:val="center"/>
                </w:tcPr>
                <w:p w14:paraId="1738294A">
                  <w:pPr>
                    <w:widowControl/>
                    <w:jc w:val="center"/>
                    <w:textAlignment w:val="center"/>
                    <w:rPr>
                      <w:color w:val="auto"/>
                      <w:kern w:val="0"/>
                      <w:szCs w:val="21"/>
                      <w:lang w:bidi="ar"/>
                    </w:rPr>
                  </w:pPr>
                </w:p>
              </w:tc>
              <w:tc>
                <w:tcPr>
                  <w:tcW w:w="343" w:type="pct"/>
                  <w:vMerge w:val="continue"/>
                  <w:vAlign w:val="center"/>
                </w:tcPr>
                <w:p w14:paraId="1738294B">
                  <w:pPr>
                    <w:widowControl/>
                    <w:jc w:val="center"/>
                    <w:textAlignment w:val="center"/>
                    <w:rPr>
                      <w:color w:val="auto"/>
                      <w:kern w:val="0"/>
                      <w:szCs w:val="21"/>
                      <w:lang w:bidi="ar"/>
                    </w:rPr>
                  </w:pPr>
                </w:p>
              </w:tc>
              <w:tc>
                <w:tcPr>
                  <w:tcW w:w="458" w:type="pct"/>
                  <w:noWrap/>
                  <w:vAlign w:val="center"/>
                </w:tcPr>
                <w:p w14:paraId="1738294C">
                  <w:pPr>
                    <w:widowControl/>
                    <w:jc w:val="center"/>
                    <w:textAlignment w:val="center"/>
                    <w:rPr>
                      <w:color w:val="auto"/>
                      <w:kern w:val="0"/>
                      <w:szCs w:val="21"/>
                      <w:lang w:bidi="ar"/>
                    </w:rPr>
                  </w:pPr>
                  <w:r>
                    <w:rPr>
                      <w:rFonts w:hint="eastAsia"/>
                      <w:color w:val="auto"/>
                      <w:kern w:val="0"/>
                      <w:szCs w:val="21"/>
                      <w:lang w:bidi="ar"/>
                    </w:rPr>
                    <w:t>4.27</w:t>
                  </w:r>
                  <w:r>
                    <w:rPr>
                      <w:color w:val="auto"/>
                      <w:kern w:val="0"/>
                      <w:szCs w:val="21"/>
                      <w:lang w:bidi="ar"/>
                    </w:rPr>
                    <w:t xml:space="preserve"> </w:t>
                  </w:r>
                </w:p>
              </w:tc>
              <w:tc>
                <w:tcPr>
                  <w:tcW w:w="690" w:type="dxa"/>
                  <w:vAlign w:val="center"/>
                </w:tcPr>
                <w:p w14:paraId="1738294D">
                  <w:pPr>
                    <w:widowControl/>
                    <w:jc w:val="center"/>
                    <w:textAlignment w:val="center"/>
                    <w:rPr>
                      <w:color w:val="auto"/>
                      <w:kern w:val="0"/>
                      <w:szCs w:val="21"/>
                      <w:lang w:bidi="ar"/>
                    </w:rPr>
                  </w:pPr>
                  <w:r>
                    <w:rPr>
                      <w:color w:val="auto"/>
                      <w:kern w:val="0"/>
                      <w:szCs w:val="21"/>
                      <w:lang w:bidi="ar"/>
                    </w:rPr>
                    <w:t xml:space="preserve">0.0006 </w:t>
                  </w:r>
                </w:p>
              </w:tc>
              <w:tc>
                <w:tcPr>
                  <w:tcW w:w="439" w:type="pct"/>
                  <w:vMerge w:val="continue"/>
                  <w:vAlign w:val="center"/>
                </w:tcPr>
                <w:p w14:paraId="1738294E">
                  <w:pPr>
                    <w:widowControl/>
                    <w:jc w:val="center"/>
                    <w:textAlignment w:val="center"/>
                    <w:rPr>
                      <w:color w:val="auto"/>
                      <w:kern w:val="0"/>
                      <w:szCs w:val="21"/>
                      <w:lang w:bidi="ar"/>
                    </w:rPr>
                  </w:pPr>
                </w:p>
              </w:tc>
              <w:tc>
                <w:tcPr>
                  <w:tcW w:w="362" w:type="pct"/>
                  <w:vAlign w:val="center"/>
                </w:tcPr>
                <w:p w14:paraId="1738294F">
                  <w:pPr>
                    <w:widowControl/>
                    <w:jc w:val="center"/>
                    <w:textAlignment w:val="center"/>
                    <w:rPr>
                      <w:color w:val="auto"/>
                      <w:kern w:val="0"/>
                      <w:szCs w:val="21"/>
                      <w:lang w:bidi="ar"/>
                    </w:rPr>
                  </w:pPr>
                  <w:r>
                    <w:rPr>
                      <w:rFonts w:hint="eastAsia"/>
                      <w:color w:val="auto"/>
                      <w:kern w:val="0"/>
                      <w:szCs w:val="21"/>
                      <w:lang w:bidi="ar"/>
                    </w:rPr>
                    <w:t>14</w:t>
                  </w:r>
                </w:p>
              </w:tc>
              <w:tc>
                <w:tcPr>
                  <w:tcW w:w="449" w:type="pct"/>
                  <w:vMerge w:val="continue"/>
                  <w:vAlign w:val="center"/>
                </w:tcPr>
                <w:p w14:paraId="17382950">
                  <w:pPr>
                    <w:widowControl/>
                    <w:jc w:val="center"/>
                    <w:textAlignment w:val="center"/>
                    <w:rPr>
                      <w:color w:val="auto"/>
                      <w:kern w:val="0"/>
                      <w:szCs w:val="21"/>
                      <w:lang w:bidi="ar"/>
                    </w:rPr>
                  </w:pPr>
                </w:p>
              </w:tc>
              <w:tc>
                <w:tcPr>
                  <w:tcW w:w="379" w:type="pct"/>
                  <w:vAlign w:val="center"/>
                </w:tcPr>
                <w:p w14:paraId="17382951">
                  <w:pPr>
                    <w:widowControl/>
                    <w:jc w:val="center"/>
                    <w:textAlignment w:val="center"/>
                    <w:rPr>
                      <w:color w:val="auto"/>
                      <w:kern w:val="0"/>
                      <w:szCs w:val="21"/>
                      <w:lang w:bidi="ar"/>
                    </w:rPr>
                  </w:pPr>
                  <w:r>
                    <w:rPr>
                      <w:color w:val="auto"/>
                      <w:kern w:val="0"/>
                      <w:szCs w:val="21"/>
                      <w:lang w:bidi="ar"/>
                    </w:rPr>
                    <w:t>总磷</w:t>
                  </w:r>
                </w:p>
              </w:tc>
              <w:tc>
                <w:tcPr>
                  <w:tcW w:w="425" w:type="pct"/>
                  <w:vAlign w:val="center"/>
                </w:tcPr>
                <w:p w14:paraId="17382952">
                  <w:pPr>
                    <w:widowControl/>
                    <w:jc w:val="center"/>
                    <w:textAlignment w:val="center"/>
                    <w:rPr>
                      <w:color w:val="auto"/>
                      <w:kern w:val="0"/>
                      <w:szCs w:val="21"/>
                      <w:lang w:bidi="ar"/>
                    </w:rPr>
                  </w:pPr>
                  <w:r>
                    <w:rPr>
                      <w:color w:val="auto"/>
                      <w:kern w:val="0"/>
                      <w:szCs w:val="21"/>
                      <w:lang w:bidi="ar"/>
                    </w:rPr>
                    <w:t xml:space="preserve">3.7 </w:t>
                  </w:r>
                </w:p>
              </w:tc>
              <w:tc>
                <w:tcPr>
                  <w:tcW w:w="751" w:type="dxa"/>
                  <w:vAlign w:val="center"/>
                </w:tcPr>
                <w:p w14:paraId="17382953">
                  <w:pPr>
                    <w:widowControl/>
                    <w:jc w:val="center"/>
                    <w:textAlignment w:val="center"/>
                    <w:rPr>
                      <w:color w:val="auto"/>
                      <w:kern w:val="0"/>
                      <w:szCs w:val="21"/>
                      <w:lang w:bidi="ar"/>
                    </w:rPr>
                  </w:pPr>
                  <w:r>
                    <w:rPr>
                      <w:color w:val="auto"/>
                      <w:kern w:val="0"/>
                      <w:szCs w:val="21"/>
                      <w:lang w:bidi="ar"/>
                    </w:rPr>
                    <w:t xml:space="preserve">0.0005 </w:t>
                  </w:r>
                </w:p>
              </w:tc>
              <w:tc>
                <w:tcPr>
                  <w:tcW w:w="345" w:type="pct"/>
                  <w:vMerge w:val="continue"/>
                  <w:vAlign w:val="center"/>
                </w:tcPr>
                <w:p w14:paraId="17382954">
                  <w:pPr>
                    <w:widowControl/>
                    <w:jc w:val="center"/>
                    <w:rPr>
                      <w:color w:val="auto"/>
                      <w:kern w:val="0"/>
                      <w:szCs w:val="21"/>
                      <w:lang w:bidi="ar"/>
                    </w:rPr>
                  </w:pPr>
                </w:p>
              </w:tc>
            </w:tr>
          </w:tbl>
          <w:p w14:paraId="17382956">
            <w:pPr>
              <w:widowControl/>
              <w:adjustRightInd w:val="0"/>
              <w:snapToGrid w:val="0"/>
              <w:spacing w:line="500" w:lineRule="exact"/>
              <w:jc w:val="center"/>
              <w:rPr>
                <w:b/>
                <w:color w:val="auto"/>
                <w:kern w:val="0"/>
                <w:sz w:val="24"/>
              </w:rPr>
            </w:pPr>
            <w:r>
              <w:rPr>
                <w:b/>
                <w:color w:val="auto"/>
                <w:kern w:val="0"/>
                <w:sz w:val="24"/>
              </w:rPr>
              <w:t>表4</w:t>
            </w:r>
            <w:r>
              <w:rPr>
                <w:rFonts w:hint="eastAsia"/>
                <w:b/>
                <w:color w:val="auto"/>
                <w:kern w:val="0"/>
                <w:sz w:val="24"/>
              </w:rPr>
              <w:t>-11</w:t>
            </w:r>
            <w:r>
              <w:rPr>
                <w:b/>
                <w:color w:val="auto"/>
                <w:kern w:val="0"/>
                <w:sz w:val="24"/>
              </w:rPr>
              <w:t xml:space="preserve"> 废水类别、污染物及污染治理设施信息表</w:t>
            </w:r>
          </w:p>
          <w:tbl>
            <w:tblPr>
              <w:tblStyle w:val="88"/>
              <w:tblW w:w="4982"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288"/>
              <w:gridCol w:w="540"/>
              <w:gridCol w:w="814"/>
              <w:gridCol w:w="539"/>
              <w:gridCol w:w="802"/>
              <w:gridCol w:w="583"/>
              <w:gridCol w:w="722"/>
              <w:gridCol w:w="750"/>
              <w:gridCol w:w="556"/>
              <w:gridCol w:w="829"/>
              <w:gridCol w:w="506"/>
              <w:gridCol w:w="1500"/>
            </w:tblGrid>
            <w:tr w14:paraId="1738295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70" w:type="pct"/>
                  <w:vMerge w:val="restart"/>
                  <w:vAlign w:val="center"/>
                </w:tcPr>
                <w:p w14:paraId="17382957">
                  <w:pPr>
                    <w:jc w:val="center"/>
                    <w:rPr>
                      <w:b/>
                      <w:bCs/>
                      <w:color w:val="auto"/>
                      <w:szCs w:val="21"/>
                    </w:rPr>
                  </w:pPr>
                  <w:r>
                    <w:rPr>
                      <w:b/>
                      <w:bCs/>
                      <w:color w:val="auto"/>
                      <w:szCs w:val="21"/>
                    </w:rPr>
                    <w:t>序号</w:t>
                  </w:r>
                </w:p>
              </w:tc>
              <w:tc>
                <w:tcPr>
                  <w:tcW w:w="320" w:type="pct"/>
                  <w:vMerge w:val="restart"/>
                  <w:vAlign w:val="center"/>
                </w:tcPr>
                <w:p w14:paraId="17382958">
                  <w:pPr>
                    <w:jc w:val="center"/>
                    <w:rPr>
                      <w:b/>
                      <w:bCs/>
                      <w:color w:val="auto"/>
                      <w:szCs w:val="21"/>
                    </w:rPr>
                  </w:pPr>
                  <w:r>
                    <w:rPr>
                      <w:b/>
                      <w:bCs/>
                      <w:color w:val="auto"/>
                      <w:szCs w:val="21"/>
                    </w:rPr>
                    <w:t>废水类别</w:t>
                  </w:r>
                </w:p>
              </w:tc>
              <w:tc>
                <w:tcPr>
                  <w:tcW w:w="482" w:type="pct"/>
                  <w:vMerge w:val="restart"/>
                  <w:vAlign w:val="center"/>
                </w:tcPr>
                <w:p w14:paraId="17382959">
                  <w:pPr>
                    <w:jc w:val="center"/>
                    <w:rPr>
                      <w:b/>
                      <w:bCs/>
                      <w:color w:val="auto"/>
                      <w:szCs w:val="21"/>
                    </w:rPr>
                  </w:pPr>
                  <w:r>
                    <w:rPr>
                      <w:b/>
                      <w:bCs/>
                      <w:color w:val="auto"/>
                      <w:szCs w:val="21"/>
                    </w:rPr>
                    <w:t>污染物种类</w:t>
                  </w:r>
                </w:p>
              </w:tc>
              <w:tc>
                <w:tcPr>
                  <w:tcW w:w="319" w:type="pct"/>
                  <w:vMerge w:val="restart"/>
                  <w:vAlign w:val="center"/>
                </w:tcPr>
                <w:p w14:paraId="1738295A">
                  <w:pPr>
                    <w:jc w:val="center"/>
                    <w:rPr>
                      <w:b/>
                      <w:bCs/>
                      <w:color w:val="auto"/>
                      <w:szCs w:val="21"/>
                    </w:rPr>
                  </w:pPr>
                  <w:r>
                    <w:rPr>
                      <w:b/>
                      <w:bCs/>
                      <w:color w:val="auto"/>
                      <w:szCs w:val="21"/>
                    </w:rPr>
                    <w:t>排放去向</w:t>
                  </w:r>
                </w:p>
              </w:tc>
              <w:tc>
                <w:tcPr>
                  <w:tcW w:w="2024" w:type="pct"/>
                  <w:gridSpan w:val="5"/>
                  <w:vAlign w:val="center"/>
                </w:tcPr>
                <w:p w14:paraId="1738295B">
                  <w:pPr>
                    <w:jc w:val="center"/>
                    <w:rPr>
                      <w:b/>
                      <w:bCs/>
                      <w:color w:val="auto"/>
                      <w:szCs w:val="21"/>
                    </w:rPr>
                  </w:pPr>
                  <w:r>
                    <w:rPr>
                      <w:b/>
                      <w:bCs/>
                      <w:color w:val="auto"/>
                      <w:szCs w:val="21"/>
                    </w:rPr>
                    <w:t>污染治理设施</w:t>
                  </w:r>
                </w:p>
              </w:tc>
              <w:tc>
                <w:tcPr>
                  <w:tcW w:w="492" w:type="pct"/>
                  <w:vMerge w:val="restart"/>
                  <w:vAlign w:val="center"/>
                </w:tcPr>
                <w:p w14:paraId="1738295C">
                  <w:pPr>
                    <w:jc w:val="center"/>
                    <w:rPr>
                      <w:b/>
                      <w:bCs/>
                      <w:color w:val="auto"/>
                      <w:szCs w:val="21"/>
                    </w:rPr>
                  </w:pPr>
                  <w:r>
                    <w:rPr>
                      <w:b/>
                      <w:bCs/>
                      <w:color w:val="auto"/>
                      <w:szCs w:val="21"/>
                    </w:rPr>
                    <w:t>排放口编号</w:t>
                  </w:r>
                </w:p>
              </w:tc>
              <w:tc>
                <w:tcPr>
                  <w:tcW w:w="300" w:type="pct"/>
                  <w:vMerge w:val="restart"/>
                  <w:vAlign w:val="center"/>
                </w:tcPr>
                <w:p w14:paraId="1738295D">
                  <w:pPr>
                    <w:jc w:val="center"/>
                    <w:rPr>
                      <w:b/>
                      <w:bCs/>
                      <w:color w:val="auto"/>
                      <w:szCs w:val="21"/>
                    </w:rPr>
                  </w:pPr>
                  <w:r>
                    <w:rPr>
                      <w:b/>
                      <w:bCs/>
                      <w:color w:val="auto"/>
                      <w:szCs w:val="21"/>
                    </w:rPr>
                    <w:t>排放口设置是否符合要求</w:t>
                  </w:r>
                </w:p>
              </w:tc>
              <w:tc>
                <w:tcPr>
                  <w:tcW w:w="889" w:type="pct"/>
                  <w:vMerge w:val="restart"/>
                  <w:vAlign w:val="center"/>
                </w:tcPr>
                <w:p w14:paraId="1738295E">
                  <w:pPr>
                    <w:jc w:val="center"/>
                    <w:rPr>
                      <w:b/>
                      <w:bCs/>
                      <w:color w:val="auto"/>
                      <w:szCs w:val="21"/>
                    </w:rPr>
                  </w:pPr>
                  <w:r>
                    <w:rPr>
                      <w:b/>
                      <w:bCs/>
                      <w:color w:val="auto"/>
                      <w:szCs w:val="21"/>
                    </w:rPr>
                    <w:t>排放口类型</w:t>
                  </w:r>
                </w:p>
              </w:tc>
            </w:tr>
            <w:tr w14:paraId="1738296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70" w:type="pct"/>
                  <w:vMerge w:val="continue"/>
                  <w:vAlign w:val="center"/>
                </w:tcPr>
                <w:p w14:paraId="17382960">
                  <w:pPr>
                    <w:jc w:val="center"/>
                    <w:rPr>
                      <w:color w:val="auto"/>
                      <w:szCs w:val="21"/>
                    </w:rPr>
                  </w:pPr>
                </w:p>
              </w:tc>
              <w:tc>
                <w:tcPr>
                  <w:tcW w:w="320" w:type="pct"/>
                  <w:vMerge w:val="continue"/>
                  <w:vAlign w:val="center"/>
                </w:tcPr>
                <w:p w14:paraId="17382961">
                  <w:pPr>
                    <w:jc w:val="center"/>
                    <w:rPr>
                      <w:color w:val="auto"/>
                      <w:szCs w:val="21"/>
                    </w:rPr>
                  </w:pPr>
                </w:p>
              </w:tc>
              <w:tc>
                <w:tcPr>
                  <w:tcW w:w="482" w:type="pct"/>
                  <w:vMerge w:val="continue"/>
                  <w:vAlign w:val="center"/>
                </w:tcPr>
                <w:p w14:paraId="17382962">
                  <w:pPr>
                    <w:jc w:val="center"/>
                    <w:rPr>
                      <w:color w:val="auto"/>
                      <w:szCs w:val="21"/>
                    </w:rPr>
                  </w:pPr>
                </w:p>
              </w:tc>
              <w:tc>
                <w:tcPr>
                  <w:tcW w:w="319" w:type="pct"/>
                  <w:vMerge w:val="continue"/>
                  <w:vAlign w:val="center"/>
                </w:tcPr>
                <w:p w14:paraId="17382963">
                  <w:pPr>
                    <w:jc w:val="center"/>
                    <w:rPr>
                      <w:color w:val="auto"/>
                      <w:szCs w:val="21"/>
                    </w:rPr>
                  </w:pPr>
                </w:p>
              </w:tc>
              <w:tc>
                <w:tcPr>
                  <w:tcW w:w="475" w:type="pct"/>
                  <w:vAlign w:val="center"/>
                </w:tcPr>
                <w:p w14:paraId="17382964">
                  <w:pPr>
                    <w:jc w:val="center"/>
                    <w:rPr>
                      <w:b/>
                      <w:bCs/>
                      <w:color w:val="auto"/>
                      <w:szCs w:val="21"/>
                    </w:rPr>
                  </w:pPr>
                  <w:r>
                    <w:rPr>
                      <w:b/>
                      <w:bCs/>
                      <w:color w:val="auto"/>
                      <w:szCs w:val="21"/>
                    </w:rPr>
                    <w:t>污染治理设施编号</w:t>
                  </w:r>
                </w:p>
              </w:tc>
              <w:tc>
                <w:tcPr>
                  <w:tcW w:w="346" w:type="pct"/>
                  <w:vAlign w:val="center"/>
                </w:tcPr>
                <w:p w14:paraId="17382965">
                  <w:pPr>
                    <w:jc w:val="center"/>
                    <w:rPr>
                      <w:b/>
                      <w:bCs/>
                      <w:color w:val="auto"/>
                      <w:szCs w:val="21"/>
                    </w:rPr>
                  </w:pPr>
                  <w:r>
                    <w:rPr>
                      <w:b/>
                      <w:bCs/>
                      <w:color w:val="auto"/>
                      <w:szCs w:val="21"/>
                    </w:rPr>
                    <w:t>污染治理设施名称</w:t>
                  </w:r>
                </w:p>
              </w:tc>
              <w:tc>
                <w:tcPr>
                  <w:tcW w:w="428" w:type="pct"/>
                  <w:vAlign w:val="center"/>
                </w:tcPr>
                <w:p w14:paraId="17382966">
                  <w:pPr>
                    <w:jc w:val="center"/>
                    <w:rPr>
                      <w:b/>
                      <w:bCs/>
                      <w:color w:val="auto"/>
                      <w:szCs w:val="21"/>
                    </w:rPr>
                  </w:pPr>
                  <w:r>
                    <w:rPr>
                      <w:b/>
                      <w:bCs/>
                      <w:color w:val="auto"/>
                      <w:szCs w:val="21"/>
                    </w:rPr>
                    <w:t>污染治理设施工艺</w:t>
                  </w:r>
                </w:p>
              </w:tc>
              <w:tc>
                <w:tcPr>
                  <w:tcW w:w="445" w:type="pct"/>
                  <w:vAlign w:val="center"/>
                </w:tcPr>
                <w:p w14:paraId="17382967">
                  <w:pPr>
                    <w:jc w:val="center"/>
                    <w:rPr>
                      <w:b/>
                      <w:bCs/>
                      <w:color w:val="auto"/>
                      <w:szCs w:val="21"/>
                    </w:rPr>
                  </w:pPr>
                  <w:r>
                    <w:rPr>
                      <w:b/>
                      <w:bCs/>
                      <w:color w:val="auto"/>
                      <w:szCs w:val="21"/>
                    </w:rPr>
                    <w:t>处理</w:t>
                  </w:r>
                </w:p>
                <w:p w14:paraId="17382968">
                  <w:pPr>
                    <w:jc w:val="center"/>
                    <w:rPr>
                      <w:b/>
                      <w:bCs/>
                      <w:color w:val="auto"/>
                      <w:szCs w:val="21"/>
                    </w:rPr>
                  </w:pPr>
                  <w:r>
                    <w:rPr>
                      <w:b/>
                      <w:bCs/>
                      <w:color w:val="auto"/>
                      <w:szCs w:val="21"/>
                    </w:rPr>
                    <w:t>能力</w:t>
                  </w:r>
                </w:p>
              </w:tc>
              <w:tc>
                <w:tcPr>
                  <w:tcW w:w="329" w:type="pct"/>
                  <w:vAlign w:val="center"/>
                </w:tcPr>
                <w:p w14:paraId="17382969">
                  <w:pPr>
                    <w:jc w:val="center"/>
                    <w:rPr>
                      <w:b/>
                      <w:bCs/>
                      <w:color w:val="auto"/>
                      <w:szCs w:val="21"/>
                    </w:rPr>
                  </w:pPr>
                  <w:r>
                    <w:rPr>
                      <w:b/>
                      <w:bCs/>
                      <w:color w:val="auto"/>
                      <w:szCs w:val="21"/>
                    </w:rPr>
                    <w:t>是否为推荐可行技术</w:t>
                  </w:r>
                </w:p>
              </w:tc>
              <w:tc>
                <w:tcPr>
                  <w:tcW w:w="492" w:type="pct"/>
                  <w:vMerge w:val="continue"/>
                  <w:vAlign w:val="center"/>
                </w:tcPr>
                <w:p w14:paraId="1738296A">
                  <w:pPr>
                    <w:jc w:val="center"/>
                    <w:rPr>
                      <w:color w:val="auto"/>
                      <w:szCs w:val="21"/>
                    </w:rPr>
                  </w:pPr>
                </w:p>
              </w:tc>
              <w:tc>
                <w:tcPr>
                  <w:tcW w:w="300" w:type="pct"/>
                  <w:vMerge w:val="continue"/>
                  <w:vAlign w:val="center"/>
                </w:tcPr>
                <w:p w14:paraId="1738296B">
                  <w:pPr>
                    <w:jc w:val="center"/>
                    <w:rPr>
                      <w:color w:val="auto"/>
                      <w:szCs w:val="21"/>
                    </w:rPr>
                  </w:pPr>
                </w:p>
              </w:tc>
              <w:tc>
                <w:tcPr>
                  <w:tcW w:w="889" w:type="pct"/>
                  <w:vMerge w:val="continue"/>
                  <w:vAlign w:val="center"/>
                </w:tcPr>
                <w:p w14:paraId="1738296C">
                  <w:pPr>
                    <w:jc w:val="center"/>
                    <w:rPr>
                      <w:color w:val="auto"/>
                      <w:szCs w:val="21"/>
                    </w:rPr>
                  </w:pPr>
                </w:p>
              </w:tc>
            </w:tr>
            <w:tr w14:paraId="1738297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70" w:type="pct"/>
                  <w:vAlign w:val="center"/>
                </w:tcPr>
                <w:p w14:paraId="1738296E">
                  <w:pPr>
                    <w:jc w:val="center"/>
                    <w:rPr>
                      <w:color w:val="auto"/>
                      <w:szCs w:val="21"/>
                    </w:rPr>
                  </w:pPr>
                  <w:r>
                    <w:rPr>
                      <w:color w:val="auto"/>
                      <w:szCs w:val="21"/>
                    </w:rPr>
                    <w:t>1</w:t>
                  </w:r>
                </w:p>
              </w:tc>
              <w:tc>
                <w:tcPr>
                  <w:tcW w:w="320" w:type="pct"/>
                  <w:vAlign w:val="center"/>
                </w:tcPr>
                <w:p w14:paraId="1738296F">
                  <w:pPr>
                    <w:jc w:val="center"/>
                    <w:rPr>
                      <w:color w:val="auto"/>
                      <w:szCs w:val="21"/>
                    </w:rPr>
                  </w:pPr>
                  <w:r>
                    <w:rPr>
                      <w:rFonts w:hint="eastAsia"/>
                      <w:color w:val="auto"/>
                      <w:szCs w:val="21"/>
                    </w:rPr>
                    <w:t>生活污水</w:t>
                  </w:r>
                </w:p>
              </w:tc>
              <w:tc>
                <w:tcPr>
                  <w:tcW w:w="482" w:type="pct"/>
                  <w:vAlign w:val="center"/>
                </w:tcPr>
                <w:p w14:paraId="17382970">
                  <w:pPr>
                    <w:jc w:val="center"/>
                    <w:rPr>
                      <w:color w:val="auto"/>
                      <w:szCs w:val="21"/>
                    </w:rPr>
                  </w:pPr>
                  <w:r>
                    <w:rPr>
                      <w:rFonts w:hint="eastAsia"/>
                      <w:bCs/>
                      <w:color w:val="auto"/>
                      <w:kern w:val="0"/>
                      <w:szCs w:val="21"/>
                    </w:rPr>
                    <w:t>p</w:t>
                  </w:r>
                  <w:r>
                    <w:rPr>
                      <w:bCs/>
                      <w:color w:val="auto"/>
                      <w:kern w:val="0"/>
                      <w:szCs w:val="21"/>
                    </w:rPr>
                    <w:t>H、COD、SS、氨氮、总氮、总磷</w:t>
                  </w:r>
                </w:p>
              </w:tc>
              <w:tc>
                <w:tcPr>
                  <w:tcW w:w="319" w:type="pct"/>
                  <w:vAlign w:val="center"/>
                </w:tcPr>
                <w:p w14:paraId="17382971">
                  <w:pPr>
                    <w:jc w:val="center"/>
                    <w:rPr>
                      <w:color w:val="auto"/>
                      <w:kern w:val="0"/>
                      <w:szCs w:val="21"/>
                      <w:lang w:bidi="ar"/>
                    </w:rPr>
                  </w:pPr>
                  <w:r>
                    <w:rPr>
                      <w:rFonts w:hint="eastAsia"/>
                      <w:color w:val="auto"/>
                      <w:kern w:val="0"/>
                      <w:szCs w:val="21"/>
                      <w:lang w:bidi="ar"/>
                    </w:rPr>
                    <w:t>不外排</w:t>
                  </w:r>
                </w:p>
              </w:tc>
              <w:tc>
                <w:tcPr>
                  <w:tcW w:w="475" w:type="pct"/>
                  <w:vAlign w:val="center"/>
                </w:tcPr>
                <w:p w14:paraId="17382972">
                  <w:pPr>
                    <w:jc w:val="center"/>
                    <w:rPr>
                      <w:color w:val="auto"/>
                      <w:szCs w:val="21"/>
                    </w:rPr>
                  </w:pPr>
                  <w:r>
                    <w:rPr>
                      <w:color w:val="auto"/>
                      <w:szCs w:val="21"/>
                    </w:rPr>
                    <w:t>TW001</w:t>
                  </w:r>
                </w:p>
              </w:tc>
              <w:tc>
                <w:tcPr>
                  <w:tcW w:w="346" w:type="pct"/>
                  <w:vAlign w:val="center"/>
                </w:tcPr>
                <w:p w14:paraId="17382973">
                  <w:pPr>
                    <w:jc w:val="center"/>
                    <w:rPr>
                      <w:color w:val="auto"/>
                      <w:kern w:val="0"/>
                      <w:szCs w:val="21"/>
                      <w:lang w:bidi="ar"/>
                    </w:rPr>
                  </w:pPr>
                  <w:r>
                    <w:rPr>
                      <w:rFonts w:hint="eastAsia"/>
                      <w:color w:val="auto"/>
                      <w:kern w:val="0"/>
                      <w:szCs w:val="21"/>
                      <w:lang w:bidi="ar"/>
                    </w:rPr>
                    <w:t>化粪池</w:t>
                  </w:r>
                </w:p>
              </w:tc>
              <w:tc>
                <w:tcPr>
                  <w:tcW w:w="428" w:type="pct"/>
                  <w:vAlign w:val="center"/>
                </w:tcPr>
                <w:p w14:paraId="17382974">
                  <w:pPr>
                    <w:jc w:val="center"/>
                    <w:rPr>
                      <w:color w:val="auto"/>
                      <w:szCs w:val="21"/>
                    </w:rPr>
                  </w:pPr>
                  <w:r>
                    <w:rPr>
                      <w:rFonts w:hint="eastAsia"/>
                      <w:color w:val="auto"/>
                      <w:kern w:val="0"/>
                      <w:szCs w:val="21"/>
                      <w:lang w:bidi="ar"/>
                    </w:rPr>
                    <w:t>化粪池</w:t>
                  </w:r>
                </w:p>
              </w:tc>
              <w:tc>
                <w:tcPr>
                  <w:tcW w:w="445" w:type="pct"/>
                  <w:vAlign w:val="center"/>
                </w:tcPr>
                <w:p w14:paraId="17382975">
                  <w:pPr>
                    <w:jc w:val="center"/>
                    <w:rPr>
                      <w:color w:val="auto"/>
                      <w:szCs w:val="21"/>
                      <w:highlight w:val="yellow"/>
                    </w:rPr>
                  </w:pPr>
                  <w:r>
                    <w:rPr>
                      <w:rFonts w:hint="eastAsia"/>
                      <w:color w:val="auto"/>
                      <w:szCs w:val="21"/>
                    </w:rPr>
                    <w:t>5m</w:t>
                  </w:r>
                  <w:r>
                    <w:rPr>
                      <w:rFonts w:hint="eastAsia"/>
                      <w:color w:val="auto"/>
                      <w:szCs w:val="21"/>
                      <w:vertAlign w:val="superscript"/>
                    </w:rPr>
                    <w:t>3</w:t>
                  </w:r>
                  <w:r>
                    <w:rPr>
                      <w:rFonts w:hint="eastAsia"/>
                      <w:color w:val="auto"/>
                      <w:szCs w:val="21"/>
                    </w:rPr>
                    <w:t>/d</w:t>
                  </w:r>
                </w:p>
              </w:tc>
              <w:tc>
                <w:tcPr>
                  <w:tcW w:w="329" w:type="pct"/>
                  <w:vAlign w:val="center"/>
                </w:tcPr>
                <w:p w14:paraId="17382976">
                  <w:pPr>
                    <w:jc w:val="center"/>
                    <w:rPr>
                      <w:color w:val="auto"/>
                      <w:szCs w:val="21"/>
                    </w:rPr>
                  </w:pPr>
                  <w:r>
                    <w:rPr>
                      <w:color w:val="auto"/>
                      <w:szCs w:val="21"/>
                    </w:rPr>
                    <w:t>是</w:t>
                  </w:r>
                </w:p>
              </w:tc>
              <w:tc>
                <w:tcPr>
                  <w:tcW w:w="492" w:type="pct"/>
                  <w:vAlign w:val="center"/>
                </w:tcPr>
                <w:p w14:paraId="17382977">
                  <w:pPr>
                    <w:jc w:val="center"/>
                    <w:rPr>
                      <w:color w:val="auto"/>
                      <w:szCs w:val="21"/>
                    </w:rPr>
                  </w:pPr>
                  <w:r>
                    <w:rPr>
                      <w:rFonts w:hint="eastAsia"/>
                      <w:color w:val="auto"/>
                      <w:szCs w:val="21"/>
                    </w:rPr>
                    <w:t>/</w:t>
                  </w:r>
                </w:p>
              </w:tc>
              <w:tc>
                <w:tcPr>
                  <w:tcW w:w="300" w:type="pct"/>
                  <w:vAlign w:val="center"/>
                </w:tcPr>
                <w:p w14:paraId="17382978">
                  <w:pPr>
                    <w:adjustRightInd w:val="0"/>
                    <w:snapToGrid w:val="0"/>
                    <w:jc w:val="center"/>
                    <w:rPr>
                      <w:color w:val="auto"/>
                      <w:szCs w:val="21"/>
                    </w:rPr>
                  </w:pPr>
                  <w:r>
                    <w:rPr>
                      <w:rFonts w:hint="eastAsia" w:ascii="Segoe UI Symbol" w:hAnsi="Segoe UI Symbol" w:cs="Segoe UI Symbol"/>
                      <w:color w:val="auto"/>
                      <w:spacing w:val="-7"/>
                      <w:szCs w:val="21"/>
                    </w:rPr>
                    <w:t>□</w:t>
                  </w:r>
                  <w:r>
                    <w:rPr>
                      <w:color w:val="auto"/>
                      <w:szCs w:val="21"/>
                    </w:rPr>
                    <w:t>是</w:t>
                  </w:r>
                </w:p>
                <w:p w14:paraId="17382979">
                  <w:pPr>
                    <w:jc w:val="center"/>
                    <w:rPr>
                      <w:color w:val="auto"/>
                      <w:szCs w:val="21"/>
                    </w:rPr>
                  </w:pPr>
                  <w:r>
                    <w:rPr>
                      <w:color w:val="auto"/>
                      <w:szCs w:val="21"/>
                    </w:rPr>
                    <w:sym w:font="Wingdings 2" w:char="00A3"/>
                  </w:r>
                  <w:r>
                    <w:rPr>
                      <w:color w:val="auto"/>
                      <w:szCs w:val="21"/>
                    </w:rPr>
                    <w:t>否</w:t>
                  </w:r>
                </w:p>
              </w:tc>
              <w:tc>
                <w:tcPr>
                  <w:tcW w:w="889" w:type="pct"/>
                  <w:vAlign w:val="center"/>
                </w:tcPr>
                <w:p w14:paraId="1738297A">
                  <w:pPr>
                    <w:adjustRightInd w:val="0"/>
                    <w:snapToGrid w:val="0"/>
                    <w:jc w:val="center"/>
                    <w:rPr>
                      <w:color w:val="auto"/>
                      <w:szCs w:val="21"/>
                    </w:rPr>
                  </w:pPr>
                  <w:r>
                    <w:rPr>
                      <w:rFonts w:hint="eastAsia" w:ascii="Segoe UI Symbol" w:hAnsi="Segoe UI Symbol" w:cs="Segoe UI Symbol"/>
                      <w:color w:val="auto"/>
                      <w:spacing w:val="-7"/>
                      <w:szCs w:val="21"/>
                    </w:rPr>
                    <w:t>□</w:t>
                  </w:r>
                  <w:r>
                    <w:rPr>
                      <w:color w:val="auto"/>
                      <w:szCs w:val="21"/>
                    </w:rPr>
                    <w:t>企业总排</w:t>
                  </w:r>
                </w:p>
                <w:p w14:paraId="1738297B">
                  <w:pPr>
                    <w:adjustRightInd w:val="0"/>
                    <w:snapToGrid w:val="0"/>
                    <w:jc w:val="center"/>
                    <w:rPr>
                      <w:color w:val="auto"/>
                      <w:szCs w:val="21"/>
                    </w:rPr>
                  </w:pPr>
                  <w:r>
                    <w:rPr>
                      <w:color w:val="auto"/>
                      <w:szCs w:val="21"/>
                    </w:rPr>
                    <w:sym w:font="Wingdings 2" w:char="00A3"/>
                  </w:r>
                  <w:r>
                    <w:rPr>
                      <w:color w:val="auto"/>
                      <w:szCs w:val="21"/>
                    </w:rPr>
                    <w:t>雨水排放</w:t>
                  </w:r>
                </w:p>
                <w:p w14:paraId="1738297C">
                  <w:pPr>
                    <w:adjustRightInd w:val="0"/>
                    <w:snapToGrid w:val="0"/>
                    <w:jc w:val="center"/>
                    <w:rPr>
                      <w:color w:val="auto"/>
                      <w:szCs w:val="21"/>
                    </w:rPr>
                  </w:pPr>
                  <w:r>
                    <w:rPr>
                      <w:color w:val="auto"/>
                      <w:szCs w:val="21"/>
                    </w:rPr>
                    <w:sym w:font="Wingdings 2" w:char="00A3"/>
                  </w:r>
                  <w:r>
                    <w:rPr>
                      <w:color w:val="auto"/>
                      <w:szCs w:val="21"/>
                    </w:rPr>
                    <w:t>清净下水排放</w:t>
                  </w:r>
                </w:p>
                <w:p w14:paraId="1738297D">
                  <w:pPr>
                    <w:adjustRightInd w:val="0"/>
                    <w:snapToGrid w:val="0"/>
                    <w:jc w:val="center"/>
                    <w:rPr>
                      <w:color w:val="auto"/>
                      <w:szCs w:val="21"/>
                    </w:rPr>
                  </w:pPr>
                  <w:r>
                    <w:rPr>
                      <w:color w:val="auto"/>
                      <w:szCs w:val="21"/>
                    </w:rPr>
                    <w:sym w:font="Wingdings 2" w:char="00A3"/>
                  </w:r>
                  <w:r>
                    <w:rPr>
                      <w:color w:val="auto"/>
                      <w:szCs w:val="21"/>
                    </w:rPr>
                    <w:t>温排水排放</w:t>
                  </w:r>
                </w:p>
                <w:p w14:paraId="1738297E">
                  <w:pPr>
                    <w:jc w:val="center"/>
                    <w:rPr>
                      <w:color w:val="auto"/>
                      <w:szCs w:val="21"/>
                    </w:rPr>
                  </w:pPr>
                  <w:r>
                    <w:rPr>
                      <w:color w:val="auto"/>
                      <w:szCs w:val="21"/>
                    </w:rPr>
                    <w:sym w:font="Wingdings 2" w:char="00A3"/>
                  </w:r>
                  <w:r>
                    <w:rPr>
                      <w:color w:val="auto"/>
                      <w:szCs w:val="21"/>
                    </w:rPr>
                    <w:t>车间或车间处理设施排放口</w:t>
                  </w:r>
                </w:p>
              </w:tc>
            </w:tr>
          </w:tbl>
          <w:p w14:paraId="17382980">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2.2废水处理工艺可行性分析</w:t>
            </w:r>
          </w:p>
          <w:p w14:paraId="17382981">
            <w:pPr>
              <w:adjustRightInd w:val="0"/>
              <w:snapToGrid w:val="0"/>
              <w:spacing w:line="360" w:lineRule="auto"/>
              <w:ind w:firstLine="480" w:firstLineChars="200"/>
              <w:rPr>
                <w:bCs/>
                <w:color w:val="auto"/>
                <w:sz w:val="24"/>
              </w:rPr>
            </w:pPr>
            <w:r>
              <w:rPr>
                <w:bCs/>
                <w:color w:val="auto"/>
                <w:sz w:val="24"/>
              </w:rPr>
              <w:t>（1）废水治理措施可行性分析</w:t>
            </w:r>
          </w:p>
          <w:p w14:paraId="17382982">
            <w:pPr>
              <w:spacing w:line="360" w:lineRule="auto"/>
              <w:ind w:firstLine="480" w:firstLineChars="200"/>
              <w:rPr>
                <w:color w:val="auto"/>
                <w:sz w:val="24"/>
              </w:rPr>
            </w:pPr>
            <w:r>
              <w:rPr>
                <w:color w:val="auto"/>
                <w:sz w:val="24"/>
              </w:rPr>
              <w:t>化粪池是一种利用沉淀和厌氧发酵的原理，去除生活污水中悬浮性有机物的处理设施，属于初级的过渡</w:t>
            </w:r>
            <w:r>
              <w:rPr>
                <w:rFonts w:hint="eastAsia"/>
                <w:color w:val="auto"/>
                <w:sz w:val="24"/>
              </w:rPr>
              <w:t>型</w:t>
            </w:r>
            <w:r>
              <w:rPr>
                <w:color w:val="auto"/>
                <w:sz w:val="24"/>
              </w:rPr>
              <w:t>生活处理</w:t>
            </w:r>
            <w:r>
              <w:rPr>
                <w:color w:val="auto"/>
              </w:rPr>
              <w:fldChar w:fldCharType="begin"/>
            </w:r>
            <w:r>
              <w:rPr>
                <w:color w:val="auto"/>
              </w:rPr>
              <w:instrText xml:space="preserve"> HYPERLINK "https://baike.baidu.com/item/%E6%9E%84%E7%AD%91%E7%89%A9" \t "https://baike.baidu.com/item/%E5%8C%96%E7%B2%AA%E6%B1%A0/_blank" </w:instrText>
            </w:r>
            <w:r>
              <w:rPr>
                <w:color w:val="auto"/>
              </w:rPr>
              <w:fldChar w:fldCharType="separate"/>
            </w:r>
            <w:r>
              <w:rPr>
                <w:color w:val="auto"/>
                <w:sz w:val="24"/>
              </w:rPr>
              <w:t>构筑物</w:t>
            </w:r>
            <w:r>
              <w:rPr>
                <w:color w:val="auto"/>
                <w:sz w:val="24"/>
              </w:rPr>
              <w:fldChar w:fldCharType="end"/>
            </w:r>
            <w:r>
              <w:rPr>
                <w:color w:val="auto"/>
                <w:sz w:val="24"/>
              </w:rPr>
              <w:t>。污水进入化粪池经过12~24h的沉淀，可去除50%~60%的悬浮物。沉淀下来的污泥经过3个月以上的厌氧发酵分解，使污泥中的有机物分解成稳定的无机物，易腐败的生污泥转化为稳定的熟污泥，改变了污泥的结构，降低了污泥的含水率。定期将污泥清掏外运，填埋或用作肥料。根据《我国农村化粪池污染物去除效果及影响因素分析》（王浩，王俊能等），研究结果表明，化粪池对COD、SS、</w:t>
            </w:r>
            <w:r>
              <w:rPr>
                <w:rFonts w:hint="eastAsia"/>
                <w:color w:val="auto"/>
                <w:sz w:val="24"/>
              </w:rPr>
              <w:t>氨氮</w:t>
            </w:r>
            <w:r>
              <w:rPr>
                <w:color w:val="auto"/>
                <w:sz w:val="24"/>
              </w:rPr>
              <w:t>、TN、TP的去除范围为21</w:t>
            </w:r>
            <w:r>
              <w:rPr>
                <w:rFonts w:hint="eastAsia"/>
                <w:color w:val="auto"/>
                <w:sz w:val="24"/>
              </w:rPr>
              <w:t>%</w:t>
            </w:r>
            <w:r>
              <w:rPr>
                <w:color w:val="auto"/>
                <w:sz w:val="24"/>
              </w:rPr>
              <w:t>~65%、5</w:t>
            </w:r>
            <w:r>
              <w:rPr>
                <w:rFonts w:hint="eastAsia"/>
                <w:color w:val="auto"/>
                <w:sz w:val="24"/>
              </w:rPr>
              <w:t>5</w:t>
            </w:r>
            <w:r>
              <w:rPr>
                <w:color w:val="auto"/>
                <w:sz w:val="24"/>
              </w:rPr>
              <w:t>%~</w:t>
            </w:r>
            <w:r>
              <w:rPr>
                <w:rFonts w:hint="eastAsia"/>
                <w:color w:val="auto"/>
                <w:sz w:val="24"/>
              </w:rPr>
              <w:t>78</w:t>
            </w:r>
            <w:r>
              <w:rPr>
                <w:color w:val="auto"/>
                <w:sz w:val="24"/>
              </w:rPr>
              <w:t>%、</w:t>
            </w:r>
            <w:r>
              <w:rPr>
                <w:rFonts w:hint="eastAsia"/>
                <w:color w:val="auto"/>
                <w:sz w:val="24"/>
              </w:rPr>
              <w:t>12%</w:t>
            </w:r>
            <w:r>
              <w:rPr>
                <w:color w:val="auto"/>
                <w:sz w:val="24"/>
              </w:rPr>
              <w:t>~</w:t>
            </w:r>
            <w:r>
              <w:rPr>
                <w:rFonts w:hint="eastAsia"/>
                <w:color w:val="auto"/>
                <w:sz w:val="24"/>
              </w:rPr>
              <w:t>26</w:t>
            </w:r>
            <w:r>
              <w:rPr>
                <w:color w:val="auto"/>
                <w:sz w:val="24"/>
              </w:rPr>
              <w:t>%、4</w:t>
            </w:r>
            <w:r>
              <w:rPr>
                <w:rFonts w:hint="eastAsia"/>
                <w:color w:val="auto"/>
                <w:sz w:val="24"/>
              </w:rPr>
              <w:t>%</w:t>
            </w:r>
            <w:r>
              <w:rPr>
                <w:color w:val="auto"/>
                <w:sz w:val="24"/>
              </w:rPr>
              <w:t>~12%、7</w:t>
            </w:r>
            <w:r>
              <w:rPr>
                <w:rFonts w:hint="eastAsia"/>
                <w:color w:val="auto"/>
                <w:sz w:val="24"/>
              </w:rPr>
              <w:t>%</w:t>
            </w:r>
            <w:r>
              <w:rPr>
                <w:color w:val="auto"/>
                <w:sz w:val="24"/>
              </w:rPr>
              <w:t>~21%，本项目各污染物去除率取中值进行计算</w:t>
            </w:r>
            <w:r>
              <w:rPr>
                <w:rFonts w:hint="eastAsia"/>
                <w:color w:val="auto"/>
                <w:sz w:val="24"/>
              </w:rPr>
              <w:t>，即</w:t>
            </w:r>
            <w:r>
              <w:rPr>
                <w:color w:val="auto"/>
                <w:sz w:val="24"/>
              </w:rPr>
              <w:t>COD、SS、</w:t>
            </w:r>
            <w:r>
              <w:rPr>
                <w:rFonts w:hint="eastAsia"/>
                <w:color w:val="auto"/>
                <w:sz w:val="24"/>
              </w:rPr>
              <w:t>氨氮</w:t>
            </w:r>
            <w:r>
              <w:rPr>
                <w:color w:val="auto"/>
                <w:sz w:val="24"/>
              </w:rPr>
              <w:t>、TN、TP的去除</w:t>
            </w:r>
            <w:r>
              <w:rPr>
                <w:rFonts w:hint="eastAsia"/>
                <w:color w:val="auto"/>
                <w:sz w:val="24"/>
              </w:rPr>
              <w:t>效率</w:t>
            </w:r>
            <w:r>
              <w:rPr>
                <w:color w:val="auto"/>
                <w:sz w:val="24"/>
              </w:rPr>
              <w:t>为</w:t>
            </w:r>
            <w:r>
              <w:rPr>
                <w:rFonts w:hint="eastAsia"/>
                <w:color w:val="auto"/>
                <w:sz w:val="24"/>
              </w:rPr>
              <w:t>43</w:t>
            </w:r>
            <w:r>
              <w:rPr>
                <w:color w:val="auto"/>
                <w:sz w:val="24"/>
              </w:rPr>
              <w:t>%、</w:t>
            </w:r>
            <w:r>
              <w:rPr>
                <w:rFonts w:hint="eastAsia"/>
                <w:color w:val="auto"/>
                <w:sz w:val="24"/>
              </w:rPr>
              <w:t>67</w:t>
            </w:r>
            <w:r>
              <w:rPr>
                <w:color w:val="auto"/>
                <w:sz w:val="24"/>
              </w:rPr>
              <w:t>%、</w:t>
            </w:r>
            <w:r>
              <w:rPr>
                <w:rFonts w:hint="eastAsia"/>
                <w:color w:val="auto"/>
                <w:sz w:val="24"/>
              </w:rPr>
              <w:t>19</w:t>
            </w:r>
            <w:r>
              <w:rPr>
                <w:color w:val="auto"/>
                <w:sz w:val="24"/>
              </w:rPr>
              <w:t>%、</w:t>
            </w:r>
            <w:r>
              <w:rPr>
                <w:rFonts w:hint="eastAsia"/>
                <w:color w:val="auto"/>
                <w:sz w:val="24"/>
              </w:rPr>
              <w:t>16</w:t>
            </w:r>
            <w:r>
              <w:rPr>
                <w:color w:val="auto"/>
                <w:sz w:val="24"/>
              </w:rPr>
              <w:t>%、</w:t>
            </w:r>
            <w:r>
              <w:rPr>
                <w:rFonts w:hint="eastAsia"/>
                <w:color w:val="auto"/>
                <w:sz w:val="24"/>
              </w:rPr>
              <w:t>14</w:t>
            </w:r>
            <w:r>
              <w:rPr>
                <w:color w:val="auto"/>
                <w:sz w:val="24"/>
              </w:rPr>
              <w:t>%。</w:t>
            </w:r>
          </w:p>
          <w:p w14:paraId="17382983">
            <w:pPr>
              <w:spacing w:line="360" w:lineRule="auto"/>
              <w:ind w:firstLine="480" w:firstLineChars="200"/>
              <w:rPr>
                <w:color w:val="auto"/>
                <w:sz w:val="24"/>
              </w:rPr>
            </w:pPr>
            <w:r>
              <w:rPr>
                <w:color w:val="auto"/>
                <w:sz w:val="24"/>
              </w:rPr>
              <w:t>参考《排污许可证申请与核发技术规范水处理通用工序》（HJ1120—2020）附录A中表A.1中提供的用于治理生活污水的可行技术为</w:t>
            </w:r>
            <w:r>
              <w:rPr>
                <w:rFonts w:hint="eastAsia"/>
                <w:color w:val="auto"/>
                <w:sz w:val="24"/>
              </w:rPr>
              <w:t>“</w:t>
            </w:r>
            <w:r>
              <w:rPr>
                <w:color w:val="auto"/>
                <w:sz w:val="24"/>
              </w:rPr>
              <w:t>预处理：调整、隔油、格栅、沉淀、气浮、混凝</w:t>
            </w:r>
            <w:r>
              <w:rPr>
                <w:rFonts w:hint="eastAsia"/>
                <w:color w:val="auto"/>
                <w:sz w:val="24"/>
              </w:rPr>
              <w:t>”</w:t>
            </w:r>
            <w:r>
              <w:rPr>
                <w:color w:val="auto"/>
                <w:sz w:val="24"/>
              </w:rPr>
              <w:t>。本项目员工生活污水拟采用</w:t>
            </w:r>
            <w:r>
              <w:rPr>
                <w:rFonts w:hint="eastAsia"/>
                <w:color w:val="auto"/>
                <w:sz w:val="24"/>
                <w:lang w:val="en-US" w:eastAsia="zh-CN"/>
              </w:rPr>
              <w:t>化粪池</w:t>
            </w:r>
            <w:r>
              <w:rPr>
                <w:color w:val="auto"/>
                <w:sz w:val="24"/>
              </w:rPr>
              <w:t>处理，为《排污许可证申请与核发技术规范水处理通用工序》（HJ1120—2020）中提供的可行技术。</w:t>
            </w:r>
          </w:p>
          <w:p w14:paraId="17382984">
            <w:pPr>
              <w:spacing w:line="360" w:lineRule="auto"/>
              <w:ind w:firstLine="480" w:firstLineChars="200"/>
              <w:rPr>
                <w:color w:val="auto"/>
                <w:sz w:val="24"/>
              </w:rPr>
            </w:pPr>
            <w:r>
              <w:rPr>
                <w:color w:val="auto"/>
                <w:sz w:val="24"/>
              </w:rPr>
              <w:t>（2）</w:t>
            </w:r>
            <w:r>
              <w:rPr>
                <w:rFonts w:hint="eastAsia"/>
                <w:color w:val="auto"/>
                <w:sz w:val="24"/>
              </w:rPr>
              <w:t>可行性分析</w:t>
            </w:r>
          </w:p>
          <w:p w14:paraId="17382985">
            <w:pPr>
              <w:spacing w:line="360" w:lineRule="auto"/>
              <w:ind w:firstLine="480" w:firstLineChars="200"/>
              <w:rPr>
                <w:color w:val="auto"/>
                <w:sz w:val="24"/>
              </w:rPr>
            </w:pPr>
            <w:r>
              <w:rPr>
                <w:rFonts w:hint="eastAsia"/>
                <w:color w:val="auto"/>
                <w:sz w:val="24"/>
              </w:rPr>
              <w:t>本</w:t>
            </w:r>
            <w:r>
              <w:rPr>
                <w:color w:val="auto"/>
                <w:sz w:val="24"/>
              </w:rPr>
              <w:t>项目废水含有氮、磷、有机物等营养成分，进入土壤则成为有效的肥力资源；项目生活废水经</w:t>
            </w:r>
            <w:r>
              <w:rPr>
                <w:rFonts w:hint="eastAsia"/>
                <w:color w:val="auto"/>
                <w:sz w:val="24"/>
              </w:rPr>
              <w:t>化粪池</w:t>
            </w:r>
            <w:r>
              <w:rPr>
                <w:color w:val="auto"/>
                <w:sz w:val="24"/>
              </w:rPr>
              <w:t>预处理，作为有机肥料进入周围农田，可减少化肥使用量，实现经济效益和生态效益的统一。</w:t>
            </w:r>
          </w:p>
          <w:p w14:paraId="17382986">
            <w:pPr>
              <w:spacing w:line="360" w:lineRule="auto"/>
              <w:ind w:firstLine="480" w:firstLineChars="200"/>
              <w:rPr>
                <w:color w:val="auto"/>
                <w:sz w:val="24"/>
              </w:rPr>
            </w:pPr>
            <w:r>
              <w:rPr>
                <w:color w:val="auto"/>
                <w:sz w:val="24"/>
              </w:rPr>
              <w:t>根据工程分析可知，本项目废水其主要污染物及浓度分别为：COD</w:t>
            </w:r>
            <w:r>
              <w:rPr>
                <w:rFonts w:hint="eastAsia"/>
                <w:color w:val="auto"/>
                <w:sz w:val="24"/>
              </w:rPr>
              <w:t xml:space="preserve"> 193.8</w:t>
            </w:r>
            <w:r>
              <w:rPr>
                <w:color w:val="auto"/>
                <w:sz w:val="24"/>
              </w:rPr>
              <w:t>mg/L、SS</w:t>
            </w:r>
            <w:r>
              <w:rPr>
                <w:rFonts w:hint="eastAsia"/>
                <w:color w:val="auto"/>
                <w:sz w:val="24"/>
              </w:rPr>
              <w:t xml:space="preserve"> 135</w:t>
            </w:r>
            <w:r>
              <w:rPr>
                <w:color w:val="auto"/>
                <w:sz w:val="24"/>
              </w:rPr>
              <w:t>mg/L、氨氮</w:t>
            </w:r>
            <w:r>
              <w:rPr>
                <w:rFonts w:hint="eastAsia"/>
                <w:color w:val="auto"/>
                <w:sz w:val="24"/>
              </w:rPr>
              <w:t>26.4</w:t>
            </w:r>
            <w:r>
              <w:rPr>
                <w:color w:val="auto"/>
                <w:sz w:val="24"/>
              </w:rPr>
              <w:t>mg/L、</w:t>
            </w:r>
            <w:r>
              <w:rPr>
                <w:rFonts w:hint="eastAsia"/>
                <w:color w:val="auto"/>
                <w:sz w:val="24"/>
              </w:rPr>
              <w:t>总氮37.6</w:t>
            </w:r>
            <w:r>
              <w:rPr>
                <w:color w:val="auto"/>
                <w:sz w:val="24"/>
              </w:rPr>
              <w:t>mg/L</w:t>
            </w:r>
            <w:r>
              <w:rPr>
                <w:rFonts w:hint="eastAsia"/>
                <w:color w:val="auto"/>
                <w:sz w:val="24"/>
              </w:rPr>
              <w:t>、</w:t>
            </w:r>
            <w:r>
              <w:rPr>
                <w:color w:val="auto"/>
                <w:sz w:val="24"/>
              </w:rPr>
              <w:t>总磷</w:t>
            </w:r>
            <w:r>
              <w:rPr>
                <w:rFonts w:hint="eastAsia"/>
                <w:color w:val="auto"/>
                <w:sz w:val="24"/>
              </w:rPr>
              <w:t>3.7</w:t>
            </w:r>
            <w:r>
              <w:rPr>
                <w:color w:val="auto"/>
                <w:sz w:val="24"/>
              </w:rPr>
              <w:t>mg/L。根据《江苏统计年鉴-2018》，玉米目标产量6t/hm</w:t>
            </w:r>
            <w:r>
              <w:rPr>
                <w:color w:val="auto"/>
                <w:sz w:val="24"/>
                <w:vertAlign w:val="superscript"/>
              </w:rPr>
              <w:t>2</w:t>
            </w:r>
            <w:r>
              <w:rPr>
                <w:color w:val="auto"/>
                <w:sz w:val="24"/>
              </w:rPr>
              <w:t>，小麦目标产量4.5t/hm</w:t>
            </w:r>
            <w:r>
              <w:rPr>
                <w:color w:val="auto"/>
                <w:sz w:val="24"/>
                <w:vertAlign w:val="superscript"/>
              </w:rPr>
              <w:t>2</w:t>
            </w:r>
            <w:r>
              <w:rPr>
                <w:color w:val="auto"/>
                <w:sz w:val="24"/>
              </w:rPr>
              <w:t>。</w:t>
            </w:r>
            <w:r>
              <w:rPr>
                <w:rFonts w:hint="eastAsia"/>
                <w:color w:val="auto"/>
                <w:sz w:val="24"/>
              </w:rPr>
              <w:t>本项目所在区域小麦种植时间为每年的</w:t>
            </w:r>
            <w:r>
              <w:rPr>
                <w:color w:val="auto"/>
                <w:sz w:val="24"/>
              </w:rPr>
              <w:t>10-6</w:t>
            </w:r>
            <w:r>
              <w:rPr>
                <w:rFonts w:hint="eastAsia"/>
                <w:color w:val="auto"/>
                <w:sz w:val="24"/>
              </w:rPr>
              <w:t>月，玉米种植时间为每年的</w:t>
            </w:r>
            <w:r>
              <w:rPr>
                <w:color w:val="auto"/>
                <w:sz w:val="24"/>
              </w:rPr>
              <w:t>7-10</w:t>
            </w:r>
            <w:r>
              <w:rPr>
                <w:rFonts w:hint="eastAsia"/>
                <w:color w:val="auto"/>
                <w:sz w:val="24"/>
              </w:rPr>
              <w:t>月。 其中小麦种植之前（</w:t>
            </w:r>
            <w:r>
              <w:rPr>
                <w:color w:val="auto"/>
                <w:sz w:val="24"/>
              </w:rPr>
              <w:t>10</w:t>
            </w:r>
            <w:r>
              <w:rPr>
                <w:rFonts w:hint="eastAsia"/>
                <w:color w:val="auto"/>
                <w:sz w:val="24"/>
              </w:rPr>
              <w:t>月份）施基肥一次，小麦返青期或拔节期盖住地皮（</w:t>
            </w:r>
            <w:r>
              <w:rPr>
                <w:color w:val="auto"/>
                <w:sz w:val="24"/>
              </w:rPr>
              <w:t>12</w:t>
            </w:r>
            <w:r>
              <w:rPr>
                <w:rFonts w:hint="eastAsia"/>
                <w:color w:val="auto"/>
                <w:sz w:val="24"/>
              </w:rPr>
              <w:t>月份或</w:t>
            </w:r>
            <w:r>
              <w:rPr>
                <w:color w:val="auto"/>
                <w:sz w:val="24"/>
              </w:rPr>
              <w:t>1</w:t>
            </w:r>
            <w:r>
              <w:rPr>
                <w:rFonts w:hint="eastAsia"/>
                <w:color w:val="auto"/>
                <w:sz w:val="24"/>
              </w:rPr>
              <w:t>月份）施追肥一次；麦收之后玉米种植之前（约</w:t>
            </w:r>
            <w:r>
              <w:rPr>
                <w:color w:val="auto"/>
                <w:sz w:val="24"/>
              </w:rPr>
              <w:t>6</w:t>
            </w:r>
            <w:r>
              <w:rPr>
                <w:rFonts w:hint="eastAsia"/>
                <w:color w:val="auto"/>
                <w:sz w:val="24"/>
              </w:rPr>
              <w:t>月）施基肥一次，玉米种植期间（</w:t>
            </w:r>
            <w:r>
              <w:rPr>
                <w:color w:val="auto"/>
                <w:sz w:val="24"/>
              </w:rPr>
              <w:t>7</w:t>
            </w:r>
            <w:r>
              <w:rPr>
                <w:rFonts w:hint="eastAsia"/>
                <w:color w:val="auto"/>
                <w:sz w:val="24"/>
              </w:rPr>
              <w:t>月份</w:t>
            </w:r>
            <w:r>
              <w:rPr>
                <w:color w:val="auto"/>
                <w:sz w:val="24"/>
              </w:rPr>
              <w:t>-9</w:t>
            </w:r>
            <w:r>
              <w:rPr>
                <w:rFonts w:hint="eastAsia"/>
                <w:color w:val="auto"/>
                <w:sz w:val="24"/>
              </w:rPr>
              <w:t>月份）需施追肥三次，</w:t>
            </w:r>
            <w:r>
              <w:rPr>
                <w:color w:val="auto"/>
                <w:sz w:val="24"/>
              </w:rPr>
              <w:t>单位土地氮肥养分需求量</w:t>
            </w:r>
            <w:r>
              <w:rPr>
                <w:rFonts w:hint="eastAsia"/>
                <w:color w:val="auto"/>
                <w:sz w:val="24"/>
              </w:rPr>
              <w:t>为</w:t>
            </w:r>
            <w:r>
              <w:rPr>
                <w:color w:val="auto"/>
                <w:sz w:val="24"/>
              </w:rPr>
              <w:t>16.38kg/亩</w:t>
            </w:r>
            <w:r>
              <w:rPr>
                <w:rFonts w:hint="eastAsia"/>
                <w:color w:val="auto"/>
                <w:sz w:val="24"/>
              </w:rPr>
              <w:t>，磷</w:t>
            </w:r>
            <w:r>
              <w:rPr>
                <w:color w:val="auto"/>
                <w:sz w:val="24"/>
              </w:rPr>
              <w:t>肥养分需求量</w:t>
            </w:r>
            <w:r>
              <w:rPr>
                <w:rFonts w:hint="eastAsia"/>
                <w:color w:val="auto"/>
                <w:sz w:val="24"/>
              </w:rPr>
              <w:t>为3.15</w:t>
            </w:r>
            <w:r>
              <w:rPr>
                <w:color w:val="auto"/>
                <w:sz w:val="24"/>
              </w:rPr>
              <w:t>kg/亩</w:t>
            </w:r>
            <w:r>
              <w:rPr>
                <w:rFonts w:hint="eastAsia"/>
                <w:color w:val="auto"/>
                <w:sz w:val="24"/>
              </w:rPr>
              <w:t>，考虑至少一倍以上土地轮作，经计算，则需面积约为2亩。本公司东侧约200m处</w:t>
            </w:r>
            <w:r>
              <w:rPr>
                <w:color w:val="auto"/>
                <w:sz w:val="24"/>
                <w:lang w:val="zh-CN"/>
              </w:rPr>
              <w:t>有大片农田，</w:t>
            </w:r>
            <w:r>
              <w:rPr>
                <w:rFonts w:hint="eastAsia"/>
                <w:color w:val="auto"/>
                <w:sz w:val="24"/>
              </w:rPr>
              <w:t>以旱地为主</w:t>
            </w:r>
            <w:r>
              <w:rPr>
                <w:color w:val="auto"/>
                <w:sz w:val="24"/>
                <w:lang w:val="zh-CN"/>
              </w:rPr>
              <w:t>，有着较大的施肥用地空间，</w:t>
            </w:r>
            <w:r>
              <w:rPr>
                <w:rFonts w:hint="eastAsia"/>
                <w:color w:val="auto"/>
                <w:sz w:val="24"/>
                <w:lang w:val="en-US" w:eastAsia="zh-CN"/>
              </w:rPr>
              <w:t>农田灌溉</w:t>
            </w:r>
            <w:r>
              <w:rPr>
                <w:rFonts w:hint="eastAsia"/>
                <w:color w:val="auto"/>
                <w:sz w:val="24"/>
              </w:rPr>
              <w:t>可行。</w:t>
            </w:r>
          </w:p>
          <w:p w14:paraId="17382987">
            <w:pPr>
              <w:spacing w:line="360" w:lineRule="auto"/>
              <w:ind w:firstLine="480" w:firstLineChars="200"/>
              <w:rPr>
                <w:color w:val="auto"/>
                <w:sz w:val="24"/>
              </w:rPr>
            </w:pPr>
            <w:r>
              <w:rPr>
                <w:rFonts w:hint="eastAsia"/>
                <w:color w:val="auto"/>
                <w:sz w:val="24"/>
              </w:rPr>
              <w:t>（3）同类型案例分析</w:t>
            </w:r>
          </w:p>
          <w:p w14:paraId="17382988">
            <w:pPr>
              <w:spacing w:line="360" w:lineRule="auto"/>
              <w:ind w:firstLine="480" w:firstLineChars="200"/>
              <w:rPr>
                <w:color w:val="auto"/>
                <w:sz w:val="24"/>
              </w:rPr>
            </w:pPr>
            <w:r>
              <w:rPr>
                <w:rFonts w:hint="eastAsia"/>
                <w:color w:val="auto"/>
                <w:sz w:val="24"/>
              </w:rPr>
              <w:t>根据《湛江市麻章区顺安环保砖业有限公司年扩建</w:t>
            </w:r>
            <w:r>
              <w:rPr>
                <w:color w:val="auto"/>
                <w:sz w:val="24"/>
              </w:rPr>
              <w:t>3000</w:t>
            </w:r>
            <w:r>
              <w:rPr>
                <w:rFonts w:hint="eastAsia"/>
                <w:color w:val="auto"/>
                <w:sz w:val="24"/>
              </w:rPr>
              <w:t>万环保节能砖项目验收检测报告》（</w:t>
            </w:r>
            <w:r>
              <w:rPr>
                <w:color w:val="auto"/>
                <w:sz w:val="24"/>
              </w:rPr>
              <w:t>2020</w:t>
            </w:r>
            <w:r>
              <w:rPr>
                <w:rFonts w:hint="eastAsia"/>
                <w:color w:val="auto"/>
                <w:sz w:val="24"/>
              </w:rPr>
              <w:t>年</w:t>
            </w:r>
            <w:r>
              <w:rPr>
                <w:color w:val="auto"/>
                <w:sz w:val="24"/>
              </w:rPr>
              <w:t>3</w:t>
            </w:r>
            <w:r>
              <w:rPr>
                <w:rFonts w:hint="eastAsia"/>
                <w:color w:val="auto"/>
                <w:sz w:val="24"/>
              </w:rPr>
              <w:t>月）（</w:t>
            </w:r>
            <w:r>
              <w:rPr>
                <w:color w:val="auto"/>
                <w:sz w:val="24"/>
              </w:rPr>
              <w:t>TCWY</w:t>
            </w:r>
            <w:r>
              <w:rPr>
                <w:rFonts w:hint="eastAsia"/>
                <w:color w:val="auto"/>
                <w:sz w:val="24"/>
              </w:rPr>
              <w:t>检字（</w:t>
            </w:r>
            <w:r>
              <w:rPr>
                <w:color w:val="auto"/>
                <w:sz w:val="24"/>
              </w:rPr>
              <w:t>2020</w:t>
            </w:r>
            <w:r>
              <w:rPr>
                <w:rFonts w:hint="eastAsia"/>
                <w:color w:val="auto"/>
                <w:sz w:val="24"/>
              </w:rPr>
              <w:t>）第</w:t>
            </w:r>
            <w:r>
              <w:rPr>
                <w:color w:val="auto"/>
                <w:sz w:val="24"/>
              </w:rPr>
              <w:t>0304027</w:t>
            </w:r>
            <w:r>
              <w:rPr>
                <w:rFonts w:hint="eastAsia"/>
                <w:color w:val="auto"/>
                <w:sz w:val="24"/>
              </w:rPr>
              <w:t xml:space="preserve">号），本次验收监测在化粪池的排出口设置 </w:t>
            </w:r>
            <w:r>
              <w:rPr>
                <w:color w:val="auto"/>
                <w:sz w:val="24"/>
              </w:rPr>
              <w:t>1</w:t>
            </w:r>
            <w:r>
              <w:rPr>
                <w:rFonts w:hint="eastAsia"/>
                <w:color w:val="auto"/>
                <w:sz w:val="24"/>
              </w:rPr>
              <w:t>个监测点，每天采样</w:t>
            </w:r>
            <w:r>
              <w:rPr>
                <w:color w:val="auto"/>
                <w:sz w:val="24"/>
              </w:rPr>
              <w:t>3</w:t>
            </w:r>
            <w:r>
              <w:rPr>
                <w:rFonts w:hint="eastAsia"/>
                <w:color w:val="auto"/>
                <w:sz w:val="24"/>
              </w:rPr>
              <w:t>次，连续监测</w:t>
            </w:r>
            <w:r>
              <w:rPr>
                <w:color w:val="auto"/>
                <w:sz w:val="24"/>
              </w:rPr>
              <w:t>2</w:t>
            </w:r>
            <w:r>
              <w:rPr>
                <w:rFonts w:hint="eastAsia"/>
                <w:color w:val="auto"/>
                <w:sz w:val="24"/>
              </w:rPr>
              <w:t>天，监测结果见下表。</w:t>
            </w:r>
          </w:p>
          <w:p w14:paraId="17382989">
            <w:pPr>
              <w:widowControl/>
              <w:adjustRightInd w:val="0"/>
              <w:snapToGrid w:val="0"/>
              <w:jc w:val="center"/>
              <w:rPr>
                <w:b/>
                <w:color w:val="auto"/>
                <w:kern w:val="0"/>
                <w:sz w:val="24"/>
              </w:rPr>
            </w:pPr>
            <w:r>
              <w:rPr>
                <w:rFonts w:hint="eastAsia"/>
                <w:b/>
                <w:color w:val="auto"/>
                <w:kern w:val="0"/>
                <w:sz w:val="24"/>
              </w:rPr>
              <w:t>表4-12废水监测结果统计表 单位：</w:t>
            </w:r>
            <w:r>
              <w:rPr>
                <w:b/>
                <w:color w:val="auto"/>
                <w:kern w:val="0"/>
                <w:sz w:val="24"/>
              </w:rPr>
              <w:t>mg/L</w:t>
            </w:r>
          </w:p>
          <w:tbl>
            <w:tblPr>
              <w:tblStyle w:val="89"/>
              <w:tblW w:w="8478"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61"/>
              <w:gridCol w:w="645"/>
              <w:gridCol w:w="993"/>
              <w:gridCol w:w="1156"/>
              <w:gridCol w:w="1147"/>
              <w:gridCol w:w="1125"/>
              <w:gridCol w:w="1125"/>
              <w:gridCol w:w="1126"/>
            </w:tblGrid>
            <w:tr w14:paraId="1738299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06" w:type="dxa"/>
                  <w:gridSpan w:val="2"/>
                  <w:tcBorders>
                    <w:tl2br w:val="nil"/>
                    <w:tr2bl w:val="nil"/>
                  </w:tcBorders>
                  <w:vAlign w:val="center"/>
                </w:tcPr>
                <w:p w14:paraId="1738298A">
                  <w:pPr>
                    <w:pStyle w:val="55"/>
                    <w:jc w:val="center"/>
                    <w:rPr>
                      <w:b/>
                      <w:bCs/>
                      <w:color w:val="auto"/>
                      <w:sz w:val="21"/>
                      <w:szCs w:val="21"/>
                      <w:lang w:val="en-US"/>
                    </w:rPr>
                  </w:pPr>
                  <w:r>
                    <w:rPr>
                      <w:b/>
                      <w:bCs/>
                      <w:color w:val="auto"/>
                      <w:sz w:val="21"/>
                      <w:szCs w:val="21"/>
                      <w:lang w:val="en-US"/>
                    </w:rPr>
                    <w:t>时间和采样点位</w:t>
                  </w:r>
                </w:p>
              </w:tc>
              <w:tc>
                <w:tcPr>
                  <w:tcW w:w="993" w:type="dxa"/>
                  <w:tcBorders>
                    <w:tl2br w:val="nil"/>
                    <w:tr2bl w:val="nil"/>
                  </w:tcBorders>
                  <w:vAlign w:val="center"/>
                </w:tcPr>
                <w:p w14:paraId="1738298B">
                  <w:pPr>
                    <w:pStyle w:val="55"/>
                    <w:jc w:val="center"/>
                    <w:rPr>
                      <w:b/>
                      <w:bCs/>
                      <w:color w:val="auto"/>
                      <w:sz w:val="21"/>
                      <w:szCs w:val="21"/>
                      <w:lang w:val="en-US"/>
                    </w:rPr>
                  </w:pPr>
                  <w:r>
                    <w:rPr>
                      <w:b/>
                      <w:bCs/>
                      <w:color w:val="auto"/>
                      <w:sz w:val="21"/>
                      <w:szCs w:val="21"/>
                      <w:lang w:val="en-US"/>
                    </w:rPr>
                    <w:t>监测频次</w:t>
                  </w:r>
                </w:p>
              </w:tc>
              <w:tc>
                <w:tcPr>
                  <w:tcW w:w="1156" w:type="dxa"/>
                  <w:tcBorders>
                    <w:tl2br w:val="nil"/>
                    <w:tr2bl w:val="nil"/>
                  </w:tcBorders>
                  <w:vAlign w:val="center"/>
                </w:tcPr>
                <w:p w14:paraId="1738298C">
                  <w:pPr>
                    <w:pStyle w:val="55"/>
                    <w:jc w:val="center"/>
                    <w:rPr>
                      <w:b/>
                      <w:bCs/>
                      <w:color w:val="auto"/>
                      <w:sz w:val="21"/>
                      <w:szCs w:val="21"/>
                      <w:lang w:val="en-US"/>
                    </w:rPr>
                  </w:pPr>
                  <w:r>
                    <w:rPr>
                      <w:b/>
                      <w:bCs/>
                      <w:color w:val="auto"/>
                      <w:sz w:val="21"/>
                      <w:szCs w:val="21"/>
                      <w:lang w:val="en-US"/>
                    </w:rPr>
                    <w:t>COD</w:t>
                  </w:r>
                  <w:r>
                    <w:rPr>
                      <w:b/>
                      <w:bCs/>
                      <w:color w:val="auto"/>
                      <w:sz w:val="21"/>
                      <w:szCs w:val="21"/>
                      <w:vertAlign w:val="subscript"/>
                      <w:lang w:val="en-US"/>
                    </w:rPr>
                    <w:t>cr</w:t>
                  </w:r>
                </w:p>
              </w:tc>
              <w:tc>
                <w:tcPr>
                  <w:tcW w:w="1147" w:type="dxa"/>
                  <w:tcBorders>
                    <w:tl2br w:val="nil"/>
                    <w:tr2bl w:val="nil"/>
                  </w:tcBorders>
                  <w:vAlign w:val="center"/>
                </w:tcPr>
                <w:p w14:paraId="1738298D">
                  <w:pPr>
                    <w:pStyle w:val="55"/>
                    <w:jc w:val="center"/>
                    <w:rPr>
                      <w:b/>
                      <w:bCs/>
                      <w:color w:val="auto"/>
                      <w:sz w:val="21"/>
                      <w:szCs w:val="21"/>
                      <w:lang w:val="en-US"/>
                    </w:rPr>
                  </w:pPr>
                  <w:r>
                    <w:rPr>
                      <w:b/>
                      <w:bCs/>
                      <w:color w:val="auto"/>
                      <w:sz w:val="21"/>
                      <w:szCs w:val="21"/>
                      <w:lang w:val="en-US"/>
                    </w:rPr>
                    <w:t>BOD</w:t>
                  </w:r>
                  <w:r>
                    <w:rPr>
                      <w:b/>
                      <w:bCs/>
                      <w:color w:val="auto"/>
                      <w:sz w:val="21"/>
                      <w:szCs w:val="21"/>
                      <w:vertAlign w:val="subscript"/>
                      <w:lang w:val="en-US"/>
                    </w:rPr>
                    <w:t>5</w:t>
                  </w:r>
                </w:p>
              </w:tc>
              <w:tc>
                <w:tcPr>
                  <w:tcW w:w="1125" w:type="dxa"/>
                  <w:tcBorders>
                    <w:tl2br w:val="nil"/>
                    <w:tr2bl w:val="nil"/>
                  </w:tcBorders>
                  <w:vAlign w:val="center"/>
                </w:tcPr>
                <w:p w14:paraId="1738298E">
                  <w:pPr>
                    <w:pStyle w:val="55"/>
                    <w:jc w:val="center"/>
                    <w:rPr>
                      <w:b/>
                      <w:bCs/>
                      <w:color w:val="auto"/>
                      <w:sz w:val="21"/>
                      <w:szCs w:val="21"/>
                      <w:lang w:val="en-US"/>
                    </w:rPr>
                  </w:pPr>
                  <w:r>
                    <w:rPr>
                      <w:b/>
                      <w:bCs/>
                      <w:color w:val="auto"/>
                      <w:sz w:val="21"/>
                      <w:szCs w:val="21"/>
                      <w:lang w:val="en-US"/>
                    </w:rPr>
                    <w:t>氨氮</w:t>
                  </w:r>
                </w:p>
              </w:tc>
              <w:tc>
                <w:tcPr>
                  <w:tcW w:w="1125" w:type="dxa"/>
                  <w:tcBorders>
                    <w:tl2br w:val="nil"/>
                    <w:tr2bl w:val="nil"/>
                  </w:tcBorders>
                  <w:vAlign w:val="center"/>
                </w:tcPr>
                <w:p w14:paraId="1738298F">
                  <w:pPr>
                    <w:pStyle w:val="55"/>
                    <w:jc w:val="center"/>
                    <w:rPr>
                      <w:b/>
                      <w:bCs/>
                      <w:color w:val="auto"/>
                      <w:sz w:val="21"/>
                      <w:szCs w:val="21"/>
                      <w:lang w:val="en-US"/>
                    </w:rPr>
                  </w:pPr>
                  <w:r>
                    <w:rPr>
                      <w:b/>
                      <w:bCs/>
                      <w:color w:val="auto"/>
                      <w:sz w:val="21"/>
                      <w:szCs w:val="21"/>
                      <w:lang w:val="en-US"/>
                    </w:rPr>
                    <w:t>SS</w:t>
                  </w:r>
                </w:p>
              </w:tc>
              <w:tc>
                <w:tcPr>
                  <w:tcW w:w="1126" w:type="dxa"/>
                  <w:tcBorders>
                    <w:tl2br w:val="nil"/>
                    <w:tr2bl w:val="nil"/>
                  </w:tcBorders>
                  <w:vAlign w:val="center"/>
                </w:tcPr>
                <w:p w14:paraId="17382990">
                  <w:pPr>
                    <w:pStyle w:val="55"/>
                    <w:jc w:val="center"/>
                    <w:rPr>
                      <w:b/>
                      <w:bCs/>
                      <w:color w:val="auto"/>
                      <w:sz w:val="21"/>
                      <w:szCs w:val="21"/>
                      <w:lang w:val="en-US"/>
                    </w:rPr>
                  </w:pPr>
                  <w:r>
                    <w:rPr>
                      <w:b/>
                      <w:bCs/>
                      <w:color w:val="auto"/>
                      <w:sz w:val="21"/>
                      <w:szCs w:val="21"/>
                      <w:lang w:val="en-US"/>
                    </w:rPr>
                    <w:t>总磷</w:t>
                  </w:r>
                </w:p>
              </w:tc>
            </w:tr>
            <w:tr w14:paraId="1738299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806" w:type="dxa"/>
                  <w:gridSpan w:val="2"/>
                  <w:tcBorders>
                    <w:tl2br w:val="nil"/>
                    <w:tr2bl w:val="nil"/>
                  </w:tcBorders>
                  <w:vAlign w:val="center"/>
                </w:tcPr>
                <w:p w14:paraId="17382992">
                  <w:pPr>
                    <w:pStyle w:val="55"/>
                    <w:jc w:val="center"/>
                    <w:rPr>
                      <w:b/>
                      <w:bCs/>
                      <w:color w:val="auto"/>
                      <w:sz w:val="21"/>
                      <w:szCs w:val="21"/>
                      <w:lang w:val="en-US"/>
                    </w:rPr>
                  </w:pPr>
                  <w:r>
                    <w:rPr>
                      <w:b/>
                      <w:bCs/>
                      <w:color w:val="auto"/>
                      <w:sz w:val="21"/>
                      <w:szCs w:val="21"/>
                      <w:lang w:val="en-US"/>
                    </w:rPr>
                    <w:t>标准限值</w:t>
                  </w:r>
                </w:p>
              </w:tc>
              <w:tc>
                <w:tcPr>
                  <w:tcW w:w="993" w:type="dxa"/>
                  <w:tcBorders>
                    <w:tl2br w:val="nil"/>
                    <w:tr2bl w:val="nil"/>
                  </w:tcBorders>
                  <w:vAlign w:val="center"/>
                </w:tcPr>
                <w:p w14:paraId="17382993">
                  <w:pPr>
                    <w:pStyle w:val="55"/>
                    <w:jc w:val="center"/>
                    <w:rPr>
                      <w:b/>
                      <w:bCs/>
                      <w:color w:val="auto"/>
                      <w:sz w:val="21"/>
                      <w:szCs w:val="21"/>
                      <w:lang w:val="en-US"/>
                    </w:rPr>
                  </w:pPr>
                  <w:r>
                    <w:rPr>
                      <w:b/>
                      <w:bCs/>
                      <w:color w:val="auto"/>
                      <w:sz w:val="21"/>
                      <w:szCs w:val="21"/>
                      <w:lang w:val="en-US"/>
                    </w:rPr>
                    <w:t>——</w:t>
                  </w:r>
                </w:p>
              </w:tc>
              <w:tc>
                <w:tcPr>
                  <w:tcW w:w="1156" w:type="dxa"/>
                  <w:tcBorders>
                    <w:tl2br w:val="nil"/>
                    <w:tr2bl w:val="nil"/>
                  </w:tcBorders>
                  <w:vAlign w:val="center"/>
                </w:tcPr>
                <w:p w14:paraId="17382994">
                  <w:pPr>
                    <w:pStyle w:val="55"/>
                    <w:jc w:val="center"/>
                    <w:rPr>
                      <w:b/>
                      <w:bCs/>
                      <w:color w:val="auto"/>
                      <w:sz w:val="21"/>
                      <w:szCs w:val="21"/>
                      <w:lang w:val="en-US"/>
                    </w:rPr>
                  </w:pPr>
                  <w:r>
                    <w:rPr>
                      <w:b/>
                      <w:bCs/>
                      <w:color w:val="auto"/>
                      <w:sz w:val="21"/>
                      <w:szCs w:val="21"/>
                      <w:lang w:val="en-US"/>
                    </w:rPr>
                    <w:t>200</w:t>
                  </w:r>
                </w:p>
              </w:tc>
              <w:tc>
                <w:tcPr>
                  <w:tcW w:w="1147" w:type="dxa"/>
                  <w:tcBorders>
                    <w:tl2br w:val="nil"/>
                    <w:tr2bl w:val="nil"/>
                  </w:tcBorders>
                  <w:vAlign w:val="center"/>
                </w:tcPr>
                <w:p w14:paraId="17382995">
                  <w:pPr>
                    <w:pStyle w:val="55"/>
                    <w:jc w:val="center"/>
                    <w:rPr>
                      <w:b/>
                      <w:bCs/>
                      <w:color w:val="auto"/>
                      <w:sz w:val="21"/>
                      <w:szCs w:val="21"/>
                      <w:lang w:val="en-US"/>
                    </w:rPr>
                  </w:pPr>
                  <w:r>
                    <w:rPr>
                      <w:b/>
                      <w:bCs/>
                      <w:color w:val="auto"/>
                      <w:sz w:val="21"/>
                      <w:szCs w:val="21"/>
                      <w:lang w:val="en-US"/>
                    </w:rPr>
                    <w:t>100</w:t>
                  </w:r>
                </w:p>
              </w:tc>
              <w:tc>
                <w:tcPr>
                  <w:tcW w:w="1125" w:type="dxa"/>
                  <w:tcBorders>
                    <w:tl2br w:val="nil"/>
                    <w:tr2bl w:val="nil"/>
                  </w:tcBorders>
                  <w:vAlign w:val="center"/>
                </w:tcPr>
                <w:p w14:paraId="17382996">
                  <w:pPr>
                    <w:pStyle w:val="55"/>
                    <w:jc w:val="center"/>
                    <w:rPr>
                      <w:b/>
                      <w:bCs/>
                      <w:color w:val="auto"/>
                      <w:sz w:val="21"/>
                      <w:szCs w:val="21"/>
                      <w:lang w:val="en-US"/>
                    </w:rPr>
                  </w:pPr>
                  <w:r>
                    <w:rPr>
                      <w:b/>
                      <w:bCs/>
                      <w:color w:val="auto"/>
                      <w:sz w:val="21"/>
                      <w:szCs w:val="21"/>
                      <w:lang w:val="en-US"/>
                    </w:rPr>
                    <w:t>/</w:t>
                  </w:r>
                </w:p>
              </w:tc>
              <w:tc>
                <w:tcPr>
                  <w:tcW w:w="1125" w:type="dxa"/>
                  <w:tcBorders>
                    <w:tl2br w:val="nil"/>
                    <w:tr2bl w:val="nil"/>
                  </w:tcBorders>
                  <w:vAlign w:val="center"/>
                </w:tcPr>
                <w:p w14:paraId="17382997">
                  <w:pPr>
                    <w:pStyle w:val="55"/>
                    <w:jc w:val="center"/>
                    <w:rPr>
                      <w:b/>
                      <w:bCs/>
                      <w:color w:val="auto"/>
                      <w:sz w:val="21"/>
                      <w:szCs w:val="21"/>
                      <w:lang w:val="en-US"/>
                    </w:rPr>
                  </w:pPr>
                  <w:r>
                    <w:rPr>
                      <w:b/>
                      <w:bCs/>
                      <w:color w:val="auto"/>
                      <w:sz w:val="21"/>
                      <w:szCs w:val="21"/>
                      <w:lang w:val="en-US"/>
                    </w:rPr>
                    <w:t>100</w:t>
                  </w:r>
                </w:p>
              </w:tc>
              <w:tc>
                <w:tcPr>
                  <w:tcW w:w="1126" w:type="dxa"/>
                  <w:tcBorders>
                    <w:tl2br w:val="nil"/>
                    <w:tr2bl w:val="nil"/>
                  </w:tcBorders>
                  <w:vAlign w:val="center"/>
                </w:tcPr>
                <w:p w14:paraId="17382998">
                  <w:pPr>
                    <w:pStyle w:val="55"/>
                    <w:jc w:val="center"/>
                    <w:rPr>
                      <w:b/>
                      <w:bCs/>
                      <w:color w:val="auto"/>
                      <w:sz w:val="21"/>
                      <w:szCs w:val="21"/>
                      <w:lang w:val="en-US"/>
                    </w:rPr>
                  </w:pPr>
                  <w:r>
                    <w:rPr>
                      <w:b/>
                      <w:bCs/>
                      <w:color w:val="auto"/>
                      <w:sz w:val="21"/>
                      <w:szCs w:val="21"/>
                      <w:lang w:val="en-US"/>
                    </w:rPr>
                    <w:t>/</w:t>
                  </w:r>
                </w:p>
              </w:tc>
            </w:tr>
            <w:tr w14:paraId="173829A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restart"/>
                  <w:tcBorders>
                    <w:tl2br w:val="nil"/>
                    <w:tr2bl w:val="nil"/>
                  </w:tcBorders>
                  <w:vAlign w:val="center"/>
                </w:tcPr>
                <w:p w14:paraId="1738299A">
                  <w:pPr>
                    <w:pStyle w:val="55"/>
                    <w:jc w:val="center"/>
                    <w:rPr>
                      <w:color w:val="auto"/>
                      <w:sz w:val="21"/>
                      <w:szCs w:val="21"/>
                      <w:lang w:val="en-US"/>
                    </w:rPr>
                  </w:pPr>
                  <w:r>
                    <w:rPr>
                      <w:color w:val="auto"/>
                      <w:sz w:val="21"/>
                      <w:szCs w:val="21"/>
                      <w:lang w:val="en-US"/>
                    </w:rPr>
                    <w:t>2020.03.04</w:t>
                  </w:r>
                </w:p>
              </w:tc>
              <w:tc>
                <w:tcPr>
                  <w:tcW w:w="645" w:type="dxa"/>
                  <w:vMerge w:val="restart"/>
                  <w:tcBorders>
                    <w:tl2br w:val="nil"/>
                    <w:tr2bl w:val="nil"/>
                  </w:tcBorders>
                  <w:vAlign w:val="center"/>
                </w:tcPr>
                <w:p w14:paraId="1738299B">
                  <w:pPr>
                    <w:pStyle w:val="55"/>
                    <w:jc w:val="center"/>
                    <w:rPr>
                      <w:color w:val="auto"/>
                      <w:sz w:val="21"/>
                      <w:szCs w:val="21"/>
                      <w:lang w:val="en-US"/>
                    </w:rPr>
                  </w:pPr>
                  <w:r>
                    <w:rPr>
                      <w:color w:val="auto"/>
                      <w:sz w:val="21"/>
                      <w:szCs w:val="21"/>
                      <w:lang w:val="en-US"/>
                    </w:rPr>
                    <w:t>生活污水出水口</w:t>
                  </w:r>
                </w:p>
              </w:tc>
              <w:tc>
                <w:tcPr>
                  <w:tcW w:w="993" w:type="dxa"/>
                  <w:tcBorders>
                    <w:tl2br w:val="nil"/>
                    <w:tr2bl w:val="nil"/>
                  </w:tcBorders>
                  <w:vAlign w:val="center"/>
                </w:tcPr>
                <w:p w14:paraId="1738299C">
                  <w:pPr>
                    <w:pStyle w:val="55"/>
                    <w:jc w:val="center"/>
                    <w:rPr>
                      <w:color w:val="auto"/>
                      <w:sz w:val="21"/>
                      <w:szCs w:val="21"/>
                      <w:lang w:val="en-US"/>
                    </w:rPr>
                  </w:pPr>
                  <w:r>
                    <w:rPr>
                      <w:color w:val="auto"/>
                      <w:sz w:val="21"/>
                      <w:szCs w:val="21"/>
                      <w:lang w:val="en-US"/>
                    </w:rPr>
                    <w:t>1</w:t>
                  </w:r>
                </w:p>
              </w:tc>
              <w:tc>
                <w:tcPr>
                  <w:tcW w:w="1156" w:type="dxa"/>
                  <w:tcBorders>
                    <w:tl2br w:val="nil"/>
                    <w:tr2bl w:val="nil"/>
                  </w:tcBorders>
                  <w:vAlign w:val="center"/>
                </w:tcPr>
                <w:p w14:paraId="1738299D">
                  <w:pPr>
                    <w:pStyle w:val="55"/>
                    <w:jc w:val="center"/>
                    <w:rPr>
                      <w:color w:val="auto"/>
                      <w:sz w:val="21"/>
                      <w:szCs w:val="21"/>
                      <w:lang w:val="en-US"/>
                    </w:rPr>
                  </w:pPr>
                  <w:r>
                    <w:rPr>
                      <w:color w:val="auto"/>
                      <w:sz w:val="21"/>
                      <w:szCs w:val="21"/>
                      <w:lang w:val="en-US"/>
                    </w:rPr>
                    <w:t>182</w:t>
                  </w:r>
                </w:p>
              </w:tc>
              <w:tc>
                <w:tcPr>
                  <w:tcW w:w="1147" w:type="dxa"/>
                  <w:tcBorders>
                    <w:tl2br w:val="nil"/>
                    <w:tr2bl w:val="nil"/>
                  </w:tcBorders>
                  <w:vAlign w:val="center"/>
                </w:tcPr>
                <w:p w14:paraId="1738299E">
                  <w:pPr>
                    <w:pStyle w:val="55"/>
                    <w:jc w:val="center"/>
                    <w:rPr>
                      <w:color w:val="auto"/>
                      <w:sz w:val="21"/>
                      <w:szCs w:val="21"/>
                      <w:lang w:val="en-US"/>
                    </w:rPr>
                  </w:pPr>
                  <w:r>
                    <w:rPr>
                      <w:color w:val="auto"/>
                      <w:sz w:val="21"/>
                      <w:szCs w:val="21"/>
                      <w:lang w:val="en-US"/>
                    </w:rPr>
                    <w:t>51.7</w:t>
                  </w:r>
                </w:p>
              </w:tc>
              <w:tc>
                <w:tcPr>
                  <w:tcW w:w="1125" w:type="dxa"/>
                  <w:tcBorders>
                    <w:tl2br w:val="nil"/>
                    <w:tr2bl w:val="nil"/>
                  </w:tcBorders>
                  <w:vAlign w:val="center"/>
                </w:tcPr>
                <w:p w14:paraId="1738299F">
                  <w:pPr>
                    <w:pStyle w:val="55"/>
                    <w:jc w:val="center"/>
                    <w:rPr>
                      <w:color w:val="auto"/>
                      <w:sz w:val="21"/>
                      <w:szCs w:val="21"/>
                      <w:lang w:val="en-US"/>
                    </w:rPr>
                  </w:pPr>
                  <w:r>
                    <w:rPr>
                      <w:color w:val="auto"/>
                      <w:sz w:val="21"/>
                      <w:szCs w:val="21"/>
                      <w:lang w:val="en-US"/>
                    </w:rPr>
                    <w:t>30.7</w:t>
                  </w:r>
                </w:p>
              </w:tc>
              <w:tc>
                <w:tcPr>
                  <w:tcW w:w="1125" w:type="dxa"/>
                  <w:tcBorders>
                    <w:tl2br w:val="nil"/>
                    <w:tr2bl w:val="nil"/>
                  </w:tcBorders>
                  <w:vAlign w:val="center"/>
                </w:tcPr>
                <w:p w14:paraId="173829A0">
                  <w:pPr>
                    <w:pStyle w:val="55"/>
                    <w:jc w:val="center"/>
                    <w:rPr>
                      <w:color w:val="auto"/>
                      <w:sz w:val="21"/>
                      <w:szCs w:val="21"/>
                      <w:lang w:val="en-US"/>
                    </w:rPr>
                  </w:pPr>
                  <w:r>
                    <w:rPr>
                      <w:color w:val="auto"/>
                      <w:sz w:val="21"/>
                      <w:szCs w:val="21"/>
                      <w:lang w:val="en-US"/>
                    </w:rPr>
                    <w:t>33</w:t>
                  </w:r>
                </w:p>
              </w:tc>
              <w:tc>
                <w:tcPr>
                  <w:tcW w:w="1126" w:type="dxa"/>
                  <w:tcBorders>
                    <w:tl2br w:val="nil"/>
                    <w:tr2bl w:val="nil"/>
                  </w:tcBorders>
                  <w:vAlign w:val="center"/>
                </w:tcPr>
                <w:p w14:paraId="173829A1">
                  <w:pPr>
                    <w:pStyle w:val="55"/>
                    <w:jc w:val="center"/>
                    <w:rPr>
                      <w:color w:val="auto"/>
                      <w:sz w:val="21"/>
                      <w:szCs w:val="21"/>
                      <w:lang w:val="en-US"/>
                    </w:rPr>
                  </w:pPr>
                  <w:r>
                    <w:rPr>
                      <w:color w:val="auto"/>
                      <w:sz w:val="21"/>
                      <w:szCs w:val="21"/>
                      <w:lang w:val="en-US"/>
                    </w:rPr>
                    <w:t>3.82</w:t>
                  </w:r>
                </w:p>
              </w:tc>
            </w:tr>
            <w:tr w14:paraId="173829A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continue"/>
                  <w:tcBorders>
                    <w:tl2br w:val="nil"/>
                    <w:tr2bl w:val="nil"/>
                  </w:tcBorders>
                  <w:vAlign w:val="center"/>
                </w:tcPr>
                <w:p w14:paraId="173829A3">
                  <w:pPr>
                    <w:pStyle w:val="55"/>
                    <w:rPr>
                      <w:color w:val="auto"/>
                      <w:sz w:val="21"/>
                      <w:szCs w:val="21"/>
                      <w:lang w:val="en-US"/>
                    </w:rPr>
                  </w:pPr>
                </w:p>
              </w:tc>
              <w:tc>
                <w:tcPr>
                  <w:tcW w:w="645" w:type="dxa"/>
                  <w:vMerge w:val="continue"/>
                  <w:tcBorders>
                    <w:tl2br w:val="nil"/>
                    <w:tr2bl w:val="nil"/>
                  </w:tcBorders>
                  <w:vAlign w:val="center"/>
                </w:tcPr>
                <w:p w14:paraId="173829A4">
                  <w:pPr>
                    <w:pStyle w:val="55"/>
                    <w:rPr>
                      <w:color w:val="auto"/>
                      <w:sz w:val="21"/>
                      <w:szCs w:val="21"/>
                      <w:lang w:val="en-US"/>
                    </w:rPr>
                  </w:pPr>
                </w:p>
              </w:tc>
              <w:tc>
                <w:tcPr>
                  <w:tcW w:w="993" w:type="dxa"/>
                  <w:tcBorders>
                    <w:tl2br w:val="nil"/>
                    <w:tr2bl w:val="nil"/>
                  </w:tcBorders>
                  <w:vAlign w:val="center"/>
                </w:tcPr>
                <w:p w14:paraId="173829A5">
                  <w:pPr>
                    <w:pStyle w:val="55"/>
                    <w:jc w:val="center"/>
                    <w:rPr>
                      <w:color w:val="auto"/>
                      <w:sz w:val="21"/>
                      <w:szCs w:val="21"/>
                      <w:lang w:val="en-US"/>
                    </w:rPr>
                  </w:pPr>
                  <w:r>
                    <w:rPr>
                      <w:color w:val="auto"/>
                      <w:sz w:val="21"/>
                      <w:szCs w:val="21"/>
                      <w:lang w:val="en-US"/>
                    </w:rPr>
                    <w:t>2</w:t>
                  </w:r>
                </w:p>
              </w:tc>
              <w:tc>
                <w:tcPr>
                  <w:tcW w:w="1156" w:type="dxa"/>
                  <w:tcBorders>
                    <w:tl2br w:val="nil"/>
                    <w:tr2bl w:val="nil"/>
                  </w:tcBorders>
                  <w:vAlign w:val="center"/>
                </w:tcPr>
                <w:p w14:paraId="173829A6">
                  <w:pPr>
                    <w:pStyle w:val="55"/>
                    <w:jc w:val="center"/>
                    <w:rPr>
                      <w:color w:val="auto"/>
                      <w:sz w:val="21"/>
                      <w:szCs w:val="21"/>
                      <w:lang w:val="en-US"/>
                    </w:rPr>
                  </w:pPr>
                  <w:r>
                    <w:rPr>
                      <w:color w:val="auto"/>
                      <w:sz w:val="21"/>
                      <w:szCs w:val="21"/>
                      <w:lang w:val="en-US"/>
                    </w:rPr>
                    <w:t>199</w:t>
                  </w:r>
                </w:p>
              </w:tc>
              <w:tc>
                <w:tcPr>
                  <w:tcW w:w="1147" w:type="dxa"/>
                  <w:tcBorders>
                    <w:tl2br w:val="nil"/>
                    <w:tr2bl w:val="nil"/>
                  </w:tcBorders>
                  <w:vAlign w:val="center"/>
                </w:tcPr>
                <w:p w14:paraId="173829A7">
                  <w:pPr>
                    <w:pStyle w:val="55"/>
                    <w:jc w:val="center"/>
                    <w:rPr>
                      <w:color w:val="auto"/>
                      <w:sz w:val="21"/>
                      <w:szCs w:val="21"/>
                      <w:lang w:val="en-US"/>
                    </w:rPr>
                  </w:pPr>
                  <w:r>
                    <w:rPr>
                      <w:color w:val="auto"/>
                      <w:sz w:val="21"/>
                      <w:szCs w:val="21"/>
                      <w:lang w:val="en-US"/>
                    </w:rPr>
                    <w:t>56.3</w:t>
                  </w:r>
                </w:p>
              </w:tc>
              <w:tc>
                <w:tcPr>
                  <w:tcW w:w="1125" w:type="dxa"/>
                  <w:tcBorders>
                    <w:tl2br w:val="nil"/>
                    <w:tr2bl w:val="nil"/>
                  </w:tcBorders>
                  <w:vAlign w:val="center"/>
                </w:tcPr>
                <w:p w14:paraId="173829A8">
                  <w:pPr>
                    <w:pStyle w:val="55"/>
                    <w:jc w:val="center"/>
                    <w:rPr>
                      <w:color w:val="auto"/>
                      <w:sz w:val="21"/>
                      <w:szCs w:val="21"/>
                      <w:lang w:val="en-US"/>
                    </w:rPr>
                  </w:pPr>
                  <w:r>
                    <w:rPr>
                      <w:color w:val="auto"/>
                      <w:sz w:val="21"/>
                      <w:szCs w:val="21"/>
                      <w:lang w:val="en-US"/>
                    </w:rPr>
                    <w:t>29.7</w:t>
                  </w:r>
                </w:p>
              </w:tc>
              <w:tc>
                <w:tcPr>
                  <w:tcW w:w="1125" w:type="dxa"/>
                  <w:tcBorders>
                    <w:tl2br w:val="nil"/>
                    <w:tr2bl w:val="nil"/>
                  </w:tcBorders>
                  <w:vAlign w:val="center"/>
                </w:tcPr>
                <w:p w14:paraId="173829A9">
                  <w:pPr>
                    <w:pStyle w:val="55"/>
                    <w:jc w:val="center"/>
                    <w:rPr>
                      <w:color w:val="auto"/>
                      <w:sz w:val="21"/>
                      <w:szCs w:val="21"/>
                      <w:lang w:val="en-US"/>
                    </w:rPr>
                  </w:pPr>
                  <w:r>
                    <w:rPr>
                      <w:color w:val="auto"/>
                      <w:sz w:val="21"/>
                      <w:szCs w:val="21"/>
                      <w:lang w:val="en-US"/>
                    </w:rPr>
                    <w:t>46</w:t>
                  </w:r>
                </w:p>
              </w:tc>
              <w:tc>
                <w:tcPr>
                  <w:tcW w:w="1126" w:type="dxa"/>
                  <w:tcBorders>
                    <w:tl2br w:val="nil"/>
                    <w:tr2bl w:val="nil"/>
                  </w:tcBorders>
                  <w:vAlign w:val="center"/>
                </w:tcPr>
                <w:p w14:paraId="173829AA">
                  <w:pPr>
                    <w:pStyle w:val="55"/>
                    <w:jc w:val="center"/>
                    <w:rPr>
                      <w:color w:val="auto"/>
                      <w:sz w:val="21"/>
                      <w:szCs w:val="21"/>
                      <w:lang w:val="en-US"/>
                    </w:rPr>
                  </w:pPr>
                  <w:r>
                    <w:rPr>
                      <w:color w:val="auto"/>
                      <w:sz w:val="21"/>
                      <w:szCs w:val="21"/>
                      <w:lang w:val="en-US"/>
                    </w:rPr>
                    <w:t>4.02</w:t>
                  </w:r>
                </w:p>
              </w:tc>
            </w:tr>
            <w:tr w14:paraId="173829B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continue"/>
                  <w:tcBorders>
                    <w:tl2br w:val="nil"/>
                    <w:tr2bl w:val="nil"/>
                  </w:tcBorders>
                  <w:vAlign w:val="center"/>
                </w:tcPr>
                <w:p w14:paraId="173829AC">
                  <w:pPr>
                    <w:pStyle w:val="55"/>
                    <w:rPr>
                      <w:color w:val="auto"/>
                      <w:sz w:val="21"/>
                      <w:szCs w:val="21"/>
                      <w:lang w:val="en-US"/>
                    </w:rPr>
                  </w:pPr>
                </w:p>
              </w:tc>
              <w:tc>
                <w:tcPr>
                  <w:tcW w:w="645" w:type="dxa"/>
                  <w:vMerge w:val="continue"/>
                  <w:tcBorders>
                    <w:tl2br w:val="nil"/>
                    <w:tr2bl w:val="nil"/>
                  </w:tcBorders>
                  <w:vAlign w:val="center"/>
                </w:tcPr>
                <w:p w14:paraId="173829AD">
                  <w:pPr>
                    <w:pStyle w:val="55"/>
                    <w:rPr>
                      <w:color w:val="auto"/>
                      <w:sz w:val="21"/>
                      <w:szCs w:val="21"/>
                      <w:lang w:val="en-US"/>
                    </w:rPr>
                  </w:pPr>
                </w:p>
              </w:tc>
              <w:tc>
                <w:tcPr>
                  <w:tcW w:w="993" w:type="dxa"/>
                  <w:tcBorders>
                    <w:tl2br w:val="nil"/>
                    <w:tr2bl w:val="nil"/>
                  </w:tcBorders>
                  <w:vAlign w:val="center"/>
                </w:tcPr>
                <w:p w14:paraId="173829AE">
                  <w:pPr>
                    <w:pStyle w:val="55"/>
                    <w:jc w:val="center"/>
                    <w:rPr>
                      <w:color w:val="auto"/>
                      <w:sz w:val="21"/>
                      <w:szCs w:val="21"/>
                      <w:lang w:val="en-US"/>
                    </w:rPr>
                  </w:pPr>
                  <w:r>
                    <w:rPr>
                      <w:color w:val="auto"/>
                      <w:sz w:val="21"/>
                      <w:szCs w:val="21"/>
                      <w:lang w:val="en-US"/>
                    </w:rPr>
                    <w:t>3</w:t>
                  </w:r>
                </w:p>
              </w:tc>
              <w:tc>
                <w:tcPr>
                  <w:tcW w:w="1156" w:type="dxa"/>
                  <w:tcBorders>
                    <w:tl2br w:val="nil"/>
                    <w:tr2bl w:val="nil"/>
                  </w:tcBorders>
                  <w:vAlign w:val="center"/>
                </w:tcPr>
                <w:p w14:paraId="173829AF">
                  <w:pPr>
                    <w:pStyle w:val="55"/>
                    <w:jc w:val="center"/>
                    <w:rPr>
                      <w:color w:val="auto"/>
                      <w:sz w:val="21"/>
                      <w:szCs w:val="21"/>
                      <w:lang w:val="en-US"/>
                    </w:rPr>
                  </w:pPr>
                  <w:r>
                    <w:rPr>
                      <w:color w:val="auto"/>
                      <w:sz w:val="21"/>
                      <w:szCs w:val="21"/>
                      <w:lang w:val="en-US"/>
                    </w:rPr>
                    <w:t>195</w:t>
                  </w:r>
                </w:p>
              </w:tc>
              <w:tc>
                <w:tcPr>
                  <w:tcW w:w="1147" w:type="dxa"/>
                  <w:tcBorders>
                    <w:tl2br w:val="nil"/>
                    <w:tr2bl w:val="nil"/>
                  </w:tcBorders>
                  <w:vAlign w:val="center"/>
                </w:tcPr>
                <w:p w14:paraId="173829B0">
                  <w:pPr>
                    <w:pStyle w:val="55"/>
                    <w:jc w:val="center"/>
                    <w:rPr>
                      <w:color w:val="auto"/>
                      <w:sz w:val="21"/>
                      <w:szCs w:val="21"/>
                      <w:lang w:val="en-US"/>
                    </w:rPr>
                  </w:pPr>
                  <w:r>
                    <w:rPr>
                      <w:color w:val="auto"/>
                      <w:sz w:val="21"/>
                      <w:szCs w:val="21"/>
                      <w:lang w:val="en-US"/>
                    </w:rPr>
                    <w:t>55.8</w:t>
                  </w:r>
                </w:p>
              </w:tc>
              <w:tc>
                <w:tcPr>
                  <w:tcW w:w="1125" w:type="dxa"/>
                  <w:tcBorders>
                    <w:tl2br w:val="nil"/>
                    <w:tr2bl w:val="nil"/>
                  </w:tcBorders>
                  <w:vAlign w:val="center"/>
                </w:tcPr>
                <w:p w14:paraId="173829B1">
                  <w:pPr>
                    <w:pStyle w:val="55"/>
                    <w:jc w:val="center"/>
                    <w:rPr>
                      <w:color w:val="auto"/>
                      <w:sz w:val="21"/>
                      <w:szCs w:val="21"/>
                      <w:lang w:val="en-US"/>
                    </w:rPr>
                  </w:pPr>
                  <w:r>
                    <w:rPr>
                      <w:color w:val="auto"/>
                      <w:sz w:val="21"/>
                      <w:szCs w:val="21"/>
                      <w:lang w:val="en-US"/>
                    </w:rPr>
                    <w:t>29.4</w:t>
                  </w:r>
                </w:p>
              </w:tc>
              <w:tc>
                <w:tcPr>
                  <w:tcW w:w="1125" w:type="dxa"/>
                  <w:tcBorders>
                    <w:tl2br w:val="nil"/>
                    <w:tr2bl w:val="nil"/>
                  </w:tcBorders>
                  <w:vAlign w:val="center"/>
                </w:tcPr>
                <w:p w14:paraId="173829B2">
                  <w:pPr>
                    <w:pStyle w:val="55"/>
                    <w:jc w:val="center"/>
                    <w:rPr>
                      <w:color w:val="auto"/>
                      <w:sz w:val="21"/>
                      <w:szCs w:val="21"/>
                      <w:lang w:val="en-US"/>
                    </w:rPr>
                  </w:pPr>
                  <w:r>
                    <w:rPr>
                      <w:color w:val="auto"/>
                      <w:sz w:val="21"/>
                      <w:szCs w:val="21"/>
                      <w:lang w:val="en-US"/>
                    </w:rPr>
                    <w:t>25</w:t>
                  </w:r>
                </w:p>
              </w:tc>
              <w:tc>
                <w:tcPr>
                  <w:tcW w:w="1126" w:type="dxa"/>
                  <w:tcBorders>
                    <w:tl2br w:val="nil"/>
                    <w:tr2bl w:val="nil"/>
                  </w:tcBorders>
                  <w:vAlign w:val="center"/>
                </w:tcPr>
                <w:p w14:paraId="173829B3">
                  <w:pPr>
                    <w:pStyle w:val="55"/>
                    <w:jc w:val="center"/>
                    <w:rPr>
                      <w:color w:val="auto"/>
                      <w:sz w:val="21"/>
                      <w:szCs w:val="21"/>
                      <w:lang w:val="en-US"/>
                    </w:rPr>
                  </w:pPr>
                  <w:r>
                    <w:rPr>
                      <w:color w:val="auto"/>
                      <w:sz w:val="21"/>
                      <w:szCs w:val="21"/>
                      <w:lang w:val="en-US"/>
                    </w:rPr>
                    <w:t>4.00</w:t>
                  </w:r>
                </w:p>
              </w:tc>
            </w:tr>
            <w:tr w14:paraId="173829B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continue"/>
                  <w:tcBorders>
                    <w:tl2br w:val="nil"/>
                    <w:tr2bl w:val="nil"/>
                  </w:tcBorders>
                  <w:vAlign w:val="center"/>
                </w:tcPr>
                <w:p w14:paraId="173829B5">
                  <w:pPr>
                    <w:pStyle w:val="55"/>
                    <w:rPr>
                      <w:color w:val="auto"/>
                      <w:sz w:val="21"/>
                      <w:szCs w:val="21"/>
                      <w:lang w:val="en-US"/>
                    </w:rPr>
                  </w:pPr>
                </w:p>
              </w:tc>
              <w:tc>
                <w:tcPr>
                  <w:tcW w:w="645" w:type="dxa"/>
                  <w:vMerge w:val="continue"/>
                  <w:tcBorders>
                    <w:tl2br w:val="nil"/>
                    <w:tr2bl w:val="nil"/>
                  </w:tcBorders>
                  <w:vAlign w:val="center"/>
                </w:tcPr>
                <w:p w14:paraId="173829B6">
                  <w:pPr>
                    <w:pStyle w:val="55"/>
                    <w:rPr>
                      <w:color w:val="auto"/>
                      <w:sz w:val="21"/>
                      <w:szCs w:val="21"/>
                      <w:lang w:val="en-US"/>
                    </w:rPr>
                  </w:pPr>
                </w:p>
              </w:tc>
              <w:tc>
                <w:tcPr>
                  <w:tcW w:w="993" w:type="dxa"/>
                  <w:tcBorders>
                    <w:tl2br w:val="nil"/>
                    <w:tr2bl w:val="nil"/>
                  </w:tcBorders>
                  <w:vAlign w:val="center"/>
                </w:tcPr>
                <w:p w14:paraId="173829B7">
                  <w:pPr>
                    <w:pStyle w:val="55"/>
                    <w:jc w:val="center"/>
                    <w:rPr>
                      <w:color w:val="auto"/>
                      <w:sz w:val="21"/>
                      <w:szCs w:val="21"/>
                      <w:lang w:val="en-US"/>
                    </w:rPr>
                  </w:pPr>
                  <w:r>
                    <w:rPr>
                      <w:color w:val="auto"/>
                      <w:sz w:val="21"/>
                      <w:szCs w:val="21"/>
                      <w:lang w:val="en-US"/>
                    </w:rPr>
                    <w:t>4</w:t>
                  </w:r>
                </w:p>
              </w:tc>
              <w:tc>
                <w:tcPr>
                  <w:tcW w:w="1156" w:type="dxa"/>
                  <w:tcBorders>
                    <w:tl2br w:val="nil"/>
                    <w:tr2bl w:val="nil"/>
                  </w:tcBorders>
                  <w:vAlign w:val="center"/>
                </w:tcPr>
                <w:p w14:paraId="173829B8">
                  <w:pPr>
                    <w:pStyle w:val="55"/>
                    <w:jc w:val="center"/>
                    <w:rPr>
                      <w:color w:val="auto"/>
                      <w:sz w:val="21"/>
                      <w:szCs w:val="21"/>
                      <w:lang w:val="en-US"/>
                    </w:rPr>
                  </w:pPr>
                  <w:r>
                    <w:rPr>
                      <w:color w:val="auto"/>
                      <w:sz w:val="21"/>
                      <w:szCs w:val="21"/>
                      <w:lang w:val="en-US"/>
                    </w:rPr>
                    <w:t>192</w:t>
                  </w:r>
                </w:p>
              </w:tc>
              <w:tc>
                <w:tcPr>
                  <w:tcW w:w="1147" w:type="dxa"/>
                  <w:tcBorders>
                    <w:tl2br w:val="nil"/>
                    <w:tr2bl w:val="nil"/>
                  </w:tcBorders>
                  <w:vAlign w:val="center"/>
                </w:tcPr>
                <w:p w14:paraId="173829B9">
                  <w:pPr>
                    <w:pStyle w:val="55"/>
                    <w:jc w:val="center"/>
                    <w:rPr>
                      <w:color w:val="auto"/>
                      <w:sz w:val="21"/>
                      <w:szCs w:val="21"/>
                      <w:lang w:val="en-US"/>
                    </w:rPr>
                  </w:pPr>
                  <w:r>
                    <w:rPr>
                      <w:color w:val="auto"/>
                      <w:sz w:val="21"/>
                      <w:szCs w:val="21"/>
                      <w:lang w:val="en-US"/>
                    </w:rPr>
                    <w:t>54.6</w:t>
                  </w:r>
                </w:p>
              </w:tc>
              <w:tc>
                <w:tcPr>
                  <w:tcW w:w="1125" w:type="dxa"/>
                  <w:tcBorders>
                    <w:tl2br w:val="nil"/>
                    <w:tr2bl w:val="nil"/>
                  </w:tcBorders>
                  <w:vAlign w:val="center"/>
                </w:tcPr>
                <w:p w14:paraId="173829BA">
                  <w:pPr>
                    <w:pStyle w:val="55"/>
                    <w:jc w:val="center"/>
                    <w:rPr>
                      <w:color w:val="auto"/>
                      <w:sz w:val="21"/>
                      <w:szCs w:val="21"/>
                      <w:lang w:val="en-US"/>
                    </w:rPr>
                  </w:pPr>
                  <w:r>
                    <w:rPr>
                      <w:color w:val="auto"/>
                      <w:sz w:val="21"/>
                      <w:szCs w:val="21"/>
                      <w:lang w:val="en-US"/>
                    </w:rPr>
                    <w:t>30.7</w:t>
                  </w:r>
                </w:p>
              </w:tc>
              <w:tc>
                <w:tcPr>
                  <w:tcW w:w="1125" w:type="dxa"/>
                  <w:tcBorders>
                    <w:tl2br w:val="nil"/>
                    <w:tr2bl w:val="nil"/>
                  </w:tcBorders>
                  <w:vAlign w:val="center"/>
                </w:tcPr>
                <w:p w14:paraId="173829BB">
                  <w:pPr>
                    <w:pStyle w:val="55"/>
                    <w:jc w:val="center"/>
                    <w:rPr>
                      <w:color w:val="auto"/>
                      <w:sz w:val="21"/>
                      <w:szCs w:val="21"/>
                      <w:lang w:val="en-US"/>
                    </w:rPr>
                  </w:pPr>
                  <w:r>
                    <w:rPr>
                      <w:color w:val="auto"/>
                      <w:sz w:val="21"/>
                      <w:szCs w:val="21"/>
                      <w:lang w:val="en-US"/>
                    </w:rPr>
                    <w:t>30</w:t>
                  </w:r>
                </w:p>
              </w:tc>
              <w:tc>
                <w:tcPr>
                  <w:tcW w:w="1126" w:type="dxa"/>
                  <w:tcBorders>
                    <w:tl2br w:val="nil"/>
                    <w:tr2bl w:val="nil"/>
                  </w:tcBorders>
                  <w:vAlign w:val="center"/>
                </w:tcPr>
                <w:p w14:paraId="173829BC">
                  <w:pPr>
                    <w:pStyle w:val="55"/>
                    <w:jc w:val="center"/>
                    <w:rPr>
                      <w:color w:val="auto"/>
                      <w:sz w:val="21"/>
                      <w:szCs w:val="21"/>
                      <w:lang w:val="en-US"/>
                    </w:rPr>
                  </w:pPr>
                  <w:r>
                    <w:rPr>
                      <w:color w:val="auto"/>
                      <w:sz w:val="21"/>
                      <w:szCs w:val="21"/>
                      <w:lang w:val="en-US"/>
                    </w:rPr>
                    <w:t>3.85</w:t>
                  </w:r>
                </w:p>
              </w:tc>
            </w:tr>
            <w:tr w14:paraId="173829C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continue"/>
                  <w:tcBorders>
                    <w:tl2br w:val="nil"/>
                    <w:tr2bl w:val="nil"/>
                  </w:tcBorders>
                  <w:vAlign w:val="center"/>
                </w:tcPr>
                <w:p w14:paraId="173829BE">
                  <w:pPr>
                    <w:pStyle w:val="55"/>
                    <w:rPr>
                      <w:color w:val="auto"/>
                      <w:sz w:val="21"/>
                      <w:szCs w:val="21"/>
                      <w:lang w:val="en-US"/>
                    </w:rPr>
                  </w:pPr>
                </w:p>
              </w:tc>
              <w:tc>
                <w:tcPr>
                  <w:tcW w:w="645" w:type="dxa"/>
                  <w:vMerge w:val="continue"/>
                  <w:tcBorders>
                    <w:tl2br w:val="nil"/>
                    <w:tr2bl w:val="nil"/>
                  </w:tcBorders>
                  <w:vAlign w:val="center"/>
                </w:tcPr>
                <w:p w14:paraId="173829BF">
                  <w:pPr>
                    <w:pStyle w:val="55"/>
                    <w:rPr>
                      <w:color w:val="auto"/>
                      <w:sz w:val="21"/>
                      <w:szCs w:val="21"/>
                      <w:lang w:val="en-US"/>
                    </w:rPr>
                  </w:pPr>
                </w:p>
              </w:tc>
              <w:tc>
                <w:tcPr>
                  <w:tcW w:w="993" w:type="dxa"/>
                  <w:tcBorders>
                    <w:tl2br w:val="nil"/>
                    <w:tr2bl w:val="nil"/>
                  </w:tcBorders>
                  <w:vAlign w:val="center"/>
                </w:tcPr>
                <w:p w14:paraId="173829C0">
                  <w:pPr>
                    <w:pStyle w:val="55"/>
                    <w:jc w:val="center"/>
                    <w:rPr>
                      <w:color w:val="auto"/>
                      <w:sz w:val="21"/>
                      <w:szCs w:val="21"/>
                      <w:lang w:val="en-US"/>
                    </w:rPr>
                  </w:pPr>
                  <w:r>
                    <w:rPr>
                      <w:color w:val="auto"/>
                      <w:sz w:val="21"/>
                      <w:szCs w:val="21"/>
                      <w:lang w:val="en-US"/>
                    </w:rPr>
                    <w:t>平均值</w:t>
                  </w:r>
                </w:p>
              </w:tc>
              <w:tc>
                <w:tcPr>
                  <w:tcW w:w="1156" w:type="dxa"/>
                  <w:tcBorders>
                    <w:tl2br w:val="nil"/>
                    <w:tr2bl w:val="nil"/>
                  </w:tcBorders>
                  <w:vAlign w:val="center"/>
                </w:tcPr>
                <w:p w14:paraId="173829C1">
                  <w:pPr>
                    <w:pStyle w:val="55"/>
                    <w:jc w:val="center"/>
                    <w:rPr>
                      <w:color w:val="auto"/>
                      <w:sz w:val="21"/>
                      <w:szCs w:val="21"/>
                      <w:lang w:val="en-US"/>
                    </w:rPr>
                  </w:pPr>
                  <w:r>
                    <w:rPr>
                      <w:color w:val="auto"/>
                      <w:sz w:val="21"/>
                      <w:szCs w:val="21"/>
                      <w:lang w:val="en-US"/>
                    </w:rPr>
                    <w:t>192</w:t>
                  </w:r>
                </w:p>
              </w:tc>
              <w:tc>
                <w:tcPr>
                  <w:tcW w:w="1147" w:type="dxa"/>
                  <w:tcBorders>
                    <w:tl2br w:val="nil"/>
                    <w:tr2bl w:val="nil"/>
                  </w:tcBorders>
                  <w:vAlign w:val="center"/>
                </w:tcPr>
                <w:p w14:paraId="173829C2">
                  <w:pPr>
                    <w:pStyle w:val="55"/>
                    <w:jc w:val="center"/>
                    <w:rPr>
                      <w:color w:val="auto"/>
                      <w:sz w:val="21"/>
                      <w:szCs w:val="21"/>
                      <w:lang w:val="en-US"/>
                    </w:rPr>
                  </w:pPr>
                  <w:r>
                    <w:rPr>
                      <w:color w:val="auto"/>
                      <w:sz w:val="21"/>
                      <w:szCs w:val="21"/>
                      <w:lang w:val="en-US"/>
                    </w:rPr>
                    <w:t>54.6</w:t>
                  </w:r>
                </w:p>
              </w:tc>
              <w:tc>
                <w:tcPr>
                  <w:tcW w:w="1125" w:type="dxa"/>
                  <w:tcBorders>
                    <w:tl2br w:val="nil"/>
                    <w:tr2bl w:val="nil"/>
                  </w:tcBorders>
                  <w:vAlign w:val="center"/>
                </w:tcPr>
                <w:p w14:paraId="173829C3">
                  <w:pPr>
                    <w:pStyle w:val="55"/>
                    <w:jc w:val="center"/>
                    <w:rPr>
                      <w:color w:val="auto"/>
                      <w:sz w:val="21"/>
                      <w:szCs w:val="21"/>
                      <w:lang w:val="en-US"/>
                    </w:rPr>
                  </w:pPr>
                  <w:r>
                    <w:rPr>
                      <w:color w:val="auto"/>
                      <w:sz w:val="21"/>
                      <w:szCs w:val="21"/>
                      <w:lang w:val="en-US"/>
                    </w:rPr>
                    <w:t>30.1</w:t>
                  </w:r>
                </w:p>
              </w:tc>
              <w:tc>
                <w:tcPr>
                  <w:tcW w:w="1125" w:type="dxa"/>
                  <w:tcBorders>
                    <w:tl2br w:val="nil"/>
                    <w:tr2bl w:val="nil"/>
                  </w:tcBorders>
                  <w:vAlign w:val="center"/>
                </w:tcPr>
                <w:p w14:paraId="173829C4">
                  <w:pPr>
                    <w:pStyle w:val="55"/>
                    <w:jc w:val="center"/>
                    <w:rPr>
                      <w:color w:val="auto"/>
                      <w:sz w:val="21"/>
                      <w:szCs w:val="21"/>
                      <w:lang w:val="en-US"/>
                    </w:rPr>
                  </w:pPr>
                  <w:r>
                    <w:rPr>
                      <w:color w:val="auto"/>
                      <w:sz w:val="21"/>
                      <w:szCs w:val="21"/>
                      <w:lang w:val="en-US"/>
                    </w:rPr>
                    <w:t>33.5</w:t>
                  </w:r>
                </w:p>
              </w:tc>
              <w:tc>
                <w:tcPr>
                  <w:tcW w:w="1126" w:type="dxa"/>
                  <w:tcBorders>
                    <w:tl2br w:val="nil"/>
                    <w:tr2bl w:val="nil"/>
                  </w:tcBorders>
                  <w:vAlign w:val="center"/>
                </w:tcPr>
                <w:p w14:paraId="173829C5">
                  <w:pPr>
                    <w:pStyle w:val="55"/>
                    <w:jc w:val="center"/>
                    <w:rPr>
                      <w:color w:val="auto"/>
                      <w:sz w:val="21"/>
                      <w:szCs w:val="21"/>
                      <w:lang w:val="en-US"/>
                    </w:rPr>
                  </w:pPr>
                  <w:r>
                    <w:rPr>
                      <w:color w:val="auto"/>
                      <w:sz w:val="21"/>
                      <w:szCs w:val="21"/>
                      <w:lang w:val="en-US"/>
                    </w:rPr>
                    <w:t>3.92</w:t>
                  </w:r>
                </w:p>
              </w:tc>
            </w:tr>
            <w:tr w14:paraId="173829C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continue"/>
                  <w:tcBorders>
                    <w:tl2br w:val="nil"/>
                    <w:tr2bl w:val="nil"/>
                  </w:tcBorders>
                  <w:vAlign w:val="center"/>
                </w:tcPr>
                <w:p w14:paraId="173829C7">
                  <w:pPr>
                    <w:pStyle w:val="55"/>
                    <w:rPr>
                      <w:color w:val="auto"/>
                      <w:sz w:val="21"/>
                      <w:szCs w:val="21"/>
                      <w:lang w:val="en-US"/>
                    </w:rPr>
                  </w:pPr>
                </w:p>
              </w:tc>
              <w:tc>
                <w:tcPr>
                  <w:tcW w:w="645" w:type="dxa"/>
                  <w:vMerge w:val="continue"/>
                  <w:tcBorders>
                    <w:tl2br w:val="nil"/>
                    <w:tr2bl w:val="nil"/>
                  </w:tcBorders>
                  <w:vAlign w:val="center"/>
                </w:tcPr>
                <w:p w14:paraId="173829C8">
                  <w:pPr>
                    <w:pStyle w:val="55"/>
                    <w:rPr>
                      <w:color w:val="auto"/>
                      <w:sz w:val="21"/>
                      <w:szCs w:val="21"/>
                      <w:lang w:val="en-US"/>
                    </w:rPr>
                  </w:pPr>
                </w:p>
              </w:tc>
              <w:tc>
                <w:tcPr>
                  <w:tcW w:w="993" w:type="dxa"/>
                  <w:tcBorders>
                    <w:tl2br w:val="nil"/>
                    <w:tr2bl w:val="nil"/>
                  </w:tcBorders>
                  <w:vAlign w:val="center"/>
                </w:tcPr>
                <w:p w14:paraId="173829C9">
                  <w:pPr>
                    <w:pStyle w:val="55"/>
                    <w:jc w:val="center"/>
                    <w:rPr>
                      <w:color w:val="auto"/>
                      <w:sz w:val="21"/>
                      <w:szCs w:val="21"/>
                      <w:lang w:val="en-US"/>
                    </w:rPr>
                  </w:pPr>
                  <w:r>
                    <w:rPr>
                      <w:color w:val="auto"/>
                      <w:sz w:val="21"/>
                      <w:szCs w:val="21"/>
                      <w:lang w:val="en-US"/>
                    </w:rPr>
                    <w:t>评价</w:t>
                  </w:r>
                </w:p>
              </w:tc>
              <w:tc>
                <w:tcPr>
                  <w:tcW w:w="1156" w:type="dxa"/>
                  <w:tcBorders>
                    <w:tl2br w:val="nil"/>
                    <w:tr2bl w:val="nil"/>
                  </w:tcBorders>
                  <w:vAlign w:val="center"/>
                </w:tcPr>
                <w:p w14:paraId="173829CA">
                  <w:pPr>
                    <w:pStyle w:val="55"/>
                    <w:jc w:val="center"/>
                    <w:rPr>
                      <w:color w:val="auto"/>
                      <w:sz w:val="21"/>
                      <w:szCs w:val="21"/>
                      <w:lang w:val="en-US"/>
                    </w:rPr>
                  </w:pPr>
                  <w:r>
                    <w:rPr>
                      <w:color w:val="auto"/>
                      <w:sz w:val="21"/>
                      <w:szCs w:val="21"/>
                      <w:lang w:val="en-US"/>
                    </w:rPr>
                    <w:t>达标</w:t>
                  </w:r>
                </w:p>
              </w:tc>
              <w:tc>
                <w:tcPr>
                  <w:tcW w:w="1147" w:type="dxa"/>
                  <w:tcBorders>
                    <w:tl2br w:val="nil"/>
                    <w:tr2bl w:val="nil"/>
                  </w:tcBorders>
                  <w:vAlign w:val="center"/>
                </w:tcPr>
                <w:p w14:paraId="173829CB">
                  <w:pPr>
                    <w:jc w:val="center"/>
                    <w:rPr>
                      <w:color w:val="auto"/>
                      <w:kern w:val="0"/>
                      <w:szCs w:val="21"/>
                    </w:rPr>
                  </w:pPr>
                  <w:r>
                    <w:rPr>
                      <w:color w:val="auto"/>
                      <w:kern w:val="0"/>
                      <w:szCs w:val="21"/>
                    </w:rPr>
                    <w:t>达标</w:t>
                  </w:r>
                </w:p>
              </w:tc>
              <w:tc>
                <w:tcPr>
                  <w:tcW w:w="1125" w:type="dxa"/>
                  <w:tcBorders>
                    <w:tl2br w:val="nil"/>
                    <w:tr2bl w:val="nil"/>
                  </w:tcBorders>
                  <w:vAlign w:val="center"/>
                </w:tcPr>
                <w:p w14:paraId="173829CC">
                  <w:pPr>
                    <w:jc w:val="center"/>
                    <w:rPr>
                      <w:color w:val="auto"/>
                      <w:kern w:val="0"/>
                      <w:szCs w:val="21"/>
                    </w:rPr>
                  </w:pPr>
                  <w:r>
                    <w:rPr>
                      <w:color w:val="auto"/>
                      <w:kern w:val="0"/>
                      <w:szCs w:val="21"/>
                    </w:rPr>
                    <w:t>达标</w:t>
                  </w:r>
                </w:p>
              </w:tc>
              <w:tc>
                <w:tcPr>
                  <w:tcW w:w="1125" w:type="dxa"/>
                  <w:tcBorders>
                    <w:tl2br w:val="nil"/>
                    <w:tr2bl w:val="nil"/>
                  </w:tcBorders>
                  <w:vAlign w:val="center"/>
                </w:tcPr>
                <w:p w14:paraId="173829CD">
                  <w:pPr>
                    <w:jc w:val="center"/>
                    <w:rPr>
                      <w:color w:val="auto"/>
                      <w:kern w:val="0"/>
                      <w:szCs w:val="21"/>
                    </w:rPr>
                  </w:pPr>
                  <w:r>
                    <w:rPr>
                      <w:color w:val="auto"/>
                      <w:kern w:val="0"/>
                      <w:szCs w:val="21"/>
                    </w:rPr>
                    <w:t>达标</w:t>
                  </w:r>
                </w:p>
              </w:tc>
              <w:tc>
                <w:tcPr>
                  <w:tcW w:w="1126" w:type="dxa"/>
                  <w:tcBorders>
                    <w:tl2br w:val="nil"/>
                    <w:tr2bl w:val="nil"/>
                  </w:tcBorders>
                  <w:vAlign w:val="center"/>
                </w:tcPr>
                <w:p w14:paraId="173829CE">
                  <w:pPr>
                    <w:jc w:val="center"/>
                    <w:rPr>
                      <w:color w:val="auto"/>
                      <w:kern w:val="0"/>
                      <w:szCs w:val="21"/>
                    </w:rPr>
                  </w:pPr>
                  <w:r>
                    <w:rPr>
                      <w:color w:val="auto"/>
                      <w:kern w:val="0"/>
                      <w:szCs w:val="21"/>
                    </w:rPr>
                    <w:t>达标</w:t>
                  </w:r>
                </w:p>
              </w:tc>
            </w:tr>
            <w:tr w14:paraId="173829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restart"/>
                  <w:tcBorders>
                    <w:tl2br w:val="nil"/>
                    <w:tr2bl w:val="nil"/>
                  </w:tcBorders>
                  <w:vAlign w:val="center"/>
                </w:tcPr>
                <w:p w14:paraId="173829D0">
                  <w:pPr>
                    <w:pStyle w:val="55"/>
                    <w:jc w:val="center"/>
                    <w:rPr>
                      <w:color w:val="auto"/>
                      <w:sz w:val="21"/>
                      <w:szCs w:val="21"/>
                      <w:lang w:val="en-US"/>
                    </w:rPr>
                  </w:pPr>
                  <w:r>
                    <w:rPr>
                      <w:color w:val="auto"/>
                      <w:sz w:val="21"/>
                      <w:szCs w:val="21"/>
                      <w:lang w:val="en-US"/>
                    </w:rPr>
                    <w:t>2020.03.05</w:t>
                  </w:r>
                </w:p>
              </w:tc>
              <w:tc>
                <w:tcPr>
                  <w:tcW w:w="645" w:type="dxa"/>
                  <w:vMerge w:val="restart"/>
                  <w:tcBorders>
                    <w:tl2br w:val="nil"/>
                    <w:tr2bl w:val="nil"/>
                  </w:tcBorders>
                  <w:vAlign w:val="center"/>
                </w:tcPr>
                <w:p w14:paraId="173829D1">
                  <w:pPr>
                    <w:pStyle w:val="55"/>
                    <w:jc w:val="center"/>
                    <w:rPr>
                      <w:color w:val="auto"/>
                      <w:sz w:val="21"/>
                      <w:szCs w:val="21"/>
                      <w:lang w:val="en-US"/>
                    </w:rPr>
                  </w:pPr>
                  <w:r>
                    <w:rPr>
                      <w:color w:val="auto"/>
                      <w:sz w:val="21"/>
                      <w:szCs w:val="21"/>
                      <w:lang w:val="en-US"/>
                    </w:rPr>
                    <w:t>生活污水出水口</w:t>
                  </w:r>
                </w:p>
              </w:tc>
              <w:tc>
                <w:tcPr>
                  <w:tcW w:w="993" w:type="dxa"/>
                  <w:tcBorders>
                    <w:tl2br w:val="nil"/>
                    <w:tr2bl w:val="nil"/>
                  </w:tcBorders>
                  <w:vAlign w:val="center"/>
                </w:tcPr>
                <w:p w14:paraId="173829D2">
                  <w:pPr>
                    <w:pStyle w:val="55"/>
                    <w:jc w:val="center"/>
                    <w:rPr>
                      <w:color w:val="auto"/>
                      <w:sz w:val="21"/>
                      <w:szCs w:val="21"/>
                      <w:lang w:val="en-US"/>
                    </w:rPr>
                  </w:pPr>
                  <w:r>
                    <w:rPr>
                      <w:color w:val="auto"/>
                      <w:sz w:val="21"/>
                      <w:szCs w:val="21"/>
                      <w:lang w:val="en-US"/>
                    </w:rPr>
                    <w:t>1</w:t>
                  </w:r>
                </w:p>
              </w:tc>
              <w:tc>
                <w:tcPr>
                  <w:tcW w:w="1156" w:type="dxa"/>
                  <w:tcBorders>
                    <w:tl2br w:val="nil"/>
                    <w:tr2bl w:val="nil"/>
                  </w:tcBorders>
                  <w:vAlign w:val="center"/>
                </w:tcPr>
                <w:p w14:paraId="173829D3">
                  <w:pPr>
                    <w:pStyle w:val="55"/>
                    <w:jc w:val="center"/>
                    <w:rPr>
                      <w:color w:val="auto"/>
                      <w:sz w:val="21"/>
                      <w:szCs w:val="21"/>
                      <w:lang w:val="en-US"/>
                    </w:rPr>
                  </w:pPr>
                  <w:r>
                    <w:rPr>
                      <w:color w:val="auto"/>
                      <w:sz w:val="21"/>
                      <w:szCs w:val="21"/>
                      <w:lang w:val="en-US"/>
                    </w:rPr>
                    <w:t>188</w:t>
                  </w:r>
                </w:p>
              </w:tc>
              <w:tc>
                <w:tcPr>
                  <w:tcW w:w="1147" w:type="dxa"/>
                  <w:tcBorders>
                    <w:tl2br w:val="nil"/>
                    <w:tr2bl w:val="nil"/>
                  </w:tcBorders>
                  <w:vAlign w:val="center"/>
                </w:tcPr>
                <w:p w14:paraId="173829D4">
                  <w:pPr>
                    <w:pStyle w:val="55"/>
                    <w:jc w:val="center"/>
                    <w:rPr>
                      <w:color w:val="auto"/>
                      <w:sz w:val="21"/>
                      <w:szCs w:val="21"/>
                      <w:lang w:val="en-US"/>
                    </w:rPr>
                  </w:pPr>
                  <w:r>
                    <w:rPr>
                      <w:color w:val="auto"/>
                      <w:sz w:val="21"/>
                      <w:szCs w:val="21"/>
                      <w:lang w:val="en-US"/>
                    </w:rPr>
                    <w:t>53.3</w:t>
                  </w:r>
                </w:p>
              </w:tc>
              <w:tc>
                <w:tcPr>
                  <w:tcW w:w="1125" w:type="dxa"/>
                  <w:tcBorders>
                    <w:tl2br w:val="nil"/>
                    <w:tr2bl w:val="nil"/>
                  </w:tcBorders>
                  <w:vAlign w:val="center"/>
                </w:tcPr>
                <w:p w14:paraId="173829D5">
                  <w:pPr>
                    <w:pStyle w:val="55"/>
                    <w:jc w:val="center"/>
                    <w:rPr>
                      <w:color w:val="auto"/>
                      <w:sz w:val="21"/>
                      <w:szCs w:val="21"/>
                      <w:lang w:val="en-US"/>
                    </w:rPr>
                  </w:pPr>
                  <w:r>
                    <w:rPr>
                      <w:color w:val="auto"/>
                      <w:sz w:val="21"/>
                      <w:szCs w:val="21"/>
                      <w:lang w:val="en-US"/>
                    </w:rPr>
                    <w:t>29.1</w:t>
                  </w:r>
                </w:p>
              </w:tc>
              <w:tc>
                <w:tcPr>
                  <w:tcW w:w="1125" w:type="dxa"/>
                  <w:tcBorders>
                    <w:tl2br w:val="nil"/>
                    <w:tr2bl w:val="nil"/>
                  </w:tcBorders>
                  <w:vAlign w:val="center"/>
                </w:tcPr>
                <w:p w14:paraId="173829D6">
                  <w:pPr>
                    <w:pStyle w:val="55"/>
                    <w:jc w:val="center"/>
                    <w:rPr>
                      <w:color w:val="auto"/>
                      <w:sz w:val="21"/>
                      <w:szCs w:val="21"/>
                      <w:lang w:val="en-US"/>
                    </w:rPr>
                  </w:pPr>
                  <w:r>
                    <w:rPr>
                      <w:color w:val="auto"/>
                      <w:sz w:val="21"/>
                      <w:szCs w:val="21"/>
                      <w:lang w:val="en-US"/>
                    </w:rPr>
                    <w:t>43</w:t>
                  </w:r>
                </w:p>
              </w:tc>
              <w:tc>
                <w:tcPr>
                  <w:tcW w:w="1126" w:type="dxa"/>
                  <w:tcBorders>
                    <w:tl2br w:val="nil"/>
                    <w:tr2bl w:val="nil"/>
                  </w:tcBorders>
                  <w:vAlign w:val="center"/>
                </w:tcPr>
                <w:p w14:paraId="173829D7">
                  <w:pPr>
                    <w:pStyle w:val="55"/>
                    <w:jc w:val="center"/>
                    <w:rPr>
                      <w:color w:val="auto"/>
                      <w:sz w:val="21"/>
                      <w:szCs w:val="21"/>
                      <w:lang w:val="en-US"/>
                    </w:rPr>
                  </w:pPr>
                  <w:r>
                    <w:rPr>
                      <w:color w:val="auto"/>
                      <w:sz w:val="21"/>
                      <w:szCs w:val="21"/>
                      <w:lang w:val="en-US"/>
                    </w:rPr>
                    <w:t>4.06</w:t>
                  </w:r>
                </w:p>
              </w:tc>
            </w:tr>
            <w:tr w14:paraId="173829E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continue"/>
                  <w:tcBorders>
                    <w:tl2br w:val="nil"/>
                    <w:tr2bl w:val="nil"/>
                  </w:tcBorders>
                  <w:vAlign w:val="center"/>
                </w:tcPr>
                <w:p w14:paraId="173829D9">
                  <w:pPr>
                    <w:pStyle w:val="55"/>
                    <w:rPr>
                      <w:color w:val="auto"/>
                      <w:sz w:val="21"/>
                      <w:szCs w:val="21"/>
                      <w:lang w:val="en-US"/>
                    </w:rPr>
                  </w:pPr>
                </w:p>
              </w:tc>
              <w:tc>
                <w:tcPr>
                  <w:tcW w:w="645" w:type="dxa"/>
                  <w:vMerge w:val="continue"/>
                  <w:tcBorders>
                    <w:tl2br w:val="nil"/>
                    <w:tr2bl w:val="nil"/>
                  </w:tcBorders>
                  <w:vAlign w:val="center"/>
                </w:tcPr>
                <w:p w14:paraId="173829DA">
                  <w:pPr>
                    <w:pStyle w:val="55"/>
                    <w:rPr>
                      <w:color w:val="auto"/>
                      <w:sz w:val="21"/>
                      <w:szCs w:val="21"/>
                      <w:lang w:val="en-US"/>
                    </w:rPr>
                  </w:pPr>
                </w:p>
              </w:tc>
              <w:tc>
                <w:tcPr>
                  <w:tcW w:w="993" w:type="dxa"/>
                  <w:tcBorders>
                    <w:tl2br w:val="nil"/>
                    <w:tr2bl w:val="nil"/>
                  </w:tcBorders>
                  <w:vAlign w:val="center"/>
                </w:tcPr>
                <w:p w14:paraId="173829DB">
                  <w:pPr>
                    <w:pStyle w:val="55"/>
                    <w:jc w:val="center"/>
                    <w:rPr>
                      <w:color w:val="auto"/>
                      <w:sz w:val="21"/>
                      <w:szCs w:val="21"/>
                      <w:lang w:val="en-US"/>
                    </w:rPr>
                  </w:pPr>
                  <w:r>
                    <w:rPr>
                      <w:color w:val="auto"/>
                      <w:sz w:val="21"/>
                      <w:szCs w:val="21"/>
                      <w:lang w:val="en-US"/>
                    </w:rPr>
                    <w:t>2</w:t>
                  </w:r>
                </w:p>
              </w:tc>
              <w:tc>
                <w:tcPr>
                  <w:tcW w:w="1156" w:type="dxa"/>
                  <w:tcBorders>
                    <w:tl2br w:val="nil"/>
                    <w:tr2bl w:val="nil"/>
                  </w:tcBorders>
                  <w:vAlign w:val="center"/>
                </w:tcPr>
                <w:p w14:paraId="173829DC">
                  <w:pPr>
                    <w:pStyle w:val="55"/>
                    <w:jc w:val="center"/>
                    <w:rPr>
                      <w:color w:val="auto"/>
                      <w:sz w:val="21"/>
                      <w:szCs w:val="21"/>
                      <w:lang w:val="en-US"/>
                    </w:rPr>
                  </w:pPr>
                  <w:r>
                    <w:rPr>
                      <w:color w:val="auto"/>
                      <w:sz w:val="21"/>
                      <w:szCs w:val="21"/>
                      <w:lang w:val="en-US"/>
                    </w:rPr>
                    <w:t>198</w:t>
                  </w:r>
                </w:p>
              </w:tc>
              <w:tc>
                <w:tcPr>
                  <w:tcW w:w="1147" w:type="dxa"/>
                  <w:tcBorders>
                    <w:tl2br w:val="nil"/>
                    <w:tr2bl w:val="nil"/>
                  </w:tcBorders>
                  <w:vAlign w:val="center"/>
                </w:tcPr>
                <w:p w14:paraId="173829DD">
                  <w:pPr>
                    <w:pStyle w:val="55"/>
                    <w:jc w:val="center"/>
                    <w:rPr>
                      <w:color w:val="auto"/>
                      <w:sz w:val="21"/>
                      <w:szCs w:val="21"/>
                      <w:lang w:val="en-US"/>
                    </w:rPr>
                  </w:pPr>
                  <w:r>
                    <w:rPr>
                      <w:color w:val="auto"/>
                      <w:sz w:val="21"/>
                      <w:szCs w:val="21"/>
                      <w:lang w:val="en-US"/>
                    </w:rPr>
                    <w:t>56.0</w:t>
                  </w:r>
                </w:p>
              </w:tc>
              <w:tc>
                <w:tcPr>
                  <w:tcW w:w="1125" w:type="dxa"/>
                  <w:tcBorders>
                    <w:tl2br w:val="nil"/>
                    <w:tr2bl w:val="nil"/>
                  </w:tcBorders>
                  <w:vAlign w:val="center"/>
                </w:tcPr>
                <w:p w14:paraId="173829DE">
                  <w:pPr>
                    <w:pStyle w:val="55"/>
                    <w:jc w:val="center"/>
                    <w:rPr>
                      <w:color w:val="auto"/>
                      <w:sz w:val="21"/>
                      <w:szCs w:val="21"/>
                      <w:lang w:val="en-US"/>
                    </w:rPr>
                  </w:pPr>
                  <w:r>
                    <w:rPr>
                      <w:color w:val="auto"/>
                      <w:sz w:val="21"/>
                      <w:szCs w:val="21"/>
                      <w:lang w:val="en-US"/>
                    </w:rPr>
                    <w:t>28.7</w:t>
                  </w:r>
                </w:p>
              </w:tc>
              <w:tc>
                <w:tcPr>
                  <w:tcW w:w="1125" w:type="dxa"/>
                  <w:tcBorders>
                    <w:tl2br w:val="nil"/>
                    <w:tr2bl w:val="nil"/>
                  </w:tcBorders>
                  <w:vAlign w:val="center"/>
                </w:tcPr>
                <w:p w14:paraId="173829DF">
                  <w:pPr>
                    <w:pStyle w:val="55"/>
                    <w:jc w:val="center"/>
                    <w:rPr>
                      <w:color w:val="auto"/>
                      <w:sz w:val="21"/>
                      <w:szCs w:val="21"/>
                      <w:lang w:val="en-US"/>
                    </w:rPr>
                  </w:pPr>
                  <w:r>
                    <w:rPr>
                      <w:color w:val="auto"/>
                      <w:sz w:val="21"/>
                      <w:szCs w:val="21"/>
                      <w:lang w:val="en-US"/>
                    </w:rPr>
                    <w:t>24</w:t>
                  </w:r>
                </w:p>
              </w:tc>
              <w:tc>
                <w:tcPr>
                  <w:tcW w:w="1126" w:type="dxa"/>
                  <w:tcBorders>
                    <w:tl2br w:val="nil"/>
                    <w:tr2bl w:val="nil"/>
                  </w:tcBorders>
                  <w:vAlign w:val="center"/>
                </w:tcPr>
                <w:p w14:paraId="173829E0">
                  <w:pPr>
                    <w:pStyle w:val="55"/>
                    <w:jc w:val="center"/>
                    <w:rPr>
                      <w:color w:val="auto"/>
                      <w:sz w:val="21"/>
                      <w:szCs w:val="21"/>
                      <w:lang w:val="en-US"/>
                    </w:rPr>
                  </w:pPr>
                  <w:r>
                    <w:rPr>
                      <w:color w:val="auto"/>
                      <w:sz w:val="21"/>
                      <w:szCs w:val="21"/>
                      <w:lang w:val="en-US"/>
                    </w:rPr>
                    <w:t>4.12</w:t>
                  </w:r>
                </w:p>
              </w:tc>
            </w:tr>
            <w:tr w14:paraId="173829E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continue"/>
                  <w:tcBorders>
                    <w:tl2br w:val="nil"/>
                    <w:tr2bl w:val="nil"/>
                  </w:tcBorders>
                  <w:vAlign w:val="center"/>
                </w:tcPr>
                <w:p w14:paraId="173829E2">
                  <w:pPr>
                    <w:pStyle w:val="55"/>
                    <w:rPr>
                      <w:color w:val="auto"/>
                      <w:sz w:val="21"/>
                      <w:szCs w:val="21"/>
                      <w:lang w:val="en-US"/>
                    </w:rPr>
                  </w:pPr>
                </w:p>
              </w:tc>
              <w:tc>
                <w:tcPr>
                  <w:tcW w:w="645" w:type="dxa"/>
                  <w:vMerge w:val="continue"/>
                  <w:tcBorders>
                    <w:tl2br w:val="nil"/>
                    <w:tr2bl w:val="nil"/>
                  </w:tcBorders>
                  <w:vAlign w:val="center"/>
                </w:tcPr>
                <w:p w14:paraId="173829E3">
                  <w:pPr>
                    <w:pStyle w:val="55"/>
                    <w:rPr>
                      <w:color w:val="auto"/>
                      <w:sz w:val="21"/>
                      <w:szCs w:val="21"/>
                      <w:lang w:val="en-US"/>
                    </w:rPr>
                  </w:pPr>
                </w:p>
              </w:tc>
              <w:tc>
                <w:tcPr>
                  <w:tcW w:w="993" w:type="dxa"/>
                  <w:tcBorders>
                    <w:tl2br w:val="nil"/>
                    <w:tr2bl w:val="nil"/>
                  </w:tcBorders>
                  <w:vAlign w:val="center"/>
                </w:tcPr>
                <w:p w14:paraId="173829E4">
                  <w:pPr>
                    <w:pStyle w:val="55"/>
                    <w:jc w:val="center"/>
                    <w:rPr>
                      <w:color w:val="auto"/>
                      <w:sz w:val="21"/>
                      <w:szCs w:val="21"/>
                      <w:lang w:val="en-US"/>
                    </w:rPr>
                  </w:pPr>
                  <w:r>
                    <w:rPr>
                      <w:color w:val="auto"/>
                      <w:sz w:val="21"/>
                      <w:szCs w:val="21"/>
                      <w:lang w:val="en-US"/>
                    </w:rPr>
                    <w:t>3</w:t>
                  </w:r>
                </w:p>
              </w:tc>
              <w:tc>
                <w:tcPr>
                  <w:tcW w:w="1156" w:type="dxa"/>
                  <w:tcBorders>
                    <w:tl2br w:val="nil"/>
                    <w:tr2bl w:val="nil"/>
                  </w:tcBorders>
                  <w:vAlign w:val="center"/>
                </w:tcPr>
                <w:p w14:paraId="173829E5">
                  <w:pPr>
                    <w:pStyle w:val="55"/>
                    <w:jc w:val="center"/>
                    <w:rPr>
                      <w:color w:val="auto"/>
                      <w:sz w:val="21"/>
                      <w:szCs w:val="21"/>
                      <w:lang w:val="en-US"/>
                    </w:rPr>
                  </w:pPr>
                  <w:r>
                    <w:rPr>
                      <w:color w:val="auto"/>
                      <w:sz w:val="21"/>
                      <w:szCs w:val="21"/>
                      <w:lang w:val="en-US"/>
                    </w:rPr>
                    <w:t>185</w:t>
                  </w:r>
                </w:p>
              </w:tc>
              <w:tc>
                <w:tcPr>
                  <w:tcW w:w="1147" w:type="dxa"/>
                  <w:tcBorders>
                    <w:tl2br w:val="nil"/>
                    <w:tr2bl w:val="nil"/>
                  </w:tcBorders>
                  <w:vAlign w:val="center"/>
                </w:tcPr>
                <w:p w14:paraId="173829E6">
                  <w:pPr>
                    <w:pStyle w:val="55"/>
                    <w:jc w:val="center"/>
                    <w:rPr>
                      <w:color w:val="auto"/>
                      <w:sz w:val="21"/>
                      <w:szCs w:val="21"/>
                      <w:lang w:val="en-US"/>
                    </w:rPr>
                  </w:pPr>
                  <w:r>
                    <w:rPr>
                      <w:color w:val="auto"/>
                      <w:sz w:val="21"/>
                      <w:szCs w:val="21"/>
                      <w:lang w:val="en-US"/>
                    </w:rPr>
                    <w:t>53.0</w:t>
                  </w:r>
                </w:p>
              </w:tc>
              <w:tc>
                <w:tcPr>
                  <w:tcW w:w="1125" w:type="dxa"/>
                  <w:tcBorders>
                    <w:tl2br w:val="nil"/>
                    <w:tr2bl w:val="nil"/>
                  </w:tcBorders>
                  <w:vAlign w:val="center"/>
                </w:tcPr>
                <w:p w14:paraId="173829E7">
                  <w:pPr>
                    <w:pStyle w:val="55"/>
                    <w:jc w:val="center"/>
                    <w:rPr>
                      <w:color w:val="auto"/>
                      <w:sz w:val="21"/>
                      <w:szCs w:val="21"/>
                      <w:lang w:val="en-US"/>
                    </w:rPr>
                  </w:pPr>
                  <w:r>
                    <w:rPr>
                      <w:color w:val="auto"/>
                      <w:sz w:val="21"/>
                      <w:szCs w:val="21"/>
                      <w:lang w:val="en-US"/>
                    </w:rPr>
                    <w:t>30.8</w:t>
                  </w:r>
                </w:p>
              </w:tc>
              <w:tc>
                <w:tcPr>
                  <w:tcW w:w="1125" w:type="dxa"/>
                  <w:tcBorders>
                    <w:tl2br w:val="nil"/>
                    <w:tr2bl w:val="nil"/>
                  </w:tcBorders>
                  <w:vAlign w:val="center"/>
                </w:tcPr>
                <w:p w14:paraId="173829E8">
                  <w:pPr>
                    <w:pStyle w:val="55"/>
                    <w:jc w:val="center"/>
                    <w:rPr>
                      <w:color w:val="auto"/>
                      <w:sz w:val="21"/>
                      <w:szCs w:val="21"/>
                      <w:lang w:val="en-US"/>
                    </w:rPr>
                  </w:pPr>
                  <w:r>
                    <w:rPr>
                      <w:color w:val="auto"/>
                      <w:sz w:val="21"/>
                      <w:szCs w:val="21"/>
                      <w:lang w:val="en-US"/>
                    </w:rPr>
                    <w:t>36</w:t>
                  </w:r>
                </w:p>
              </w:tc>
              <w:tc>
                <w:tcPr>
                  <w:tcW w:w="1126" w:type="dxa"/>
                  <w:tcBorders>
                    <w:tl2br w:val="nil"/>
                    <w:tr2bl w:val="nil"/>
                  </w:tcBorders>
                  <w:vAlign w:val="center"/>
                </w:tcPr>
                <w:p w14:paraId="173829E9">
                  <w:pPr>
                    <w:pStyle w:val="55"/>
                    <w:jc w:val="center"/>
                    <w:rPr>
                      <w:color w:val="auto"/>
                      <w:sz w:val="21"/>
                      <w:szCs w:val="21"/>
                      <w:lang w:val="en-US"/>
                    </w:rPr>
                  </w:pPr>
                  <w:r>
                    <w:rPr>
                      <w:color w:val="auto"/>
                      <w:sz w:val="21"/>
                      <w:szCs w:val="21"/>
                      <w:lang w:val="en-US"/>
                    </w:rPr>
                    <w:t>4.12</w:t>
                  </w:r>
                </w:p>
              </w:tc>
            </w:tr>
            <w:tr w14:paraId="173829F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continue"/>
                  <w:tcBorders>
                    <w:tl2br w:val="nil"/>
                    <w:tr2bl w:val="nil"/>
                  </w:tcBorders>
                  <w:vAlign w:val="center"/>
                </w:tcPr>
                <w:p w14:paraId="173829EB">
                  <w:pPr>
                    <w:pStyle w:val="55"/>
                    <w:rPr>
                      <w:color w:val="auto"/>
                      <w:sz w:val="21"/>
                      <w:szCs w:val="21"/>
                      <w:lang w:val="en-US"/>
                    </w:rPr>
                  </w:pPr>
                </w:p>
              </w:tc>
              <w:tc>
                <w:tcPr>
                  <w:tcW w:w="645" w:type="dxa"/>
                  <w:vMerge w:val="continue"/>
                  <w:tcBorders>
                    <w:tl2br w:val="nil"/>
                    <w:tr2bl w:val="nil"/>
                  </w:tcBorders>
                  <w:vAlign w:val="center"/>
                </w:tcPr>
                <w:p w14:paraId="173829EC">
                  <w:pPr>
                    <w:pStyle w:val="55"/>
                    <w:rPr>
                      <w:color w:val="auto"/>
                      <w:sz w:val="21"/>
                      <w:szCs w:val="21"/>
                      <w:lang w:val="en-US"/>
                    </w:rPr>
                  </w:pPr>
                </w:p>
              </w:tc>
              <w:tc>
                <w:tcPr>
                  <w:tcW w:w="993" w:type="dxa"/>
                  <w:tcBorders>
                    <w:tl2br w:val="nil"/>
                    <w:tr2bl w:val="nil"/>
                  </w:tcBorders>
                  <w:vAlign w:val="center"/>
                </w:tcPr>
                <w:p w14:paraId="173829ED">
                  <w:pPr>
                    <w:pStyle w:val="55"/>
                    <w:jc w:val="center"/>
                    <w:rPr>
                      <w:color w:val="auto"/>
                      <w:sz w:val="21"/>
                      <w:szCs w:val="21"/>
                      <w:lang w:val="en-US"/>
                    </w:rPr>
                  </w:pPr>
                  <w:r>
                    <w:rPr>
                      <w:color w:val="auto"/>
                      <w:sz w:val="21"/>
                      <w:szCs w:val="21"/>
                      <w:lang w:val="en-US"/>
                    </w:rPr>
                    <w:t>4</w:t>
                  </w:r>
                </w:p>
              </w:tc>
              <w:tc>
                <w:tcPr>
                  <w:tcW w:w="1156" w:type="dxa"/>
                  <w:tcBorders>
                    <w:tl2br w:val="nil"/>
                    <w:tr2bl w:val="nil"/>
                  </w:tcBorders>
                  <w:vAlign w:val="center"/>
                </w:tcPr>
                <w:p w14:paraId="173829EE">
                  <w:pPr>
                    <w:pStyle w:val="55"/>
                    <w:jc w:val="center"/>
                    <w:rPr>
                      <w:color w:val="auto"/>
                      <w:sz w:val="21"/>
                      <w:szCs w:val="21"/>
                      <w:lang w:val="en-US"/>
                    </w:rPr>
                  </w:pPr>
                  <w:r>
                    <w:rPr>
                      <w:color w:val="auto"/>
                      <w:sz w:val="21"/>
                      <w:szCs w:val="21"/>
                      <w:lang w:val="en-US"/>
                    </w:rPr>
                    <w:t>196</w:t>
                  </w:r>
                </w:p>
              </w:tc>
              <w:tc>
                <w:tcPr>
                  <w:tcW w:w="1147" w:type="dxa"/>
                  <w:tcBorders>
                    <w:tl2br w:val="nil"/>
                    <w:tr2bl w:val="nil"/>
                  </w:tcBorders>
                  <w:vAlign w:val="center"/>
                </w:tcPr>
                <w:p w14:paraId="173829EF">
                  <w:pPr>
                    <w:pStyle w:val="55"/>
                    <w:jc w:val="center"/>
                    <w:rPr>
                      <w:color w:val="auto"/>
                      <w:sz w:val="21"/>
                      <w:szCs w:val="21"/>
                      <w:lang w:val="en-US"/>
                    </w:rPr>
                  </w:pPr>
                  <w:r>
                    <w:rPr>
                      <w:color w:val="auto"/>
                      <w:sz w:val="21"/>
                      <w:szCs w:val="21"/>
                      <w:lang w:val="en-US"/>
                    </w:rPr>
                    <w:t>55.6</w:t>
                  </w:r>
                </w:p>
              </w:tc>
              <w:tc>
                <w:tcPr>
                  <w:tcW w:w="1125" w:type="dxa"/>
                  <w:tcBorders>
                    <w:tl2br w:val="nil"/>
                    <w:tr2bl w:val="nil"/>
                  </w:tcBorders>
                  <w:vAlign w:val="center"/>
                </w:tcPr>
                <w:p w14:paraId="173829F0">
                  <w:pPr>
                    <w:pStyle w:val="55"/>
                    <w:jc w:val="center"/>
                    <w:rPr>
                      <w:color w:val="auto"/>
                      <w:sz w:val="21"/>
                      <w:szCs w:val="21"/>
                      <w:lang w:val="en-US"/>
                    </w:rPr>
                  </w:pPr>
                  <w:r>
                    <w:rPr>
                      <w:color w:val="auto"/>
                      <w:sz w:val="21"/>
                      <w:szCs w:val="21"/>
                      <w:lang w:val="en-US"/>
                    </w:rPr>
                    <w:t>30.0</w:t>
                  </w:r>
                </w:p>
              </w:tc>
              <w:tc>
                <w:tcPr>
                  <w:tcW w:w="1125" w:type="dxa"/>
                  <w:tcBorders>
                    <w:tl2br w:val="nil"/>
                    <w:tr2bl w:val="nil"/>
                  </w:tcBorders>
                  <w:vAlign w:val="center"/>
                </w:tcPr>
                <w:p w14:paraId="173829F1">
                  <w:pPr>
                    <w:pStyle w:val="55"/>
                    <w:jc w:val="center"/>
                    <w:rPr>
                      <w:color w:val="auto"/>
                      <w:sz w:val="21"/>
                      <w:szCs w:val="21"/>
                      <w:lang w:val="en-US"/>
                    </w:rPr>
                  </w:pPr>
                  <w:r>
                    <w:rPr>
                      <w:color w:val="auto"/>
                      <w:sz w:val="21"/>
                      <w:szCs w:val="21"/>
                      <w:lang w:val="en-US"/>
                    </w:rPr>
                    <w:t>22</w:t>
                  </w:r>
                </w:p>
              </w:tc>
              <w:tc>
                <w:tcPr>
                  <w:tcW w:w="1126" w:type="dxa"/>
                  <w:tcBorders>
                    <w:tl2br w:val="nil"/>
                    <w:tr2bl w:val="nil"/>
                  </w:tcBorders>
                  <w:vAlign w:val="center"/>
                </w:tcPr>
                <w:p w14:paraId="173829F2">
                  <w:pPr>
                    <w:pStyle w:val="55"/>
                    <w:jc w:val="center"/>
                    <w:rPr>
                      <w:color w:val="auto"/>
                      <w:sz w:val="21"/>
                      <w:szCs w:val="21"/>
                      <w:lang w:val="en-US"/>
                    </w:rPr>
                  </w:pPr>
                  <w:r>
                    <w:rPr>
                      <w:color w:val="auto"/>
                      <w:sz w:val="21"/>
                      <w:szCs w:val="21"/>
                      <w:lang w:val="en-US"/>
                    </w:rPr>
                    <w:t>3.99</w:t>
                  </w:r>
                </w:p>
              </w:tc>
            </w:tr>
            <w:tr w14:paraId="173829F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continue"/>
                  <w:tcBorders>
                    <w:tl2br w:val="nil"/>
                    <w:tr2bl w:val="nil"/>
                  </w:tcBorders>
                  <w:vAlign w:val="center"/>
                </w:tcPr>
                <w:p w14:paraId="173829F4">
                  <w:pPr>
                    <w:pStyle w:val="55"/>
                    <w:rPr>
                      <w:color w:val="auto"/>
                      <w:sz w:val="21"/>
                      <w:szCs w:val="21"/>
                      <w:lang w:val="en-US"/>
                    </w:rPr>
                  </w:pPr>
                </w:p>
              </w:tc>
              <w:tc>
                <w:tcPr>
                  <w:tcW w:w="645" w:type="dxa"/>
                  <w:vMerge w:val="continue"/>
                  <w:tcBorders>
                    <w:tl2br w:val="nil"/>
                    <w:tr2bl w:val="nil"/>
                  </w:tcBorders>
                  <w:vAlign w:val="center"/>
                </w:tcPr>
                <w:p w14:paraId="173829F5">
                  <w:pPr>
                    <w:pStyle w:val="55"/>
                    <w:rPr>
                      <w:color w:val="auto"/>
                      <w:sz w:val="21"/>
                      <w:szCs w:val="21"/>
                      <w:lang w:val="en-US"/>
                    </w:rPr>
                  </w:pPr>
                </w:p>
              </w:tc>
              <w:tc>
                <w:tcPr>
                  <w:tcW w:w="993" w:type="dxa"/>
                  <w:tcBorders>
                    <w:tl2br w:val="nil"/>
                    <w:tr2bl w:val="nil"/>
                  </w:tcBorders>
                  <w:vAlign w:val="center"/>
                </w:tcPr>
                <w:p w14:paraId="173829F6">
                  <w:pPr>
                    <w:pStyle w:val="55"/>
                    <w:jc w:val="center"/>
                    <w:rPr>
                      <w:color w:val="auto"/>
                      <w:sz w:val="21"/>
                      <w:szCs w:val="21"/>
                      <w:lang w:val="en-US"/>
                    </w:rPr>
                  </w:pPr>
                  <w:r>
                    <w:rPr>
                      <w:color w:val="auto"/>
                      <w:sz w:val="21"/>
                      <w:szCs w:val="21"/>
                      <w:lang w:val="en-US"/>
                    </w:rPr>
                    <w:t>平均值</w:t>
                  </w:r>
                </w:p>
              </w:tc>
              <w:tc>
                <w:tcPr>
                  <w:tcW w:w="1156" w:type="dxa"/>
                  <w:tcBorders>
                    <w:tl2br w:val="nil"/>
                    <w:tr2bl w:val="nil"/>
                  </w:tcBorders>
                  <w:vAlign w:val="center"/>
                </w:tcPr>
                <w:p w14:paraId="173829F7">
                  <w:pPr>
                    <w:pStyle w:val="55"/>
                    <w:jc w:val="center"/>
                    <w:rPr>
                      <w:color w:val="auto"/>
                      <w:sz w:val="21"/>
                      <w:szCs w:val="21"/>
                      <w:lang w:val="en-US"/>
                    </w:rPr>
                  </w:pPr>
                  <w:r>
                    <w:rPr>
                      <w:color w:val="auto"/>
                      <w:sz w:val="21"/>
                      <w:szCs w:val="21"/>
                      <w:lang w:val="en-US"/>
                    </w:rPr>
                    <w:t>193.5</w:t>
                  </w:r>
                </w:p>
              </w:tc>
              <w:tc>
                <w:tcPr>
                  <w:tcW w:w="1147" w:type="dxa"/>
                  <w:tcBorders>
                    <w:tl2br w:val="nil"/>
                    <w:tr2bl w:val="nil"/>
                  </w:tcBorders>
                  <w:vAlign w:val="center"/>
                </w:tcPr>
                <w:p w14:paraId="173829F8">
                  <w:pPr>
                    <w:pStyle w:val="55"/>
                    <w:jc w:val="center"/>
                    <w:rPr>
                      <w:color w:val="auto"/>
                      <w:sz w:val="21"/>
                      <w:szCs w:val="21"/>
                      <w:lang w:val="en-US"/>
                    </w:rPr>
                  </w:pPr>
                  <w:r>
                    <w:rPr>
                      <w:color w:val="auto"/>
                      <w:sz w:val="21"/>
                      <w:szCs w:val="21"/>
                      <w:lang w:val="en-US"/>
                    </w:rPr>
                    <w:t>55</w:t>
                  </w:r>
                </w:p>
              </w:tc>
              <w:tc>
                <w:tcPr>
                  <w:tcW w:w="1125" w:type="dxa"/>
                  <w:tcBorders>
                    <w:tl2br w:val="nil"/>
                    <w:tr2bl w:val="nil"/>
                  </w:tcBorders>
                  <w:vAlign w:val="center"/>
                </w:tcPr>
                <w:p w14:paraId="173829F9">
                  <w:pPr>
                    <w:pStyle w:val="55"/>
                    <w:jc w:val="center"/>
                    <w:rPr>
                      <w:color w:val="auto"/>
                      <w:sz w:val="21"/>
                      <w:szCs w:val="21"/>
                      <w:lang w:val="en-US"/>
                    </w:rPr>
                  </w:pPr>
                  <w:r>
                    <w:rPr>
                      <w:color w:val="auto"/>
                      <w:sz w:val="21"/>
                      <w:szCs w:val="21"/>
                      <w:lang w:val="en-US"/>
                    </w:rPr>
                    <w:t>29.7</w:t>
                  </w:r>
                </w:p>
              </w:tc>
              <w:tc>
                <w:tcPr>
                  <w:tcW w:w="1125" w:type="dxa"/>
                  <w:tcBorders>
                    <w:tl2br w:val="nil"/>
                    <w:tr2bl w:val="nil"/>
                  </w:tcBorders>
                  <w:vAlign w:val="center"/>
                </w:tcPr>
                <w:p w14:paraId="173829FA">
                  <w:pPr>
                    <w:pStyle w:val="55"/>
                    <w:jc w:val="center"/>
                    <w:rPr>
                      <w:color w:val="auto"/>
                      <w:sz w:val="21"/>
                      <w:szCs w:val="21"/>
                      <w:lang w:val="en-US"/>
                    </w:rPr>
                  </w:pPr>
                  <w:r>
                    <w:rPr>
                      <w:color w:val="auto"/>
                      <w:sz w:val="21"/>
                      <w:szCs w:val="21"/>
                      <w:lang w:val="en-US"/>
                    </w:rPr>
                    <w:t>36</w:t>
                  </w:r>
                </w:p>
              </w:tc>
              <w:tc>
                <w:tcPr>
                  <w:tcW w:w="1126" w:type="dxa"/>
                  <w:tcBorders>
                    <w:tl2br w:val="nil"/>
                    <w:tr2bl w:val="nil"/>
                  </w:tcBorders>
                  <w:vAlign w:val="center"/>
                </w:tcPr>
                <w:p w14:paraId="173829FB">
                  <w:pPr>
                    <w:pStyle w:val="55"/>
                    <w:jc w:val="center"/>
                    <w:rPr>
                      <w:color w:val="auto"/>
                      <w:sz w:val="21"/>
                      <w:szCs w:val="21"/>
                      <w:lang w:val="en-US"/>
                    </w:rPr>
                  </w:pPr>
                  <w:r>
                    <w:rPr>
                      <w:color w:val="auto"/>
                      <w:sz w:val="21"/>
                      <w:szCs w:val="21"/>
                      <w:lang w:val="en-US"/>
                    </w:rPr>
                    <w:t>3.98</w:t>
                  </w:r>
                </w:p>
              </w:tc>
            </w:tr>
            <w:tr w14:paraId="17382A0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61" w:type="dxa"/>
                  <w:vMerge w:val="continue"/>
                  <w:tcBorders>
                    <w:tl2br w:val="nil"/>
                    <w:tr2bl w:val="nil"/>
                  </w:tcBorders>
                  <w:vAlign w:val="center"/>
                </w:tcPr>
                <w:p w14:paraId="173829FD">
                  <w:pPr>
                    <w:pStyle w:val="55"/>
                    <w:rPr>
                      <w:color w:val="auto"/>
                      <w:sz w:val="21"/>
                      <w:szCs w:val="21"/>
                      <w:lang w:val="en-US"/>
                    </w:rPr>
                  </w:pPr>
                </w:p>
              </w:tc>
              <w:tc>
                <w:tcPr>
                  <w:tcW w:w="645" w:type="dxa"/>
                  <w:vMerge w:val="continue"/>
                  <w:tcBorders>
                    <w:tl2br w:val="nil"/>
                    <w:tr2bl w:val="nil"/>
                  </w:tcBorders>
                  <w:vAlign w:val="center"/>
                </w:tcPr>
                <w:p w14:paraId="173829FE">
                  <w:pPr>
                    <w:pStyle w:val="55"/>
                    <w:rPr>
                      <w:color w:val="auto"/>
                      <w:sz w:val="21"/>
                      <w:szCs w:val="21"/>
                      <w:lang w:val="en-US"/>
                    </w:rPr>
                  </w:pPr>
                </w:p>
              </w:tc>
              <w:tc>
                <w:tcPr>
                  <w:tcW w:w="993" w:type="dxa"/>
                  <w:tcBorders>
                    <w:tl2br w:val="nil"/>
                    <w:tr2bl w:val="nil"/>
                  </w:tcBorders>
                  <w:vAlign w:val="center"/>
                </w:tcPr>
                <w:p w14:paraId="173829FF">
                  <w:pPr>
                    <w:pStyle w:val="55"/>
                    <w:jc w:val="center"/>
                    <w:rPr>
                      <w:color w:val="auto"/>
                      <w:sz w:val="21"/>
                      <w:szCs w:val="21"/>
                      <w:lang w:val="en-US"/>
                    </w:rPr>
                  </w:pPr>
                  <w:r>
                    <w:rPr>
                      <w:color w:val="auto"/>
                      <w:sz w:val="21"/>
                      <w:szCs w:val="21"/>
                      <w:lang w:val="en-US"/>
                    </w:rPr>
                    <w:t>评价</w:t>
                  </w:r>
                </w:p>
              </w:tc>
              <w:tc>
                <w:tcPr>
                  <w:tcW w:w="1156" w:type="dxa"/>
                  <w:tcBorders>
                    <w:tl2br w:val="nil"/>
                    <w:tr2bl w:val="nil"/>
                  </w:tcBorders>
                  <w:vAlign w:val="center"/>
                </w:tcPr>
                <w:p w14:paraId="17382A00">
                  <w:pPr>
                    <w:pStyle w:val="55"/>
                    <w:jc w:val="center"/>
                    <w:rPr>
                      <w:color w:val="auto"/>
                      <w:sz w:val="21"/>
                      <w:szCs w:val="21"/>
                      <w:lang w:val="en-US"/>
                    </w:rPr>
                  </w:pPr>
                  <w:r>
                    <w:rPr>
                      <w:color w:val="auto"/>
                      <w:sz w:val="21"/>
                      <w:szCs w:val="21"/>
                      <w:lang w:val="en-US"/>
                    </w:rPr>
                    <w:t>达标</w:t>
                  </w:r>
                </w:p>
              </w:tc>
              <w:tc>
                <w:tcPr>
                  <w:tcW w:w="1147" w:type="dxa"/>
                  <w:tcBorders>
                    <w:tl2br w:val="nil"/>
                    <w:tr2bl w:val="nil"/>
                  </w:tcBorders>
                  <w:vAlign w:val="center"/>
                </w:tcPr>
                <w:p w14:paraId="17382A01">
                  <w:pPr>
                    <w:jc w:val="center"/>
                    <w:rPr>
                      <w:color w:val="auto"/>
                      <w:szCs w:val="21"/>
                    </w:rPr>
                  </w:pPr>
                  <w:r>
                    <w:rPr>
                      <w:color w:val="auto"/>
                      <w:kern w:val="0"/>
                      <w:szCs w:val="21"/>
                    </w:rPr>
                    <w:t>达标</w:t>
                  </w:r>
                </w:p>
              </w:tc>
              <w:tc>
                <w:tcPr>
                  <w:tcW w:w="1125" w:type="dxa"/>
                  <w:tcBorders>
                    <w:tl2br w:val="nil"/>
                    <w:tr2bl w:val="nil"/>
                  </w:tcBorders>
                  <w:vAlign w:val="center"/>
                </w:tcPr>
                <w:p w14:paraId="17382A02">
                  <w:pPr>
                    <w:jc w:val="center"/>
                    <w:rPr>
                      <w:color w:val="auto"/>
                      <w:szCs w:val="21"/>
                    </w:rPr>
                  </w:pPr>
                  <w:r>
                    <w:rPr>
                      <w:color w:val="auto"/>
                      <w:kern w:val="0"/>
                      <w:szCs w:val="21"/>
                    </w:rPr>
                    <w:t>达标</w:t>
                  </w:r>
                </w:p>
              </w:tc>
              <w:tc>
                <w:tcPr>
                  <w:tcW w:w="1125" w:type="dxa"/>
                  <w:tcBorders>
                    <w:tl2br w:val="nil"/>
                    <w:tr2bl w:val="nil"/>
                  </w:tcBorders>
                  <w:vAlign w:val="center"/>
                </w:tcPr>
                <w:p w14:paraId="17382A03">
                  <w:pPr>
                    <w:pStyle w:val="55"/>
                    <w:jc w:val="center"/>
                    <w:rPr>
                      <w:color w:val="auto"/>
                      <w:sz w:val="21"/>
                      <w:szCs w:val="21"/>
                      <w:lang w:val="en-US"/>
                    </w:rPr>
                  </w:pPr>
                  <w:r>
                    <w:rPr>
                      <w:color w:val="auto"/>
                      <w:sz w:val="21"/>
                      <w:szCs w:val="21"/>
                      <w:lang w:val="en-US"/>
                    </w:rPr>
                    <w:t>达标</w:t>
                  </w:r>
                </w:p>
              </w:tc>
              <w:tc>
                <w:tcPr>
                  <w:tcW w:w="1126" w:type="dxa"/>
                  <w:tcBorders>
                    <w:tl2br w:val="nil"/>
                    <w:tr2bl w:val="nil"/>
                  </w:tcBorders>
                  <w:vAlign w:val="center"/>
                </w:tcPr>
                <w:p w14:paraId="17382A04">
                  <w:pPr>
                    <w:jc w:val="center"/>
                    <w:rPr>
                      <w:color w:val="auto"/>
                      <w:szCs w:val="21"/>
                    </w:rPr>
                  </w:pPr>
                  <w:r>
                    <w:rPr>
                      <w:color w:val="auto"/>
                      <w:kern w:val="0"/>
                      <w:szCs w:val="21"/>
                    </w:rPr>
                    <w:t>达标</w:t>
                  </w:r>
                </w:p>
              </w:tc>
            </w:tr>
          </w:tbl>
          <w:p w14:paraId="17382A06">
            <w:pPr>
              <w:spacing w:line="360" w:lineRule="auto"/>
              <w:ind w:firstLine="480" w:firstLineChars="200"/>
              <w:rPr>
                <w:color w:val="auto"/>
                <w:sz w:val="24"/>
              </w:rPr>
            </w:pPr>
            <w:r>
              <w:rPr>
                <w:rFonts w:hint="eastAsia"/>
                <w:color w:val="auto"/>
                <w:sz w:val="24"/>
              </w:rPr>
              <w:t>根据上表的检测结果，生活污水各项指标均符合《农田灌溉水质标准》（</w:t>
            </w:r>
            <w:r>
              <w:rPr>
                <w:color w:val="auto"/>
                <w:sz w:val="24"/>
              </w:rPr>
              <w:t>GB5084-2021</w:t>
            </w:r>
            <w:r>
              <w:rPr>
                <w:rFonts w:hint="eastAsia"/>
                <w:color w:val="auto"/>
                <w:sz w:val="24"/>
              </w:rPr>
              <w:t>）中有关旱作标准。</w:t>
            </w:r>
          </w:p>
          <w:p w14:paraId="17382A07">
            <w:pPr>
              <w:autoSpaceDE w:val="0"/>
              <w:autoSpaceDN w:val="0"/>
              <w:adjustRightInd w:val="0"/>
              <w:snapToGrid w:val="0"/>
              <w:spacing w:line="360" w:lineRule="auto"/>
              <w:ind w:firstLine="482" w:firstLineChars="200"/>
              <w:rPr>
                <w:b/>
                <w:bCs/>
                <w:color w:val="auto"/>
                <w:sz w:val="24"/>
              </w:rPr>
            </w:pPr>
            <w:r>
              <w:rPr>
                <w:b/>
                <w:bCs/>
                <w:color w:val="auto"/>
                <w:sz w:val="24"/>
              </w:rPr>
              <w:t>3</w:t>
            </w:r>
            <w:r>
              <w:rPr>
                <w:rFonts w:hint="eastAsia"/>
                <w:b/>
                <w:bCs/>
                <w:color w:val="auto"/>
                <w:sz w:val="24"/>
              </w:rPr>
              <w:t>、</w:t>
            </w:r>
            <w:r>
              <w:rPr>
                <w:b/>
                <w:bCs/>
                <w:color w:val="auto"/>
                <w:sz w:val="24"/>
              </w:rPr>
              <w:t>噪声源强分析</w:t>
            </w:r>
          </w:p>
          <w:p w14:paraId="17382A08">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3.</w:t>
            </w:r>
            <w:r>
              <w:rPr>
                <w:rFonts w:hint="eastAsia"/>
                <w:b/>
                <w:bCs/>
                <w:color w:val="auto"/>
                <w:sz w:val="24"/>
              </w:rPr>
              <w:t>1</w:t>
            </w:r>
            <w:r>
              <w:rPr>
                <w:b/>
                <w:bCs/>
                <w:color w:val="auto"/>
                <w:sz w:val="24"/>
              </w:rPr>
              <w:t>噪声源强分析</w:t>
            </w:r>
          </w:p>
          <w:p w14:paraId="17382A09">
            <w:pPr>
              <w:spacing w:line="360" w:lineRule="auto"/>
              <w:ind w:firstLine="480" w:firstLineChars="200"/>
              <w:rPr>
                <w:color w:val="auto"/>
                <w:sz w:val="24"/>
              </w:rPr>
            </w:pPr>
            <w:r>
              <w:rPr>
                <w:color w:val="auto"/>
                <w:sz w:val="24"/>
              </w:rPr>
              <w:t>本项目运营期间噪声源主要来自设备运行，其噪声值一般在</w:t>
            </w:r>
            <w:r>
              <w:rPr>
                <w:rFonts w:hint="eastAsia"/>
                <w:color w:val="auto"/>
                <w:sz w:val="24"/>
              </w:rPr>
              <w:t>70</w:t>
            </w:r>
            <w:r>
              <w:rPr>
                <w:color w:val="auto"/>
                <w:sz w:val="24"/>
              </w:rPr>
              <w:t>-8</w:t>
            </w:r>
            <w:r>
              <w:rPr>
                <w:rFonts w:hint="eastAsia"/>
                <w:color w:val="auto"/>
                <w:sz w:val="24"/>
              </w:rPr>
              <w:t>0</w:t>
            </w:r>
            <w:r>
              <w:rPr>
                <w:color w:val="auto"/>
                <w:sz w:val="24"/>
              </w:rPr>
              <w:t>dB（A）之间，噪声源强参数见表4-</w:t>
            </w:r>
            <w:r>
              <w:rPr>
                <w:rFonts w:hint="eastAsia"/>
                <w:color w:val="auto"/>
                <w:sz w:val="24"/>
              </w:rPr>
              <w:t>13</w:t>
            </w:r>
            <w:r>
              <w:rPr>
                <w:color w:val="auto"/>
                <w:sz w:val="24"/>
              </w:rPr>
              <w:t>。</w:t>
            </w:r>
          </w:p>
          <w:p w14:paraId="17382A0A">
            <w:pPr>
              <w:widowControl/>
              <w:adjustRightInd w:val="0"/>
              <w:snapToGrid w:val="0"/>
              <w:jc w:val="center"/>
              <w:rPr>
                <w:b/>
                <w:color w:val="auto"/>
                <w:kern w:val="0"/>
                <w:sz w:val="24"/>
              </w:rPr>
            </w:pPr>
            <w:r>
              <w:rPr>
                <w:rFonts w:hint="eastAsia"/>
                <w:b/>
                <w:color w:val="auto"/>
                <w:kern w:val="0"/>
                <w:sz w:val="24"/>
              </w:rPr>
              <w:t>表4-13 本项目主要噪声源强调查清单（室内声源）</w:t>
            </w:r>
          </w:p>
          <w:tbl>
            <w:tblPr>
              <w:tblStyle w:val="88"/>
              <w:tblW w:w="5000" w:type="pct"/>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fixed"/>
              <w:tblCellMar>
                <w:top w:w="0" w:type="dxa"/>
                <w:left w:w="28" w:type="dxa"/>
                <w:bottom w:w="0" w:type="dxa"/>
                <w:right w:w="28" w:type="dxa"/>
              </w:tblCellMar>
            </w:tblPr>
            <w:tblGrid>
              <w:gridCol w:w="403"/>
              <w:gridCol w:w="894"/>
              <w:gridCol w:w="632"/>
              <w:gridCol w:w="879"/>
              <w:gridCol w:w="523"/>
              <w:gridCol w:w="391"/>
              <w:gridCol w:w="427"/>
              <w:gridCol w:w="385"/>
              <w:gridCol w:w="591"/>
              <w:gridCol w:w="699"/>
              <w:gridCol w:w="673"/>
              <w:gridCol w:w="781"/>
              <w:gridCol w:w="740"/>
              <w:gridCol w:w="441"/>
            </w:tblGrid>
            <w:tr w14:paraId="17382A1A">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cantSplit/>
                <w:trHeight w:val="408" w:hRule="atLeast"/>
                <w:jc w:val="center"/>
              </w:trPr>
              <w:tc>
                <w:tcPr>
                  <w:tcW w:w="409" w:type="dxa"/>
                  <w:vMerge w:val="restart"/>
                  <w:vAlign w:val="center"/>
                </w:tcPr>
                <w:p w14:paraId="17382A0B">
                  <w:pPr>
                    <w:widowControl/>
                    <w:adjustRightInd w:val="0"/>
                    <w:ind w:right="-42" w:rightChars="-20"/>
                    <w:jc w:val="center"/>
                    <w:textAlignment w:val="baseline"/>
                    <w:rPr>
                      <w:b/>
                      <w:bCs/>
                      <w:color w:val="auto"/>
                      <w:szCs w:val="21"/>
                    </w:rPr>
                  </w:pPr>
                  <w:r>
                    <w:rPr>
                      <w:b/>
                      <w:bCs/>
                      <w:color w:val="auto"/>
                      <w:szCs w:val="21"/>
                    </w:rPr>
                    <w:t>序号</w:t>
                  </w:r>
                </w:p>
              </w:tc>
              <w:tc>
                <w:tcPr>
                  <w:tcW w:w="912" w:type="dxa"/>
                  <w:vMerge w:val="restart"/>
                  <w:vAlign w:val="center"/>
                </w:tcPr>
                <w:p w14:paraId="17382A0C">
                  <w:pPr>
                    <w:widowControl/>
                    <w:adjustRightInd w:val="0"/>
                    <w:ind w:right="-42" w:rightChars="-20"/>
                    <w:jc w:val="center"/>
                    <w:textAlignment w:val="baseline"/>
                    <w:rPr>
                      <w:b/>
                      <w:bCs/>
                      <w:color w:val="auto"/>
                      <w:szCs w:val="21"/>
                    </w:rPr>
                  </w:pPr>
                  <w:r>
                    <w:rPr>
                      <w:b/>
                      <w:bCs/>
                      <w:color w:val="auto"/>
                      <w:szCs w:val="21"/>
                    </w:rPr>
                    <w:t>声源名称</w:t>
                  </w:r>
                </w:p>
              </w:tc>
              <w:tc>
                <w:tcPr>
                  <w:tcW w:w="637" w:type="dxa"/>
                  <w:vMerge w:val="restart"/>
                  <w:vAlign w:val="center"/>
                </w:tcPr>
                <w:p w14:paraId="17382A0D">
                  <w:pPr>
                    <w:widowControl/>
                    <w:adjustRightInd w:val="0"/>
                    <w:ind w:right="-42" w:rightChars="-20"/>
                    <w:jc w:val="center"/>
                    <w:textAlignment w:val="baseline"/>
                    <w:rPr>
                      <w:b/>
                      <w:bCs/>
                      <w:color w:val="auto"/>
                      <w:szCs w:val="21"/>
                    </w:rPr>
                  </w:pPr>
                  <w:r>
                    <w:rPr>
                      <w:b/>
                      <w:bCs/>
                      <w:color w:val="auto"/>
                      <w:szCs w:val="21"/>
                    </w:rPr>
                    <w:t>数量</w:t>
                  </w:r>
                </w:p>
                <w:p w14:paraId="17382A0E">
                  <w:pPr>
                    <w:widowControl/>
                    <w:adjustRightInd w:val="0"/>
                    <w:ind w:right="-42" w:rightChars="-20"/>
                    <w:jc w:val="center"/>
                    <w:textAlignment w:val="baseline"/>
                    <w:rPr>
                      <w:b/>
                      <w:bCs/>
                      <w:color w:val="auto"/>
                      <w:szCs w:val="21"/>
                    </w:rPr>
                  </w:pPr>
                  <w:r>
                    <w:rPr>
                      <w:b/>
                      <w:bCs/>
                      <w:color w:val="auto"/>
                      <w:szCs w:val="21"/>
                    </w:rPr>
                    <w:t>（台/</w:t>
                  </w:r>
                </w:p>
                <w:p w14:paraId="17382A0F">
                  <w:pPr>
                    <w:widowControl/>
                    <w:adjustRightInd w:val="0"/>
                    <w:ind w:right="-42" w:rightChars="-20"/>
                    <w:jc w:val="center"/>
                    <w:textAlignment w:val="baseline"/>
                    <w:rPr>
                      <w:b/>
                      <w:bCs/>
                      <w:color w:val="auto"/>
                      <w:szCs w:val="21"/>
                    </w:rPr>
                  </w:pPr>
                  <w:r>
                    <w:rPr>
                      <w:b/>
                      <w:bCs/>
                      <w:color w:val="auto"/>
                      <w:szCs w:val="21"/>
                    </w:rPr>
                    <w:t>套）</w:t>
                  </w:r>
                </w:p>
              </w:tc>
              <w:tc>
                <w:tcPr>
                  <w:tcW w:w="813" w:type="dxa"/>
                  <w:vMerge w:val="restart"/>
                  <w:vAlign w:val="center"/>
                </w:tcPr>
                <w:p w14:paraId="17382A10">
                  <w:pPr>
                    <w:widowControl/>
                    <w:adjustRightInd w:val="0"/>
                    <w:ind w:right="-42" w:rightChars="-20"/>
                    <w:jc w:val="center"/>
                    <w:textAlignment w:val="baseline"/>
                    <w:rPr>
                      <w:b/>
                      <w:bCs/>
                      <w:color w:val="auto"/>
                      <w:szCs w:val="21"/>
                    </w:rPr>
                  </w:pPr>
                  <w:r>
                    <w:rPr>
                      <w:b/>
                      <w:bCs/>
                      <w:color w:val="auto"/>
                      <w:szCs w:val="21"/>
                    </w:rPr>
                    <w:t>（声压级）/ dB(A) ）</w:t>
                  </w:r>
                </w:p>
              </w:tc>
              <w:tc>
                <w:tcPr>
                  <w:tcW w:w="525" w:type="dxa"/>
                  <w:vMerge w:val="restart"/>
                  <w:vAlign w:val="center"/>
                </w:tcPr>
                <w:p w14:paraId="17382A11">
                  <w:pPr>
                    <w:widowControl/>
                    <w:adjustRightInd w:val="0"/>
                    <w:ind w:right="-42" w:rightChars="-20"/>
                    <w:jc w:val="center"/>
                    <w:textAlignment w:val="baseline"/>
                    <w:rPr>
                      <w:b/>
                      <w:bCs/>
                      <w:color w:val="auto"/>
                      <w:szCs w:val="21"/>
                    </w:rPr>
                  </w:pPr>
                  <w:r>
                    <w:rPr>
                      <w:b/>
                      <w:bCs/>
                      <w:color w:val="auto"/>
                      <w:szCs w:val="21"/>
                    </w:rPr>
                    <w:t>声源控制措施</w:t>
                  </w:r>
                </w:p>
              </w:tc>
              <w:tc>
                <w:tcPr>
                  <w:tcW w:w="1212" w:type="dxa"/>
                  <w:gridSpan w:val="3"/>
                  <w:vAlign w:val="center"/>
                </w:tcPr>
                <w:p w14:paraId="17382A12">
                  <w:pPr>
                    <w:widowControl/>
                    <w:adjustRightInd w:val="0"/>
                    <w:ind w:right="-42" w:rightChars="-20"/>
                    <w:jc w:val="center"/>
                    <w:textAlignment w:val="baseline"/>
                    <w:rPr>
                      <w:b/>
                      <w:bCs/>
                      <w:color w:val="auto"/>
                      <w:szCs w:val="21"/>
                    </w:rPr>
                  </w:pPr>
                  <w:r>
                    <w:rPr>
                      <w:b/>
                      <w:bCs/>
                      <w:color w:val="auto"/>
                      <w:szCs w:val="21"/>
                    </w:rPr>
                    <w:t>空间相对位置/m</w:t>
                  </w:r>
                </w:p>
              </w:tc>
              <w:tc>
                <w:tcPr>
                  <w:tcW w:w="600" w:type="dxa"/>
                  <w:vMerge w:val="restart"/>
                  <w:vAlign w:val="center"/>
                </w:tcPr>
                <w:p w14:paraId="17382A13">
                  <w:pPr>
                    <w:widowControl/>
                    <w:adjustRightInd w:val="0"/>
                    <w:ind w:right="-42" w:rightChars="-20"/>
                    <w:jc w:val="center"/>
                    <w:textAlignment w:val="baseline"/>
                    <w:rPr>
                      <w:b/>
                      <w:bCs/>
                      <w:color w:val="auto"/>
                      <w:szCs w:val="21"/>
                    </w:rPr>
                  </w:pPr>
                  <w:r>
                    <w:rPr>
                      <w:b/>
                      <w:bCs/>
                      <w:color w:val="auto"/>
                      <w:szCs w:val="21"/>
                    </w:rPr>
                    <w:t>距室内边</w:t>
                  </w:r>
                </w:p>
                <w:p w14:paraId="17382A14">
                  <w:pPr>
                    <w:widowControl/>
                    <w:adjustRightInd w:val="0"/>
                    <w:ind w:right="-42" w:rightChars="-20"/>
                    <w:jc w:val="center"/>
                    <w:textAlignment w:val="baseline"/>
                    <w:rPr>
                      <w:b/>
                      <w:bCs/>
                      <w:color w:val="auto"/>
                      <w:szCs w:val="21"/>
                    </w:rPr>
                  </w:pPr>
                  <w:r>
                    <w:rPr>
                      <w:b/>
                      <w:bCs/>
                      <w:color w:val="auto"/>
                      <w:szCs w:val="21"/>
                    </w:rPr>
                    <w:t>界距离/m</w:t>
                  </w:r>
                </w:p>
              </w:tc>
              <w:tc>
                <w:tcPr>
                  <w:tcW w:w="701" w:type="dxa"/>
                  <w:vMerge w:val="restart"/>
                  <w:vAlign w:val="center"/>
                </w:tcPr>
                <w:p w14:paraId="17382A15">
                  <w:pPr>
                    <w:widowControl/>
                    <w:adjustRightInd w:val="0"/>
                    <w:ind w:right="-42" w:rightChars="-20"/>
                    <w:jc w:val="center"/>
                    <w:textAlignment w:val="baseline"/>
                    <w:rPr>
                      <w:b/>
                      <w:bCs/>
                      <w:color w:val="auto"/>
                      <w:szCs w:val="21"/>
                    </w:rPr>
                  </w:pPr>
                  <w:r>
                    <w:rPr>
                      <w:b/>
                      <w:bCs/>
                      <w:color w:val="auto"/>
                      <w:szCs w:val="21"/>
                    </w:rPr>
                    <w:t>室内边界声级/dB(A)</w:t>
                  </w:r>
                </w:p>
              </w:tc>
              <w:tc>
                <w:tcPr>
                  <w:tcW w:w="675" w:type="dxa"/>
                  <w:vMerge w:val="restart"/>
                  <w:vAlign w:val="center"/>
                </w:tcPr>
                <w:p w14:paraId="17382A16">
                  <w:pPr>
                    <w:widowControl/>
                    <w:adjustRightInd w:val="0"/>
                    <w:ind w:right="-42" w:rightChars="-20"/>
                    <w:jc w:val="center"/>
                    <w:textAlignment w:val="baseline"/>
                    <w:rPr>
                      <w:b/>
                      <w:bCs/>
                      <w:color w:val="auto"/>
                      <w:szCs w:val="21"/>
                    </w:rPr>
                  </w:pPr>
                  <w:r>
                    <w:rPr>
                      <w:b/>
                      <w:bCs/>
                      <w:color w:val="auto"/>
                      <w:szCs w:val="21"/>
                    </w:rPr>
                    <w:t>运行时段（h）</w:t>
                  </w:r>
                </w:p>
              </w:tc>
              <w:tc>
                <w:tcPr>
                  <w:tcW w:w="787" w:type="dxa"/>
                  <w:vMerge w:val="restart"/>
                  <w:vAlign w:val="center"/>
                </w:tcPr>
                <w:p w14:paraId="17382A17">
                  <w:pPr>
                    <w:widowControl/>
                    <w:adjustRightInd w:val="0"/>
                    <w:ind w:right="-42" w:rightChars="-20"/>
                    <w:jc w:val="center"/>
                    <w:textAlignment w:val="baseline"/>
                    <w:rPr>
                      <w:b/>
                      <w:bCs/>
                      <w:color w:val="auto"/>
                      <w:szCs w:val="21"/>
                    </w:rPr>
                  </w:pPr>
                  <w:r>
                    <w:rPr>
                      <w:b/>
                      <w:bCs/>
                      <w:color w:val="auto"/>
                      <w:szCs w:val="21"/>
                    </w:rPr>
                    <w:t>建筑物插入损失 /</w:t>
                  </w:r>
                </w:p>
                <w:p w14:paraId="17382A18">
                  <w:pPr>
                    <w:widowControl/>
                    <w:adjustRightInd w:val="0"/>
                    <w:ind w:right="-42" w:rightChars="-20"/>
                    <w:jc w:val="center"/>
                    <w:textAlignment w:val="baseline"/>
                    <w:rPr>
                      <w:b/>
                      <w:bCs/>
                      <w:color w:val="auto"/>
                      <w:szCs w:val="21"/>
                    </w:rPr>
                  </w:pPr>
                  <w:r>
                    <w:rPr>
                      <w:b/>
                      <w:bCs/>
                      <w:color w:val="auto"/>
                      <w:szCs w:val="21"/>
                    </w:rPr>
                    <w:t>dB(A)</w:t>
                  </w:r>
                </w:p>
              </w:tc>
              <w:tc>
                <w:tcPr>
                  <w:tcW w:w="1188" w:type="dxa"/>
                  <w:gridSpan w:val="2"/>
                  <w:vAlign w:val="center"/>
                </w:tcPr>
                <w:p w14:paraId="17382A19">
                  <w:pPr>
                    <w:widowControl/>
                    <w:adjustRightInd w:val="0"/>
                    <w:ind w:right="-42" w:rightChars="-20"/>
                    <w:jc w:val="center"/>
                    <w:textAlignment w:val="baseline"/>
                    <w:rPr>
                      <w:b/>
                      <w:bCs/>
                      <w:color w:val="auto"/>
                      <w:szCs w:val="21"/>
                    </w:rPr>
                  </w:pPr>
                  <w:r>
                    <w:rPr>
                      <w:b/>
                      <w:bCs/>
                      <w:color w:val="auto"/>
                      <w:szCs w:val="21"/>
                    </w:rPr>
                    <w:t>建筑物外噪声</w:t>
                  </w:r>
                </w:p>
              </w:tc>
            </w:tr>
            <w:tr w14:paraId="17382A2B">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cantSplit/>
                <w:trHeight w:val="408" w:hRule="atLeast"/>
                <w:jc w:val="center"/>
              </w:trPr>
              <w:tc>
                <w:tcPr>
                  <w:tcW w:w="409" w:type="dxa"/>
                  <w:vMerge w:val="continue"/>
                  <w:vAlign w:val="center"/>
                </w:tcPr>
                <w:p w14:paraId="17382A1B">
                  <w:pPr>
                    <w:widowControl/>
                    <w:adjustRightInd w:val="0"/>
                    <w:ind w:right="-42" w:rightChars="-20"/>
                    <w:jc w:val="center"/>
                    <w:textAlignment w:val="baseline"/>
                    <w:rPr>
                      <w:b/>
                      <w:bCs/>
                      <w:color w:val="auto"/>
                      <w:szCs w:val="21"/>
                    </w:rPr>
                  </w:pPr>
                </w:p>
              </w:tc>
              <w:tc>
                <w:tcPr>
                  <w:tcW w:w="912" w:type="dxa"/>
                  <w:vMerge w:val="continue"/>
                  <w:vAlign w:val="center"/>
                </w:tcPr>
                <w:p w14:paraId="17382A1C">
                  <w:pPr>
                    <w:widowControl/>
                    <w:adjustRightInd w:val="0"/>
                    <w:ind w:right="-42" w:rightChars="-20"/>
                    <w:jc w:val="center"/>
                    <w:textAlignment w:val="baseline"/>
                    <w:rPr>
                      <w:b/>
                      <w:bCs/>
                      <w:color w:val="auto"/>
                      <w:szCs w:val="21"/>
                    </w:rPr>
                  </w:pPr>
                </w:p>
              </w:tc>
              <w:tc>
                <w:tcPr>
                  <w:tcW w:w="637" w:type="dxa"/>
                  <w:vMerge w:val="continue"/>
                  <w:vAlign w:val="center"/>
                </w:tcPr>
                <w:p w14:paraId="17382A1D">
                  <w:pPr>
                    <w:widowControl/>
                    <w:adjustRightInd w:val="0"/>
                    <w:ind w:right="-42" w:rightChars="-20"/>
                    <w:jc w:val="center"/>
                    <w:textAlignment w:val="baseline"/>
                    <w:rPr>
                      <w:b/>
                      <w:bCs/>
                      <w:color w:val="auto"/>
                      <w:szCs w:val="21"/>
                    </w:rPr>
                  </w:pPr>
                </w:p>
              </w:tc>
              <w:tc>
                <w:tcPr>
                  <w:tcW w:w="813" w:type="dxa"/>
                  <w:vMerge w:val="continue"/>
                  <w:vAlign w:val="center"/>
                </w:tcPr>
                <w:p w14:paraId="17382A1E">
                  <w:pPr>
                    <w:widowControl/>
                    <w:adjustRightInd w:val="0"/>
                    <w:ind w:right="-42" w:rightChars="-20"/>
                    <w:jc w:val="center"/>
                    <w:textAlignment w:val="baseline"/>
                    <w:rPr>
                      <w:b/>
                      <w:bCs/>
                      <w:color w:val="auto"/>
                      <w:szCs w:val="21"/>
                    </w:rPr>
                  </w:pPr>
                </w:p>
              </w:tc>
              <w:tc>
                <w:tcPr>
                  <w:tcW w:w="525" w:type="dxa"/>
                  <w:vMerge w:val="continue"/>
                  <w:vAlign w:val="center"/>
                </w:tcPr>
                <w:p w14:paraId="17382A1F">
                  <w:pPr>
                    <w:widowControl/>
                    <w:adjustRightInd w:val="0"/>
                    <w:ind w:right="-42" w:rightChars="-20"/>
                    <w:jc w:val="center"/>
                    <w:textAlignment w:val="baseline"/>
                    <w:rPr>
                      <w:b/>
                      <w:bCs/>
                      <w:color w:val="auto"/>
                      <w:szCs w:val="21"/>
                    </w:rPr>
                  </w:pPr>
                </w:p>
              </w:tc>
              <w:tc>
                <w:tcPr>
                  <w:tcW w:w="394" w:type="dxa"/>
                  <w:vAlign w:val="center"/>
                </w:tcPr>
                <w:p w14:paraId="17382A20">
                  <w:pPr>
                    <w:widowControl/>
                    <w:adjustRightInd w:val="0"/>
                    <w:ind w:right="-42" w:rightChars="-20"/>
                    <w:jc w:val="center"/>
                    <w:textAlignment w:val="baseline"/>
                    <w:rPr>
                      <w:b/>
                      <w:bCs/>
                      <w:color w:val="auto"/>
                      <w:szCs w:val="21"/>
                    </w:rPr>
                  </w:pPr>
                  <w:r>
                    <w:rPr>
                      <w:b/>
                      <w:bCs/>
                      <w:color w:val="auto"/>
                      <w:szCs w:val="21"/>
                    </w:rPr>
                    <w:t>X</w:t>
                  </w:r>
                </w:p>
              </w:tc>
              <w:tc>
                <w:tcPr>
                  <w:tcW w:w="431" w:type="dxa"/>
                  <w:vAlign w:val="center"/>
                </w:tcPr>
                <w:p w14:paraId="17382A21">
                  <w:pPr>
                    <w:widowControl/>
                    <w:adjustRightInd w:val="0"/>
                    <w:ind w:right="-42" w:rightChars="-20"/>
                    <w:jc w:val="center"/>
                    <w:textAlignment w:val="baseline"/>
                    <w:rPr>
                      <w:b/>
                      <w:bCs/>
                      <w:color w:val="auto"/>
                      <w:szCs w:val="21"/>
                    </w:rPr>
                  </w:pPr>
                  <w:r>
                    <w:rPr>
                      <w:b/>
                      <w:bCs/>
                      <w:color w:val="auto"/>
                      <w:szCs w:val="21"/>
                    </w:rPr>
                    <w:t>Y</w:t>
                  </w:r>
                </w:p>
              </w:tc>
              <w:tc>
                <w:tcPr>
                  <w:tcW w:w="387" w:type="dxa"/>
                  <w:vAlign w:val="center"/>
                </w:tcPr>
                <w:p w14:paraId="17382A22">
                  <w:pPr>
                    <w:widowControl/>
                    <w:adjustRightInd w:val="0"/>
                    <w:ind w:right="-42" w:rightChars="-20"/>
                    <w:jc w:val="center"/>
                    <w:textAlignment w:val="baseline"/>
                    <w:rPr>
                      <w:b/>
                      <w:bCs/>
                      <w:color w:val="auto"/>
                      <w:szCs w:val="21"/>
                    </w:rPr>
                  </w:pPr>
                  <w:r>
                    <w:rPr>
                      <w:b/>
                      <w:bCs/>
                      <w:color w:val="auto"/>
                      <w:szCs w:val="21"/>
                    </w:rPr>
                    <w:t>Z</w:t>
                  </w:r>
                </w:p>
              </w:tc>
              <w:tc>
                <w:tcPr>
                  <w:tcW w:w="600" w:type="dxa"/>
                  <w:vMerge w:val="continue"/>
                  <w:vAlign w:val="center"/>
                </w:tcPr>
                <w:p w14:paraId="17382A23">
                  <w:pPr>
                    <w:widowControl/>
                    <w:adjustRightInd w:val="0"/>
                    <w:ind w:right="-42" w:rightChars="-20"/>
                    <w:jc w:val="center"/>
                    <w:textAlignment w:val="baseline"/>
                    <w:rPr>
                      <w:b/>
                      <w:bCs/>
                      <w:color w:val="auto"/>
                      <w:szCs w:val="21"/>
                    </w:rPr>
                  </w:pPr>
                </w:p>
              </w:tc>
              <w:tc>
                <w:tcPr>
                  <w:tcW w:w="701" w:type="dxa"/>
                  <w:vMerge w:val="continue"/>
                  <w:vAlign w:val="center"/>
                </w:tcPr>
                <w:p w14:paraId="17382A24">
                  <w:pPr>
                    <w:widowControl/>
                    <w:adjustRightInd w:val="0"/>
                    <w:ind w:right="-42" w:rightChars="-20"/>
                    <w:jc w:val="center"/>
                    <w:textAlignment w:val="baseline"/>
                    <w:rPr>
                      <w:b/>
                      <w:bCs/>
                      <w:color w:val="auto"/>
                      <w:szCs w:val="21"/>
                    </w:rPr>
                  </w:pPr>
                </w:p>
              </w:tc>
              <w:tc>
                <w:tcPr>
                  <w:tcW w:w="675" w:type="dxa"/>
                  <w:vMerge w:val="continue"/>
                  <w:vAlign w:val="center"/>
                </w:tcPr>
                <w:p w14:paraId="17382A25">
                  <w:pPr>
                    <w:widowControl/>
                    <w:adjustRightInd w:val="0"/>
                    <w:ind w:right="-42" w:rightChars="-20"/>
                    <w:jc w:val="center"/>
                    <w:textAlignment w:val="baseline"/>
                    <w:rPr>
                      <w:b/>
                      <w:bCs/>
                      <w:color w:val="auto"/>
                      <w:szCs w:val="21"/>
                    </w:rPr>
                  </w:pPr>
                </w:p>
              </w:tc>
              <w:tc>
                <w:tcPr>
                  <w:tcW w:w="787" w:type="dxa"/>
                  <w:vMerge w:val="continue"/>
                  <w:vAlign w:val="center"/>
                </w:tcPr>
                <w:p w14:paraId="17382A26">
                  <w:pPr>
                    <w:widowControl/>
                    <w:adjustRightInd w:val="0"/>
                    <w:ind w:right="-42" w:rightChars="-20"/>
                    <w:jc w:val="center"/>
                    <w:textAlignment w:val="baseline"/>
                    <w:rPr>
                      <w:b/>
                      <w:bCs/>
                      <w:color w:val="auto"/>
                      <w:szCs w:val="21"/>
                    </w:rPr>
                  </w:pPr>
                </w:p>
              </w:tc>
              <w:tc>
                <w:tcPr>
                  <w:tcW w:w="743" w:type="dxa"/>
                  <w:vAlign w:val="center"/>
                </w:tcPr>
                <w:p w14:paraId="17382A27">
                  <w:pPr>
                    <w:widowControl/>
                    <w:adjustRightInd w:val="0"/>
                    <w:ind w:right="-42" w:rightChars="-20"/>
                    <w:jc w:val="center"/>
                    <w:textAlignment w:val="baseline"/>
                    <w:rPr>
                      <w:b/>
                      <w:bCs/>
                      <w:color w:val="auto"/>
                      <w:szCs w:val="21"/>
                    </w:rPr>
                  </w:pPr>
                  <w:r>
                    <w:rPr>
                      <w:b/>
                      <w:bCs/>
                      <w:color w:val="auto"/>
                      <w:szCs w:val="21"/>
                    </w:rPr>
                    <w:t>声压级</w:t>
                  </w:r>
                </w:p>
                <w:p w14:paraId="17382A28">
                  <w:pPr>
                    <w:widowControl/>
                    <w:adjustRightInd w:val="0"/>
                    <w:ind w:right="-42" w:rightChars="-20"/>
                    <w:jc w:val="center"/>
                    <w:textAlignment w:val="baseline"/>
                    <w:rPr>
                      <w:b/>
                      <w:bCs/>
                      <w:color w:val="auto"/>
                      <w:szCs w:val="21"/>
                    </w:rPr>
                  </w:pPr>
                  <w:r>
                    <w:rPr>
                      <w:b/>
                      <w:bCs/>
                      <w:color w:val="auto"/>
                      <w:szCs w:val="21"/>
                    </w:rPr>
                    <w:t>/dB(A)</w:t>
                  </w:r>
                </w:p>
              </w:tc>
              <w:tc>
                <w:tcPr>
                  <w:tcW w:w="445" w:type="dxa"/>
                  <w:vAlign w:val="center"/>
                </w:tcPr>
                <w:p w14:paraId="17382A29">
                  <w:pPr>
                    <w:widowControl/>
                    <w:adjustRightInd w:val="0"/>
                    <w:ind w:right="-42" w:rightChars="-20"/>
                    <w:jc w:val="center"/>
                    <w:textAlignment w:val="baseline"/>
                    <w:rPr>
                      <w:b/>
                      <w:bCs/>
                      <w:color w:val="auto"/>
                      <w:szCs w:val="21"/>
                    </w:rPr>
                  </w:pPr>
                  <w:r>
                    <w:rPr>
                      <w:b/>
                      <w:bCs/>
                      <w:color w:val="auto"/>
                      <w:szCs w:val="21"/>
                    </w:rPr>
                    <w:t>建筑物外</w:t>
                  </w:r>
                </w:p>
                <w:p w14:paraId="17382A2A">
                  <w:pPr>
                    <w:widowControl/>
                    <w:adjustRightInd w:val="0"/>
                    <w:ind w:right="-42" w:rightChars="-20"/>
                    <w:jc w:val="center"/>
                    <w:textAlignment w:val="baseline"/>
                    <w:rPr>
                      <w:b/>
                      <w:bCs/>
                      <w:color w:val="auto"/>
                      <w:szCs w:val="21"/>
                    </w:rPr>
                  </w:pPr>
                  <w:r>
                    <w:rPr>
                      <w:b/>
                      <w:bCs/>
                      <w:color w:val="auto"/>
                      <w:szCs w:val="21"/>
                    </w:rPr>
                    <w:t>距离</w:t>
                  </w:r>
                </w:p>
              </w:tc>
            </w:tr>
            <w:tr w14:paraId="17382A3A">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cantSplit/>
                <w:trHeight w:val="408" w:hRule="atLeast"/>
                <w:jc w:val="center"/>
              </w:trPr>
              <w:tc>
                <w:tcPr>
                  <w:tcW w:w="409" w:type="dxa"/>
                  <w:vAlign w:val="center"/>
                </w:tcPr>
                <w:p w14:paraId="17382A2C">
                  <w:pPr>
                    <w:adjustRightInd w:val="0"/>
                    <w:ind w:right="-42" w:rightChars="-20"/>
                    <w:jc w:val="center"/>
                    <w:textAlignment w:val="baseline"/>
                    <w:rPr>
                      <w:color w:val="auto"/>
                      <w:szCs w:val="21"/>
                    </w:rPr>
                  </w:pPr>
                  <w:r>
                    <w:rPr>
                      <w:color w:val="auto"/>
                      <w:szCs w:val="21"/>
                    </w:rPr>
                    <w:t>1</w:t>
                  </w:r>
                </w:p>
              </w:tc>
              <w:tc>
                <w:tcPr>
                  <w:tcW w:w="912" w:type="dxa"/>
                  <w:vAlign w:val="center"/>
                </w:tcPr>
                <w:p w14:paraId="17382A2D">
                  <w:pPr>
                    <w:autoSpaceDE w:val="0"/>
                    <w:autoSpaceDN w:val="0"/>
                    <w:adjustRightInd w:val="0"/>
                    <w:snapToGrid w:val="0"/>
                    <w:jc w:val="center"/>
                    <w:rPr>
                      <w:color w:val="auto"/>
                      <w:szCs w:val="21"/>
                    </w:rPr>
                  </w:pPr>
                  <w:r>
                    <w:rPr>
                      <w:rFonts w:hint="eastAsia"/>
                      <w:color w:val="auto"/>
                      <w:szCs w:val="21"/>
                    </w:rPr>
                    <w:t>一体化拉挤切割机</w:t>
                  </w:r>
                </w:p>
              </w:tc>
              <w:tc>
                <w:tcPr>
                  <w:tcW w:w="637" w:type="dxa"/>
                  <w:vAlign w:val="center"/>
                </w:tcPr>
                <w:p w14:paraId="17382A2E">
                  <w:pPr>
                    <w:snapToGrid w:val="0"/>
                    <w:ind w:right="36" w:rightChars="17"/>
                    <w:jc w:val="center"/>
                    <w:rPr>
                      <w:color w:val="auto"/>
                      <w:szCs w:val="21"/>
                    </w:rPr>
                  </w:pPr>
                  <w:r>
                    <w:rPr>
                      <w:rFonts w:hint="eastAsia"/>
                      <w:color w:val="auto"/>
                      <w:szCs w:val="21"/>
                    </w:rPr>
                    <w:t>2</w:t>
                  </w:r>
                </w:p>
              </w:tc>
              <w:tc>
                <w:tcPr>
                  <w:tcW w:w="813" w:type="dxa"/>
                  <w:vAlign w:val="center"/>
                </w:tcPr>
                <w:p w14:paraId="17382A2F">
                  <w:pPr>
                    <w:widowControl/>
                    <w:adjustRightInd w:val="0"/>
                    <w:jc w:val="center"/>
                    <w:textAlignment w:val="baseline"/>
                    <w:rPr>
                      <w:color w:val="auto"/>
                      <w:szCs w:val="21"/>
                    </w:rPr>
                  </w:pPr>
                  <w:r>
                    <w:rPr>
                      <w:rFonts w:hint="eastAsia"/>
                      <w:color w:val="auto"/>
                      <w:szCs w:val="21"/>
                    </w:rPr>
                    <w:t>70</w:t>
                  </w:r>
                </w:p>
              </w:tc>
              <w:tc>
                <w:tcPr>
                  <w:tcW w:w="525" w:type="dxa"/>
                  <w:vMerge w:val="restart"/>
                  <w:vAlign w:val="center"/>
                </w:tcPr>
                <w:p w14:paraId="17382A30">
                  <w:pPr>
                    <w:widowControl/>
                    <w:adjustRightInd w:val="0"/>
                    <w:ind w:right="-42" w:rightChars="-20"/>
                    <w:jc w:val="center"/>
                    <w:textAlignment w:val="baseline"/>
                    <w:rPr>
                      <w:color w:val="auto"/>
                      <w:szCs w:val="21"/>
                    </w:rPr>
                  </w:pPr>
                  <w:r>
                    <w:rPr>
                      <w:color w:val="auto"/>
                    </w:rPr>
                    <w:t>合理布局、厂房隔声、设备减震</w:t>
                  </w:r>
                </w:p>
              </w:tc>
              <w:tc>
                <w:tcPr>
                  <w:tcW w:w="394" w:type="dxa"/>
                  <w:vAlign w:val="center"/>
                </w:tcPr>
                <w:p w14:paraId="17382A31">
                  <w:pPr>
                    <w:widowControl/>
                    <w:adjustRightInd w:val="0"/>
                    <w:ind w:right="-42" w:rightChars="-20"/>
                    <w:jc w:val="center"/>
                    <w:textAlignment w:val="baseline"/>
                    <w:rPr>
                      <w:color w:val="auto"/>
                      <w:szCs w:val="21"/>
                    </w:rPr>
                  </w:pPr>
                  <w:r>
                    <w:rPr>
                      <w:rFonts w:hint="eastAsia"/>
                      <w:color w:val="auto"/>
                      <w:szCs w:val="21"/>
                    </w:rPr>
                    <w:t>16</w:t>
                  </w:r>
                </w:p>
              </w:tc>
              <w:tc>
                <w:tcPr>
                  <w:tcW w:w="431" w:type="dxa"/>
                  <w:vAlign w:val="center"/>
                </w:tcPr>
                <w:p w14:paraId="17382A32">
                  <w:pPr>
                    <w:widowControl/>
                    <w:adjustRightInd w:val="0"/>
                    <w:ind w:right="-42" w:rightChars="-20"/>
                    <w:jc w:val="center"/>
                    <w:textAlignment w:val="baseline"/>
                    <w:rPr>
                      <w:color w:val="auto"/>
                      <w:szCs w:val="21"/>
                    </w:rPr>
                  </w:pPr>
                  <w:r>
                    <w:rPr>
                      <w:rFonts w:hint="eastAsia"/>
                      <w:color w:val="auto"/>
                      <w:szCs w:val="21"/>
                    </w:rPr>
                    <w:t>18</w:t>
                  </w:r>
                </w:p>
              </w:tc>
              <w:tc>
                <w:tcPr>
                  <w:tcW w:w="387" w:type="dxa"/>
                  <w:vAlign w:val="center"/>
                </w:tcPr>
                <w:p w14:paraId="17382A33">
                  <w:pPr>
                    <w:widowControl/>
                    <w:adjustRightInd w:val="0"/>
                    <w:ind w:right="-42" w:rightChars="-20"/>
                    <w:jc w:val="center"/>
                    <w:textAlignment w:val="baseline"/>
                    <w:rPr>
                      <w:color w:val="auto"/>
                      <w:szCs w:val="21"/>
                    </w:rPr>
                  </w:pPr>
                  <w:r>
                    <w:rPr>
                      <w:rFonts w:hint="eastAsia"/>
                      <w:color w:val="auto"/>
                      <w:szCs w:val="21"/>
                    </w:rPr>
                    <w:t>1.5</w:t>
                  </w:r>
                </w:p>
              </w:tc>
              <w:tc>
                <w:tcPr>
                  <w:tcW w:w="600" w:type="dxa"/>
                  <w:vAlign w:val="center"/>
                </w:tcPr>
                <w:p w14:paraId="17382A34">
                  <w:pPr>
                    <w:widowControl/>
                    <w:adjustRightInd w:val="0"/>
                    <w:jc w:val="center"/>
                    <w:textAlignment w:val="baseline"/>
                    <w:rPr>
                      <w:color w:val="auto"/>
                      <w:szCs w:val="21"/>
                    </w:rPr>
                  </w:pPr>
                  <w:r>
                    <w:rPr>
                      <w:rFonts w:hint="eastAsia"/>
                      <w:color w:val="auto"/>
                      <w:szCs w:val="21"/>
                    </w:rPr>
                    <w:t>1</w:t>
                  </w:r>
                </w:p>
              </w:tc>
              <w:tc>
                <w:tcPr>
                  <w:tcW w:w="701" w:type="dxa"/>
                  <w:vAlign w:val="center"/>
                </w:tcPr>
                <w:p w14:paraId="17382A35">
                  <w:pPr>
                    <w:adjustRightInd w:val="0"/>
                    <w:snapToGrid w:val="0"/>
                    <w:jc w:val="center"/>
                    <w:rPr>
                      <w:color w:val="auto"/>
                      <w:szCs w:val="21"/>
                    </w:rPr>
                  </w:pPr>
                  <w:r>
                    <w:rPr>
                      <w:rFonts w:hint="eastAsia"/>
                      <w:color w:val="auto"/>
                      <w:szCs w:val="21"/>
                    </w:rPr>
                    <w:t xml:space="preserve">73.0 </w:t>
                  </w:r>
                </w:p>
              </w:tc>
              <w:tc>
                <w:tcPr>
                  <w:tcW w:w="675" w:type="dxa"/>
                  <w:vMerge w:val="restart"/>
                  <w:vAlign w:val="center"/>
                </w:tcPr>
                <w:p w14:paraId="17382A36">
                  <w:pPr>
                    <w:widowControl/>
                    <w:adjustRightInd w:val="0"/>
                    <w:jc w:val="center"/>
                    <w:textAlignment w:val="baseline"/>
                    <w:rPr>
                      <w:color w:val="auto"/>
                      <w:szCs w:val="21"/>
                    </w:rPr>
                  </w:pPr>
                  <w:r>
                    <w:rPr>
                      <w:rFonts w:hint="eastAsia"/>
                      <w:color w:val="auto"/>
                      <w:szCs w:val="21"/>
                    </w:rPr>
                    <w:t>2400h</w:t>
                  </w:r>
                </w:p>
              </w:tc>
              <w:tc>
                <w:tcPr>
                  <w:tcW w:w="787" w:type="dxa"/>
                  <w:vAlign w:val="center"/>
                </w:tcPr>
                <w:p w14:paraId="17382A37">
                  <w:pPr>
                    <w:widowControl/>
                    <w:adjustRightInd w:val="0"/>
                    <w:ind w:right="-42" w:rightChars="-20"/>
                    <w:jc w:val="center"/>
                    <w:textAlignment w:val="baseline"/>
                    <w:rPr>
                      <w:color w:val="auto"/>
                      <w:szCs w:val="21"/>
                    </w:rPr>
                  </w:pPr>
                  <w:r>
                    <w:rPr>
                      <w:color w:val="auto"/>
                      <w:szCs w:val="21"/>
                    </w:rPr>
                    <w:t>25</w:t>
                  </w:r>
                </w:p>
              </w:tc>
              <w:tc>
                <w:tcPr>
                  <w:tcW w:w="743" w:type="dxa"/>
                  <w:vAlign w:val="center"/>
                </w:tcPr>
                <w:p w14:paraId="17382A38">
                  <w:pPr>
                    <w:adjustRightInd w:val="0"/>
                    <w:snapToGrid w:val="0"/>
                    <w:jc w:val="center"/>
                    <w:rPr>
                      <w:color w:val="auto"/>
                      <w:szCs w:val="21"/>
                    </w:rPr>
                  </w:pPr>
                  <w:r>
                    <w:rPr>
                      <w:rFonts w:hint="eastAsia"/>
                      <w:color w:val="auto"/>
                      <w:szCs w:val="21"/>
                    </w:rPr>
                    <w:t xml:space="preserve">48.0 </w:t>
                  </w:r>
                </w:p>
              </w:tc>
              <w:tc>
                <w:tcPr>
                  <w:tcW w:w="445" w:type="dxa"/>
                  <w:vMerge w:val="restart"/>
                  <w:vAlign w:val="center"/>
                </w:tcPr>
                <w:p w14:paraId="17382A39">
                  <w:pPr>
                    <w:widowControl/>
                    <w:tabs>
                      <w:tab w:val="left" w:pos="370"/>
                    </w:tabs>
                    <w:adjustRightInd w:val="0"/>
                    <w:ind w:right="-42" w:rightChars="-20"/>
                    <w:jc w:val="center"/>
                    <w:textAlignment w:val="baseline"/>
                    <w:rPr>
                      <w:color w:val="auto"/>
                      <w:szCs w:val="21"/>
                    </w:rPr>
                  </w:pPr>
                  <w:r>
                    <w:rPr>
                      <w:color w:val="auto"/>
                      <w:szCs w:val="21"/>
                    </w:rPr>
                    <w:t>1m</w:t>
                  </w:r>
                </w:p>
              </w:tc>
            </w:tr>
            <w:tr w14:paraId="17382A49">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cantSplit/>
                <w:trHeight w:val="408" w:hRule="atLeast"/>
                <w:jc w:val="center"/>
              </w:trPr>
              <w:tc>
                <w:tcPr>
                  <w:tcW w:w="409" w:type="dxa"/>
                  <w:vAlign w:val="center"/>
                </w:tcPr>
                <w:p w14:paraId="17382A3B">
                  <w:pPr>
                    <w:adjustRightInd w:val="0"/>
                    <w:ind w:right="-42" w:rightChars="-20"/>
                    <w:jc w:val="center"/>
                    <w:textAlignment w:val="baseline"/>
                    <w:rPr>
                      <w:color w:val="auto"/>
                      <w:szCs w:val="21"/>
                    </w:rPr>
                  </w:pPr>
                  <w:r>
                    <w:rPr>
                      <w:color w:val="auto"/>
                      <w:szCs w:val="21"/>
                    </w:rPr>
                    <w:t>2</w:t>
                  </w:r>
                </w:p>
              </w:tc>
              <w:tc>
                <w:tcPr>
                  <w:tcW w:w="912" w:type="dxa"/>
                  <w:vAlign w:val="center"/>
                </w:tcPr>
                <w:p w14:paraId="17382A3C">
                  <w:pPr>
                    <w:autoSpaceDE w:val="0"/>
                    <w:autoSpaceDN w:val="0"/>
                    <w:adjustRightInd w:val="0"/>
                    <w:snapToGrid w:val="0"/>
                    <w:jc w:val="center"/>
                    <w:rPr>
                      <w:color w:val="auto"/>
                      <w:szCs w:val="21"/>
                    </w:rPr>
                  </w:pPr>
                  <w:r>
                    <w:rPr>
                      <w:rFonts w:hint="eastAsia"/>
                      <w:color w:val="auto"/>
                      <w:szCs w:val="21"/>
                    </w:rPr>
                    <w:t>注塑机</w:t>
                  </w:r>
                </w:p>
              </w:tc>
              <w:tc>
                <w:tcPr>
                  <w:tcW w:w="637" w:type="dxa"/>
                  <w:vAlign w:val="center"/>
                </w:tcPr>
                <w:p w14:paraId="17382A3D">
                  <w:pPr>
                    <w:snapToGrid w:val="0"/>
                    <w:ind w:right="36" w:rightChars="17"/>
                    <w:jc w:val="center"/>
                    <w:rPr>
                      <w:color w:val="auto"/>
                      <w:szCs w:val="21"/>
                    </w:rPr>
                  </w:pPr>
                  <w:r>
                    <w:rPr>
                      <w:rFonts w:hint="eastAsia"/>
                      <w:color w:val="auto"/>
                      <w:szCs w:val="21"/>
                    </w:rPr>
                    <w:t>5</w:t>
                  </w:r>
                </w:p>
              </w:tc>
              <w:tc>
                <w:tcPr>
                  <w:tcW w:w="813" w:type="dxa"/>
                  <w:vAlign w:val="center"/>
                </w:tcPr>
                <w:p w14:paraId="17382A3E">
                  <w:pPr>
                    <w:widowControl/>
                    <w:adjustRightInd w:val="0"/>
                    <w:jc w:val="center"/>
                    <w:textAlignment w:val="baseline"/>
                    <w:rPr>
                      <w:color w:val="auto"/>
                      <w:szCs w:val="21"/>
                    </w:rPr>
                  </w:pPr>
                  <w:r>
                    <w:rPr>
                      <w:rFonts w:hint="eastAsia"/>
                      <w:color w:val="auto"/>
                      <w:szCs w:val="21"/>
                    </w:rPr>
                    <w:t>75</w:t>
                  </w:r>
                </w:p>
              </w:tc>
              <w:tc>
                <w:tcPr>
                  <w:tcW w:w="525" w:type="dxa"/>
                  <w:vMerge w:val="continue"/>
                  <w:vAlign w:val="center"/>
                </w:tcPr>
                <w:p w14:paraId="17382A3F">
                  <w:pPr>
                    <w:widowControl/>
                    <w:adjustRightInd w:val="0"/>
                    <w:ind w:right="-42" w:rightChars="-20"/>
                    <w:jc w:val="center"/>
                    <w:textAlignment w:val="baseline"/>
                    <w:rPr>
                      <w:color w:val="auto"/>
                      <w:szCs w:val="21"/>
                    </w:rPr>
                  </w:pPr>
                </w:p>
              </w:tc>
              <w:tc>
                <w:tcPr>
                  <w:tcW w:w="394" w:type="dxa"/>
                  <w:vAlign w:val="center"/>
                </w:tcPr>
                <w:p w14:paraId="17382A40">
                  <w:pPr>
                    <w:widowControl/>
                    <w:adjustRightInd w:val="0"/>
                    <w:ind w:right="-42" w:rightChars="-20"/>
                    <w:jc w:val="center"/>
                    <w:textAlignment w:val="baseline"/>
                    <w:rPr>
                      <w:color w:val="auto"/>
                      <w:szCs w:val="21"/>
                    </w:rPr>
                  </w:pPr>
                  <w:r>
                    <w:rPr>
                      <w:rFonts w:hint="eastAsia"/>
                      <w:color w:val="auto"/>
                      <w:szCs w:val="21"/>
                    </w:rPr>
                    <w:t>16</w:t>
                  </w:r>
                </w:p>
              </w:tc>
              <w:tc>
                <w:tcPr>
                  <w:tcW w:w="431" w:type="dxa"/>
                  <w:vAlign w:val="center"/>
                </w:tcPr>
                <w:p w14:paraId="17382A41">
                  <w:pPr>
                    <w:widowControl/>
                    <w:adjustRightInd w:val="0"/>
                    <w:ind w:right="-42" w:rightChars="-20"/>
                    <w:jc w:val="center"/>
                    <w:textAlignment w:val="baseline"/>
                    <w:rPr>
                      <w:color w:val="auto"/>
                      <w:szCs w:val="21"/>
                    </w:rPr>
                  </w:pPr>
                  <w:r>
                    <w:rPr>
                      <w:rFonts w:hint="eastAsia"/>
                      <w:color w:val="auto"/>
                      <w:szCs w:val="21"/>
                    </w:rPr>
                    <w:t>8.5</w:t>
                  </w:r>
                </w:p>
              </w:tc>
              <w:tc>
                <w:tcPr>
                  <w:tcW w:w="387" w:type="dxa"/>
                  <w:vAlign w:val="center"/>
                </w:tcPr>
                <w:p w14:paraId="17382A42">
                  <w:pPr>
                    <w:widowControl/>
                    <w:adjustRightInd w:val="0"/>
                    <w:ind w:right="-42" w:rightChars="-20"/>
                    <w:jc w:val="center"/>
                    <w:textAlignment w:val="baseline"/>
                    <w:rPr>
                      <w:color w:val="auto"/>
                      <w:szCs w:val="21"/>
                    </w:rPr>
                  </w:pPr>
                  <w:r>
                    <w:rPr>
                      <w:rFonts w:hint="eastAsia"/>
                      <w:color w:val="auto"/>
                      <w:szCs w:val="21"/>
                    </w:rPr>
                    <w:t>1.5</w:t>
                  </w:r>
                </w:p>
              </w:tc>
              <w:tc>
                <w:tcPr>
                  <w:tcW w:w="600" w:type="dxa"/>
                  <w:vAlign w:val="center"/>
                </w:tcPr>
                <w:p w14:paraId="17382A43">
                  <w:pPr>
                    <w:widowControl/>
                    <w:adjustRightInd w:val="0"/>
                    <w:jc w:val="center"/>
                    <w:textAlignment w:val="baseline"/>
                    <w:rPr>
                      <w:color w:val="auto"/>
                      <w:szCs w:val="21"/>
                    </w:rPr>
                  </w:pPr>
                  <w:r>
                    <w:rPr>
                      <w:rFonts w:hint="eastAsia"/>
                      <w:color w:val="auto"/>
                      <w:szCs w:val="21"/>
                    </w:rPr>
                    <w:t>1</w:t>
                  </w:r>
                </w:p>
              </w:tc>
              <w:tc>
                <w:tcPr>
                  <w:tcW w:w="701" w:type="dxa"/>
                  <w:vAlign w:val="center"/>
                </w:tcPr>
                <w:p w14:paraId="17382A44">
                  <w:pPr>
                    <w:adjustRightInd w:val="0"/>
                    <w:snapToGrid w:val="0"/>
                    <w:jc w:val="center"/>
                    <w:rPr>
                      <w:color w:val="auto"/>
                      <w:szCs w:val="21"/>
                    </w:rPr>
                  </w:pPr>
                  <w:r>
                    <w:rPr>
                      <w:rFonts w:hint="eastAsia"/>
                      <w:color w:val="auto"/>
                      <w:szCs w:val="21"/>
                    </w:rPr>
                    <w:t xml:space="preserve">72.0 </w:t>
                  </w:r>
                </w:p>
              </w:tc>
              <w:tc>
                <w:tcPr>
                  <w:tcW w:w="675" w:type="dxa"/>
                  <w:vMerge w:val="continue"/>
                  <w:vAlign w:val="center"/>
                </w:tcPr>
                <w:p w14:paraId="17382A45">
                  <w:pPr>
                    <w:widowControl/>
                    <w:adjustRightInd w:val="0"/>
                    <w:jc w:val="center"/>
                    <w:textAlignment w:val="baseline"/>
                    <w:rPr>
                      <w:color w:val="auto"/>
                      <w:szCs w:val="21"/>
                    </w:rPr>
                  </w:pPr>
                </w:p>
              </w:tc>
              <w:tc>
                <w:tcPr>
                  <w:tcW w:w="787" w:type="dxa"/>
                  <w:vAlign w:val="center"/>
                </w:tcPr>
                <w:p w14:paraId="17382A46">
                  <w:pPr>
                    <w:widowControl/>
                    <w:adjustRightInd w:val="0"/>
                    <w:ind w:right="-42" w:rightChars="-20"/>
                    <w:jc w:val="center"/>
                    <w:textAlignment w:val="baseline"/>
                    <w:rPr>
                      <w:color w:val="auto"/>
                      <w:szCs w:val="21"/>
                    </w:rPr>
                  </w:pPr>
                  <w:r>
                    <w:rPr>
                      <w:color w:val="auto"/>
                      <w:szCs w:val="21"/>
                    </w:rPr>
                    <w:t>25</w:t>
                  </w:r>
                </w:p>
              </w:tc>
              <w:tc>
                <w:tcPr>
                  <w:tcW w:w="743" w:type="dxa"/>
                  <w:vAlign w:val="center"/>
                </w:tcPr>
                <w:p w14:paraId="17382A47">
                  <w:pPr>
                    <w:adjustRightInd w:val="0"/>
                    <w:snapToGrid w:val="0"/>
                    <w:jc w:val="center"/>
                    <w:rPr>
                      <w:color w:val="auto"/>
                      <w:szCs w:val="21"/>
                    </w:rPr>
                  </w:pPr>
                  <w:r>
                    <w:rPr>
                      <w:rFonts w:hint="eastAsia"/>
                      <w:color w:val="auto"/>
                      <w:szCs w:val="21"/>
                    </w:rPr>
                    <w:t xml:space="preserve">47.0 </w:t>
                  </w:r>
                </w:p>
              </w:tc>
              <w:tc>
                <w:tcPr>
                  <w:tcW w:w="445" w:type="dxa"/>
                  <w:vMerge w:val="continue"/>
                  <w:vAlign w:val="center"/>
                </w:tcPr>
                <w:p w14:paraId="17382A48">
                  <w:pPr>
                    <w:widowControl/>
                    <w:adjustRightInd w:val="0"/>
                    <w:ind w:right="-42" w:rightChars="-20"/>
                    <w:jc w:val="center"/>
                    <w:textAlignment w:val="baseline"/>
                    <w:rPr>
                      <w:color w:val="auto"/>
                      <w:szCs w:val="21"/>
                    </w:rPr>
                  </w:pPr>
                </w:p>
              </w:tc>
            </w:tr>
            <w:tr w14:paraId="17382A58">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cantSplit/>
                <w:trHeight w:val="408" w:hRule="atLeast"/>
                <w:jc w:val="center"/>
              </w:trPr>
              <w:tc>
                <w:tcPr>
                  <w:tcW w:w="409" w:type="dxa"/>
                  <w:vAlign w:val="center"/>
                </w:tcPr>
                <w:p w14:paraId="17382A4A">
                  <w:pPr>
                    <w:adjustRightInd w:val="0"/>
                    <w:ind w:right="-42" w:rightChars="-20"/>
                    <w:jc w:val="center"/>
                    <w:textAlignment w:val="baseline"/>
                    <w:rPr>
                      <w:color w:val="auto"/>
                      <w:szCs w:val="21"/>
                    </w:rPr>
                  </w:pPr>
                  <w:r>
                    <w:rPr>
                      <w:color w:val="auto"/>
                      <w:szCs w:val="21"/>
                    </w:rPr>
                    <w:t>3</w:t>
                  </w:r>
                </w:p>
              </w:tc>
              <w:tc>
                <w:tcPr>
                  <w:tcW w:w="912" w:type="dxa"/>
                  <w:vAlign w:val="center"/>
                </w:tcPr>
                <w:p w14:paraId="17382A4B">
                  <w:pPr>
                    <w:autoSpaceDE w:val="0"/>
                    <w:autoSpaceDN w:val="0"/>
                    <w:adjustRightInd w:val="0"/>
                    <w:snapToGrid w:val="0"/>
                    <w:jc w:val="center"/>
                    <w:rPr>
                      <w:color w:val="auto"/>
                      <w:szCs w:val="21"/>
                    </w:rPr>
                  </w:pPr>
                  <w:r>
                    <w:rPr>
                      <w:rFonts w:hint="eastAsia"/>
                      <w:color w:val="auto"/>
                      <w:szCs w:val="21"/>
                    </w:rPr>
                    <w:t>组装生产线</w:t>
                  </w:r>
                </w:p>
              </w:tc>
              <w:tc>
                <w:tcPr>
                  <w:tcW w:w="637" w:type="dxa"/>
                  <w:vAlign w:val="center"/>
                </w:tcPr>
                <w:p w14:paraId="17382A4C">
                  <w:pPr>
                    <w:snapToGrid w:val="0"/>
                    <w:ind w:right="36" w:rightChars="17"/>
                    <w:jc w:val="center"/>
                    <w:rPr>
                      <w:color w:val="auto"/>
                      <w:szCs w:val="21"/>
                    </w:rPr>
                  </w:pPr>
                  <w:r>
                    <w:rPr>
                      <w:rFonts w:hint="eastAsia"/>
                      <w:color w:val="auto"/>
                      <w:szCs w:val="21"/>
                    </w:rPr>
                    <w:t>2</w:t>
                  </w:r>
                </w:p>
              </w:tc>
              <w:tc>
                <w:tcPr>
                  <w:tcW w:w="813" w:type="dxa"/>
                  <w:vAlign w:val="center"/>
                </w:tcPr>
                <w:p w14:paraId="17382A4D">
                  <w:pPr>
                    <w:widowControl/>
                    <w:jc w:val="center"/>
                    <w:rPr>
                      <w:color w:val="auto"/>
                      <w:szCs w:val="21"/>
                    </w:rPr>
                  </w:pPr>
                  <w:r>
                    <w:rPr>
                      <w:rFonts w:hint="eastAsia"/>
                      <w:color w:val="auto"/>
                      <w:szCs w:val="21"/>
                    </w:rPr>
                    <w:t>70</w:t>
                  </w:r>
                </w:p>
              </w:tc>
              <w:tc>
                <w:tcPr>
                  <w:tcW w:w="525" w:type="dxa"/>
                  <w:vMerge w:val="continue"/>
                  <w:vAlign w:val="center"/>
                </w:tcPr>
                <w:p w14:paraId="17382A4E">
                  <w:pPr>
                    <w:widowControl/>
                    <w:jc w:val="center"/>
                    <w:rPr>
                      <w:color w:val="auto"/>
                      <w:szCs w:val="21"/>
                    </w:rPr>
                  </w:pPr>
                </w:p>
              </w:tc>
              <w:tc>
                <w:tcPr>
                  <w:tcW w:w="394" w:type="dxa"/>
                  <w:vAlign w:val="center"/>
                </w:tcPr>
                <w:p w14:paraId="17382A4F">
                  <w:pPr>
                    <w:widowControl/>
                    <w:adjustRightInd w:val="0"/>
                    <w:ind w:right="-42" w:rightChars="-20"/>
                    <w:jc w:val="center"/>
                    <w:textAlignment w:val="baseline"/>
                    <w:rPr>
                      <w:color w:val="auto"/>
                      <w:szCs w:val="21"/>
                    </w:rPr>
                  </w:pPr>
                  <w:r>
                    <w:rPr>
                      <w:rFonts w:hint="eastAsia"/>
                      <w:color w:val="auto"/>
                      <w:szCs w:val="21"/>
                    </w:rPr>
                    <w:t>37</w:t>
                  </w:r>
                </w:p>
              </w:tc>
              <w:tc>
                <w:tcPr>
                  <w:tcW w:w="431" w:type="dxa"/>
                  <w:vAlign w:val="center"/>
                </w:tcPr>
                <w:p w14:paraId="17382A50">
                  <w:pPr>
                    <w:adjustRightInd w:val="0"/>
                    <w:ind w:right="-42" w:rightChars="-20"/>
                    <w:jc w:val="center"/>
                    <w:textAlignment w:val="baseline"/>
                    <w:rPr>
                      <w:color w:val="auto"/>
                      <w:szCs w:val="21"/>
                    </w:rPr>
                  </w:pPr>
                  <w:r>
                    <w:rPr>
                      <w:rFonts w:hint="eastAsia"/>
                      <w:color w:val="auto"/>
                      <w:szCs w:val="21"/>
                    </w:rPr>
                    <w:t>5</w:t>
                  </w:r>
                </w:p>
              </w:tc>
              <w:tc>
                <w:tcPr>
                  <w:tcW w:w="387" w:type="dxa"/>
                  <w:vAlign w:val="center"/>
                </w:tcPr>
                <w:p w14:paraId="17382A51">
                  <w:pPr>
                    <w:widowControl/>
                    <w:adjustRightInd w:val="0"/>
                    <w:ind w:right="-42" w:rightChars="-20"/>
                    <w:jc w:val="center"/>
                    <w:textAlignment w:val="baseline"/>
                    <w:rPr>
                      <w:color w:val="auto"/>
                      <w:szCs w:val="21"/>
                    </w:rPr>
                  </w:pPr>
                  <w:r>
                    <w:rPr>
                      <w:rFonts w:hint="eastAsia"/>
                      <w:color w:val="auto"/>
                      <w:szCs w:val="21"/>
                    </w:rPr>
                    <w:t>1.5</w:t>
                  </w:r>
                </w:p>
              </w:tc>
              <w:tc>
                <w:tcPr>
                  <w:tcW w:w="600" w:type="dxa"/>
                  <w:vAlign w:val="center"/>
                </w:tcPr>
                <w:p w14:paraId="17382A52">
                  <w:pPr>
                    <w:widowControl/>
                    <w:adjustRightInd w:val="0"/>
                    <w:jc w:val="center"/>
                    <w:textAlignment w:val="baseline"/>
                    <w:rPr>
                      <w:color w:val="auto"/>
                      <w:szCs w:val="21"/>
                    </w:rPr>
                  </w:pPr>
                  <w:r>
                    <w:rPr>
                      <w:rFonts w:hint="eastAsia"/>
                      <w:color w:val="auto"/>
                      <w:szCs w:val="21"/>
                    </w:rPr>
                    <w:t>3</w:t>
                  </w:r>
                </w:p>
              </w:tc>
              <w:tc>
                <w:tcPr>
                  <w:tcW w:w="701" w:type="dxa"/>
                  <w:vAlign w:val="center"/>
                </w:tcPr>
                <w:p w14:paraId="17382A53">
                  <w:pPr>
                    <w:adjustRightInd w:val="0"/>
                    <w:snapToGrid w:val="0"/>
                    <w:jc w:val="center"/>
                    <w:rPr>
                      <w:color w:val="auto"/>
                      <w:szCs w:val="21"/>
                    </w:rPr>
                  </w:pPr>
                  <w:r>
                    <w:rPr>
                      <w:rFonts w:hint="eastAsia"/>
                      <w:color w:val="auto"/>
                      <w:szCs w:val="21"/>
                    </w:rPr>
                    <w:t xml:space="preserve">63.5 </w:t>
                  </w:r>
                </w:p>
              </w:tc>
              <w:tc>
                <w:tcPr>
                  <w:tcW w:w="675" w:type="dxa"/>
                  <w:vMerge w:val="continue"/>
                  <w:vAlign w:val="center"/>
                </w:tcPr>
                <w:p w14:paraId="17382A54">
                  <w:pPr>
                    <w:widowControl/>
                    <w:adjustRightInd w:val="0"/>
                    <w:jc w:val="center"/>
                    <w:textAlignment w:val="baseline"/>
                    <w:rPr>
                      <w:color w:val="auto"/>
                      <w:szCs w:val="21"/>
                    </w:rPr>
                  </w:pPr>
                </w:p>
              </w:tc>
              <w:tc>
                <w:tcPr>
                  <w:tcW w:w="787" w:type="dxa"/>
                  <w:vAlign w:val="center"/>
                </w:tcPr>
                <w:p w14:paraId="17382A55">
                  <w:pPr>
                    <w:widowControl/>
                    <w:adjustRightInd w:val="0"/>
                    <w:ind w:right="-42" w:rightChars="-20"/>
                    <w:jc w:val="center"/>
                    <w:textAlignment w:val="baseline"/>
                    <w:rPr>
                      <w:color w:val="auto"/>
                      <w:szCs w:val="21"/>
                    </w:rPr>
                  </w:pPr>
                  <w:r>
                    <w:rPr>
                      <w:color w:val="auto"/>
                      <w:szCs w:val="21"/>
                    </w:rPr>
                    <w:t>25</w:t>
                  </w:r>
                </w:p>
              </w:tc>
              <w:tc>
                <w:tcPr>
                  <w:tcW w:w="743" w:type="dxa"/>
                  <w:vAlign w:val="center"/>
                </w:tcPr>
                <w:p w14:paraId="17382A56">
                  <w:pPr>
                    <w:adjustRightInd w:val="0"/>
                    <w:snapToGrid w:val="0"/>
                    <w:jc w:val="center"/>
                    <w:rPr>
                      <w:color w:val="auto"/>
                      <w:szCs w:val="21"/>
                    </w:rPr>
                  </w:pPr>
                  <w:r>
                    <w:rPr>
                      <w:rFonts w:hint="eastAsia"/>
                      <w:color w:val="auto"/>
                      <w:szCs w:val="21"/>
                    </w:rPr>
                    <w:t xml:space="preserve">38.5 </w:t>
                  </w:r>
                </w:p>
              </w:tc>
              <w:tc>
                <w:tcPr>
                  <w:tcW w:w="445" w:type="dxa"/>
                  <w:vMerge w:val="continue"/>
                  <w:vAlign w:val="center"/>
                </w:tcPr>
                <w:p w14:paraId="17382A57">
                  <w:pPr>
                    <w:widowControl/>
                    <w:jc w:val="center"/>
                    <w:rPr>
                      <w:color w:val="auto"/>
                      <w:szCs w:val="21"/>
                    </w:rPr>
                  </w:pPr>
                </w:p>
              </w:tc>
            </w:tr>
            <w:tr w14:paraId="17382A67">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cantSplit/>
                <w:trHeight w:val="408" w:hRule="atLeast"/>
                <w:jc w:val="center"/>
              </w:trPr>
              <w:tc>
                <w:tcPr>
                  <w:tcW w:w="409" w:type="dxa"/>
                  <w:vAlign w:val="center"/>
                </w:tcPr>
                <w:p w14:paraId="17382A59">
                  <w:pPr>
                    <w:adjustRightInd w:val="0"/>
                    <w:ind w:right="-42" w:rightChars="-20"/>
                    <w:jc w:val="center"/>
                    <w:textAlignment w:val="baseline"/>
                    <w:rPr>
                      <w:color w:val="auto"/>
                      <w:szCs w:val="21"/>
                    </w:rPr>
                  </w:pPr>
                  <w:r>
                    <w:rPr>
                      <w:color w:val="auto"/>
                      <w:szCs w:val="21"/>
                    </w:rPr>
                    <w:t>4</w:t>
                  </w:r>
                </w:p>
              </w:tc>
              <w:tc>
                <w:tcPr>
                  <w:tcW w:w="912" w:type="dxa"/>
                  <w:vAlign w:val="center"/>
                </w:tcPr>
                <w:p w14:paraId="17382A5A">
                  <w:pPr>
                    <w:autoSpaceDE w:val="0"/>
                    <w:autoSpaceDN w:val="0"/>
                    <w:adjustRightInd w:val="0"/>
                    <w:snapToGrid w:val="0"/>
                    <w:jc w:val="center"/>
                    <w:rPr>
                      <w:color w:val="auto"/>
                      <w:szCs w:val="21"/>
                    </w:rPr>
                  </w:pPr>
                  <w:r>
                    <w:rPr>
                      <w:rFonts w:hint="eastAsia"/>
                      <w:color w:val="auto"/>
                      <w:szCs w:val="21"/>
                    </w:rPr>
                    <w:t>高频热处理流水线</w:t>
                  </w:r>
                </w:p>
              </w:tc>
              <w:tc>
                <w:tcPr>
                  <w:tcW w:w="637" w:type="dxa"/>
                  <w:vAlign w:val="center"/>
                </w:tcPr>
                <w:p w14:paraId="17382A5B">
                  <w:pPr>
                    <w:snapToGrid w:val="0"/>
                    <w:ind w:right="36" w:rightChars="17"/>
                    <w:jc w:val="center"/>
                    <w:rPr>
                      <w:color w:val="auto"/>
                      <w:szCs w:val="21"/>
                    </w:rPr>
                  </w:pPr>
                  <w:r>
                    <w:rPr>
                      <w:rFonts w:hint="eastAsia"/>
                      <w:color w:val="auto"/>
                      <w:szCs w:val="21"/>
                    </w:rPr>
                    <w:t>3</w:t>
                  </w:r>
                </w:p>
              </w:tc>
              <w:tc>
                <w:tcPr>
                  <w:tcW w:w="813" w:type="dxa"/>
                  <w:vAlign w:val="center"/>
                </w:tcPr>
                <w:p w14:paraId="17382A5C">
                  <w:pPr>
                    <w:widowControl/>
                    <w:jc w:val="center"/>
                    <w:rPr>
                      <w:color w:val="auto"/>
                      <w:szCs w:val="21"/>
                    </w:rPr>
                  </w:pPr>
                  <w:r>
                    <w:rPr>
                      <w:rFonts w:hint="eastAsia"/>
                      <w:color w:val="auto"/>
                      <w:szCs w:val="21"/>
                    </w:rPr>
                    <w:t>7</w:t>
                  </w:r>
                  <w:r>
                    <w:rPr>
                      <w:color w:val="auto"/>
                      <w:szCs w:val="21"/>
                    </w:rPr>
                    <w:t>5</w:t>
                  </w:r>
                </w:p>
              </w:tc>
              <w:tc>
                <w:tcPr>
                  <w:tcW w:w="525" w:type="dxa"/>
                  <w:vMerge w:val="continue"/>
                  <w:vAlign w:val="center"/>
                </w:tcPr>
                <w:p w14:paraId="17382A5D">
                  <w:pPr>
                    <w:widowControl/>
                    <w:jc w:val="center"/>
                    <w:rPr>
                      <w:color w:val="auto"/>
                      <w:szCs w:val="21"/>
                    </w:rPr>
                  </w:pPr>
                </w:p>
              </w:tc>
              <w:tc>
                <w:tcPr>
                  <w:tcW w:w="394" w:type="dxa"/>
                  <w:vAlign w:val="center"/>
                </w:tcPr>
                <w:p w14:paraId="17382A5E">
                  <w:pPr>
                    <w:widowControl/>
                    <w:adjustRightInd w:val="0"/>
                    <w:ind w:right="-42" w:rightChars="-20"/>
                    <w:jc w:val="center"/>
                    <w:textAlignment w:val="baseline"/>
                    <w:rPr>
                      <w:color w:val="auto"/>
                      <w:szCs w:val="21"/>
                    </w:rPr>
                  </w:pPr>
                  <w:r>
                    <w:rPr>
                      <w:rFonts w:hint="eastAsia"/>
                      <w:color w:val="auto"/>
                      <w:szCs w:val="21"/>
                    </w:rPr>
                    <w:t>35</w:t>
                  </w:r>
                </w:p>
              </w:tc>
              <w:tc>
                <w:tcPr>
                  <w:tcW w:w="431" w:type="dxa"/>
                  <w:vAlign w:val="center"/>
                </w:tcPr>
                <w:p w14:paraId="17382A5F">
                  <w:pPr>
                    <w:adjustRightInd w:val="0"/>
                    <w:ind w:right="-42" w:rightChars="-20"/>
                    <w:jc w:val="center"/>
                    <w:textAlignment w:val="baseline"/>
                    <w:rPr>
                      <w:color w:val="auto"/>
                      <w:szCs w:val="21"/>
                    </w:rPr>
                  </w:pPr>
                  <w:r>
                    <w:rPr>
                      <w:rFonts w:hint="eastAsia"/>
                      <w:color w:val="auto"/>
                      <w:szCs w:val="21"/>
                    </w:rPr>
                    <w:t>14</w:t>
                  </w:r>
                </w:p>
              </w:tc>
              <w:tc>
                <w:tcPr>
                  <w:tcW w:w="387" w:type="dxa"/>
                  <w:vAlign w:val="center"/>
                </w:tcPr>
                <w:p w14:paraId="17382A60">
                  <w:pPr>
                    <w:widowControl/>
                    <w:adjustRightInd w:val="0"/>
                    <w:ind w:right="-42" w:rightChars="-20"/>
                    <w:jc w:val="center"/>
                    <w:textAlignment w:val="baseline"/>
                    <w:rPr>
                      <w:color w:val="auto"/>
                      <w:szCs w:val="21"/>
                    </w:rPr>
                  </w:pPr>
                  <w:r>
                    <w:rPr>
                      <w:rFonts w:hint="eastAsia"/>
                      <w:color w:val="auto"/>
                      <w:szCs w:val="21"/>
                    </w:rPr>
                    <w:t>1.5</w:t>
                  </w:r>
                </w:p>
              </w:tc>
              <w:tc>
                <w:tcPr>
                  <w:tcW w:w="600" w:type="dxa"/>
                  <w:vAlign w:val="center"/>
                </w:tcPr>
                <w:p w14:paraId="17382A61">
                  <w:pPr>
                    <w:widowControl/>
                    <w:adjustRightInd w:val="0"/>
                    <w:jc w:val="center"/>
                    <w:textAlignment w:val="baseline"/>
                    <w:rPr>
                      <w:color w:val="auto"/>
                      <w:szCs w:val="21"/>
                    </w:rPr>
                  </w:pPr>
                  <w:r>
                    <w:rPr>
                      <w:rFonts w:hint="eastAsia"/>
                      <w:color w:val="auto"/>
                      <w:szCs w:val="21"/>
                    </w:rPr>
                    <w:t>2</w:t>
                  </w:r>
                </w:p>
              </w:tc>
              <w:tc>
                <w:tcPr>
                  <w:tcW w:w="701" w:type="dxa"/>
                  <w:vAlign w:val="center"/>
                </w:tcPr>
                <w:p w14:paraId="17382A62">
                  <w:pPr>
                    <w:adjustRightInd w:val="0"/>
                    <w:snapToGrid w:val="0"/>
                    <w:jc w:val="center"/>
                    <w:rPr>
                      <w:color w:val="auto"/>
                      <w:szCs w:val="21"/>
                    </w:rPr>
                  </w:pPr>
                  <w:r>
                    <w:rPr>
                      <w:rFonts w:hint="eastAsia"/>
                      <w:color w:val="auto"/>
                      <w:szCs w:val="21"/>
                    </w:rPr>
                    <w:t xml:space="preserve">73.8 </w:t>
                  </w:r>
                </w:p>
              </w:tc>
              <w:tc>
                <w:tcPr>
                  <w:tcW w:w="675" w:type="dxa"/>
                  <w:vMerge w:val="continue"/>
                  <w:vAlign w:val="center"/>
                </w:tcPr>
                <w:p w14:paraId="17382A63">
                  <w:pPr>
                    <w:widowControl/>
                    <w:adjustRightInd w:val="0"/>
                    <w:jc w:val="center"/>
                    <w:textAlignment w:val="baseline"/>
                    <w:rPr>
                      <w:color w:val="auto"/>
                      <w:szCs w:val="21"/>
                    </w:rPr>
                  </w:pPr>
                </w:p>
              </w:tc>
              <w:tc>
                <w:tcPr>
                  <w:tcW w:w="787" w:type="dxa"/>
                  <w:vAlign w:val="center"/>
                </w:tcPr>
                <w:p w14:paraId="17382A64">
                  <w:pPr>
                    <w:widowControl/>
                    <w:adjustRightInd w:val="0"/>
                    <w:ind w:right="-42" w:rightChars="-20"/>
                    <w:jc w:val="center"/>
                    <w:textAlignment w:val="baseline"/>
                    <w:rPr>
                      <w:color w:val="auto"/>
                      <w:szCs w:val="21"/>
                    </w:rPr>
                  </w:pPr>
                  <w:r>
                    <w:rPr>
                      <w:color w:val="auto"/>
                      <w:szCs w:val="21"/>
                    </w:rPr>
                    <w:t>25</w:t>
                  </w:r>
                </w:p>
              </w:tc>
              <w:tc>
                <w:tcPr>
                  <w:tcW w:w="743" w:type="dxa"/>
                  <w:vAlign w:val="center"/>
                </w:tcPr>
                <w:p w14:paraId="17382A65">
                  <w:pPr>
                    <w:adjustRightInd w:val="0"/>
                    <w:snapToGrid w:val="0"/>
                    <w:jc w:val="center"/>
                    <w:rPr>
                      <w:color w:val="auto"/>
                      <w:szCs w:val="21"/>
                    </w:rPr>
                  </w:pPr>
                  <w:r>
                    <w:rPr>
                      <w:rFonts w:hint="eastAsia"/>
                      <w:color w:val="auto"/>
                      <w:szCs w:val="21"/>
                    </w:rPr>
                    <w:t xml:space="preserve">48.8 </w:t>
                  </w:r>
                </w:p>
              </w:tc>
              <w:tc>
                <w:tcPr>
                  <w:tcW w:w="445" w:type="dxa"/>
                  <w:vMerge w:val="continue"/>
                  <w:vAlign w:val="center"/>
                </w:tcPr>
                <w:p w14:paraId="17382A66">
                  <w:pPr>
                    <w:widowControl/>
                    <w:jc w:val="center"/>
                    <w:rPr>
                      <w:color w:val="auto"/>
                      <w:szCs w:val="21"/>
                    </w:rPr>
                  </w:pPr>
                </w:p>
              </w:tc>
            </w:tr>
            <w:tr w14:paraId="17382A76">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cantSplit/>
                <w:trHeight w:val="408" w:hRule="atLeast"/>
                <w:jc w:val="center"/>
              </w:trPr>
              <w:tc>
                <w:tcPr>
                  <w:tcW w:w="409" w:type="dxa"/>
                  <w:vAlign w:val="center"/>
                </w:tcPr>
                <w:p w14:paraId="17382A68">
                  <w:pPr>
                    <w:adjustRightInd w:val="0"/>
                    <w:ind w:right="-42" w:rightChars="-20"/>
                    <w:jc w:val="center"/>
                    <w:textAlignment w:val="baseline"/>
                    <w:rPr>
                      <w:color w:val="auto"/>
                      <w:szCs w:val="21"/>
                    </w:rPr>
                  </w:pPr>
                  <w:r>
                    <w:rPr>
                      <w:color w:val="auto"/>
                      <w:szCs w:val="21"/>
                    </w:rPr>
                    <w:t>5</w:t>
                  </w:r>
                </w:p>
              </w:tc>
              <w:tc>
                <w:tcPr>
                  <w:tcW w:w="912" w:type="dxa"/>
                  <w:vAlign w:val="center"/>
                </w:tcPr>
                <w:p w14:paraId="17382A69">
                  <w:pPr>
                    <w:autoSpaceDE w:val="0"/>
                    <w:autoSpaceDN w:val="0"/>
                    <w:adjustRightInd w:val="0"/>
                    <w:snapToGrid w:val="0"/>
                    <w:jc w:val="center"/>
                    <w:rPr>
                      <w:color w:val="auto"/>
                      <w:szCs w:val="21"/>
                    </w:rPr>
                  </w:pPr>
                  <w:r>
                    <w:rPr>
                      <w:rFonts w:hint="eastAsia"/>
                      <w:color w:val="auto"/>
                      <w:szCs w:val="21"/>
                    </w:rPr>
                    <w:t>抛光机</w:t>
                  </w:r>
                </w:p>
              </w:tc>
              <w:tc>
                <w:tcPr>
                  <w:tcW w:w="637" w:type="dxa"/>
                  <w:vAlign w:val="center"/>
                </w:tcPr>
                <w:p w14:paraId="17382A6A">
                  <w:pPr>
                    <w:snapToGrid w:val="0"/>
                    <w:ind w:right="36" w:rightChars="17"/>
                    <w:jc w:val="center"/>
                    <w:rPr>
                      <w:color w:val="auto"/>
                      <w:szCs w:val="21"/>
                    </w:rPr>
                  </w:pPr>
                  <w:r>
                    <w:rPr>
                      <w:rFonts w:hint="eastAsia"/>
                      <w:color w:val="auto"/>
                      <w:szCs w:val="21"/>
                    </w:rPr>
                    <w:t>4</w:t>
                  </w:r>
                </w:p>
              </w:tc>
              <w:tc>
                <w:tcPr>
                  <w:tcW w:w="813" w:type="dxa"/>
                  <w:vAlign w:val="center"/>
                </w:tcPr>
                <w:p w14:paraId="17382A6B">
                  <w:pPr>
                    <w:widowControl/>
                    <w:jc w:val="center"/>
                    <w:rPr>
                      <w:color w:val="auto"/>
                      <w:szCs w:val="21"/>
                    </w:rPr>
                  </w:pPr>
                  <w:r>
                    <w:rPr>
                      <w:rFonts w:hint="eastAsia"/>
                      <w:color w:val="auto"/>
                      <w:szCs w:val="21"/>
                    </w:rPr>
                    <w:t>7</w:t>
                  </w:r>
                  <w:r>
                    <w:rPr>
                      <w:color w:val="auto"/>
                      <w:szCs w:val="21"/>
                    </w:rPr>
                    <w:t>5</w:t>
                  </w:r>
                </w:p>
              </w:tc>
              <w:tc>
                <w:tcPr>
                  <w:tcW w:w="525" w:type="dxa"/>
                  <w:vMerge w:val="continue"/>
                  <w:vAlign w:val="center"/>
                </w:tcPr>
                <w:p w14:paraId="17382A6C">
                  <w:pPr>
                    <w:widowControl/>
                    <w:jc w:val="center"/>
                    <w:rPr>
                      <w:color w:val="auto"/>
                      <w:szCs w:val="21"/>
                    </w:rPr>
                  </w:pPr>
                </w:p>
              </w:tc>
              <w:tc>
                <w:tcPr>
                  <w:tcW w:w="394" w:type="dxa"/>
                  <w:vAlign w:val="center"/>
                </w:tcPr>
                <w:p w14:paraId="17382A6D">
                  <w:pPr>
                    <w:widowControl/>
                    <w:adjustRightInd w:val="0"/>
                    <w:ind w:right="-42" w:rightChars="-20"/>
                    <w:jc w:val="center"/>
                    <w:textAlignment w:val="baseline"/>
                    <w:rPr>
                      <w:color w:val="auto"/>
                      <w:szCs w:val="21"/>
                    </w:rPr>
                  </w:pPr>
                  <w:r>
                    <w:rPr>
                      <w:rFonts w:hint="eastAsia"/>
                      <w:color w:val="auto"/>
                      <w:szCs w:val="21"/>
                    </w:rPr>
                    <w:t>7</w:t>
                  </w:r>
                </w:p>
              </w:tc>
              <w:tc>
                <w:tcPr>
                  <w:tcW w:w="431" w:type="dxa"/>
                  <w:vAlign w:val="center"/>
                </w:tcPr>
                <w:p w14:paraId="17382A6E">
                  <w:pPr>
                    <w:adjustRightInd w:val="0"/>
                    <w:ind w:right="-42" w:rightChars="-20"/>
                    <w:jc w:val="center"/>
                    <w:textAlignment w:val="baseline"/>
                    <w:rPr>
                      <w:color w:val="auto"/>
                      <w:szCs w:val="21"/>
                    </w:rPr>
                  </w:pPr>
                  <w:r>
                    <w:rPr>
                      <w:rFonts w:hint="eastAsia"/>
                      <w:color w:val="auto"/>
                      <w:szCs w:val="21"/>
                    </w:rPr>
                    <w:t>5</w:t>
                  </w:r>
                </w:p>
              </w:tc>
              <w:tc>
                <w:tcPr>
                  <w:tcW w:w="387" w:type="dxa"/>
                  <w:vAlign w:val="center"/>
                </w:tcPr>
                <w:p w14:paraId="17382A6F">
                  <w:pPr>
                    <w:widowControl/>
                    <w:adjustRightInd w:val="0"/>
                    <w:ind w:right="-42" w:rightChars="-20"/>
                    <w:jc w:val="center"/>
                    <w:textAlignment w:val="baseline"/>
                    <w:rPr>
                      <w:color w:val="auto"/>
                      <w:szCs w:val="21"/>
                    </w:rPr>
                  </w:pPr>
                  <w:r>
                    <w:rPr>
                      <w:rFonts w:hint="eastAsia"/>
                      <w:color w:val="auto"/>
                      <w:szCs w:val="21"/>
                    </w:rPr>
                    <w:t>1.5</w:t>
                  </w:r>
                </w:p>
              </w:tc>
              <w:tc>
                <w:tcPr>
                  <w:tcW w:w="600" w:type="dxa"/>
                  <w:vAlign w:val="center"/>
                </w:tcPr>
                <w:p w14:paraId="17382A70">
                  <w:pPr>
                    <w:widowControl/>
                    <w:adjustRightInd w:val="0"/>
                    <w:jc w:val="center"/>
                    <w:textAlignment w:val="baseline"/>
                    <w:rPr>
                      <w:color w:val="auto"/>
                      <w:szCs w:val="21"/>
                    </w:rPr>
                  </w:pPr>
                  <w:r>
                    <w:rPr>
                      <w:rFonts w:hint="eastAsia"/>
                      <w:color w:val="auto"/>
                      <w:szCs w:val="21"/>
                    </w:rPr>
                    <w:t>2</w:t>
                  </w:r>
                </w:p>
              </w:tc>
              <w:tc>
                <w:tcPr>
                  <w:tcW w:w="701" w:type="dxa"/>
                  <w:vAlign w:val="center"/>
                </w:tcPr>
                <w:p w14:paraId="17382A71">
                  <w:pPr>
                    <w:adjustRightInd w:val="0"/>
                    <w:snapToGrid w:val="0"/>
                    <w:jc w:val="center"/>
                    <w:rPr>
                      <w:color w:val="auto"/>
                      <w:szCs w:val="21"/>
                    </w:rPr>
                  </w:pPr>
                  <w:r>
                    <w:rPr>
                      <w:rFonts w:hint="eastAsia"/>
                      <w:color w:val="auto"/>
                      <w:szCs w:val="21"/>
                    </w:rPr>
                    <w:t xml:space="preserve">75.0 </w:t>
                  </w:r>
                </w:p>
              </w:tc>
              <w:tc>
                <w:tcPr>
                  <w:tcW w:w="675" w:type="dxa"/>
                  <w:vMerge w:val="continue"/>
                  <w:vAlign w:val="center"/>
                </w:tcPr>
                <w:p w14:paraId="17382A72">
                  <w:pPr>
                    <w:widowControl/>
                    <w:adjustRightInd w:val="0"/>
                    <w:jc w:val="center"/>
                    <w:textAlignment w:val="baseline"/>
                    <w:rPr>
                      <w:color w:val="auto"/>
                      <w:szCs w:val="21"/>
                    </w:rPr>
                  </w:pPr>
                </w:p>
              </w:tc>
              <w:tc>
                <w:tcPr>
                  <w:tcW w:w="787" w:type="dxa"/>
                  <w:vAlign w:val="center"/>
                </w:tcPr>
                <w:p w14:paraId="17382A73">
                  <w:pPr>
                    <w:widowControl/>
                    <w:adjustRightInd w:val="0"/>
                    <w:ind w:right="-42" w:rightChars="-20"/>
                    <w:jc w:val="center"/>
                    <w:textAlignment w:val="baseline"/>
                    <w:rPr>
                      <w:color w:val="auto"/>
                      <w:szCs w:val="21"/>
                    </w:rPr>
                  </w:pPr>
                  <w:r>
                    <w:rPr>
                      <w:color w:val="auto"/>
                      <w:szCs w:val="21"/>
                    </w:rPr>
                    <w:t>25</w:t>
                  </w:r>
                </w:p>
              </w:tc>
              <w:tc>
                <w:tcPr>
                  <w:tcW w:w="743" w:type="dxa"/>
                  <w:vAlign w:val="center"/>
                </w:tcPr>
                <w:p w14:paraId="17382A74">
                  <w:pPr>
                    <w:adjustRightInd w:val="0"/>
                    <w:snapToGrid w:val="0"/>
                    <w:jc w:val="center"/>
                    <w:rPr>
                      <w:color w:val="auto"/>
                      <w:szCs w:val="21"/>
                    </w:rPr>
                  </w:pPr>
                  <w:r>
                    <w:rPr>
                      <w:rFonts w:hint="eastAsia"/>
                      <w:color w:val="auto"/>
                      <w:szCs w:val="21"/>
                    </w:rPr>
                    <w:t xml:space="preserve">50.0 </w:t>
                  </w:r>
                </w:p>
              </w:tc>
              <w:tc>
                <w:tcPr>
                  <w:tcW w:w="445" w:type="dxa"/>
                  <w:vMerge w:val="continue"/>
                  <w:vAlign w:val="center"/>
                </w:tcPr>
                <w:p w14:paraId="17382A75">
                  <w:pPr>
                    <w:widowControl/>
                    <w:jc w:val="center"/>
                    <w:rPr>
                      <w:color w:val="auto"/>
                      <w:szCs w:val="21"/>
                    </w:rPr>
                  </w:pPr>
                </w:p>
              </w:tc>
            </w:tr>
            <w:tr w14:paraId="17382A85">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cantSplit/>
                <w:trHeight w:val="408" w:hRule="atLeast"/>
                <w:jc w:val="center"/>
              </w:trPr>
              <w:tc>
                <w:tcPr>
                  <w:tcW w:w="409" w:type="dxa"/>
                  <w:vAlign w:val="center"/>
                </w:tcPr>
                <w:p w14:paraId="17382A77">
                  <w:pPr>
                    <w:adjustRightInd w:val="0"/>
                    <w:ind w:right="-42" w:rightChars="-20"/>
                    <w:jc w:val="center"/>
                    <w:textAlignment w:val="baseline"/>
                    <w:rPr>
                      <w:color w:val="auto"/>
                      <w:szCs w:val="21"/>
                    </w:rPr>
                  </w:pPr>
                  <w:r>
                    <w:rPr>
                      <w:color w:val="auto"/>
                      <w:szCs w:val="21"/>
                    </w:rPr>
                    <w:t>6</w:t>
                  </w:r>
                </w:p>
              </w:tc>
              <w:tc>
                <w:tcPr>
                  <w:tcW w:w="912" w:type="dxa"/>
                  <w:vAlign w:val="center"/>
                </w:tcPr>
                <w:p w14:paraId="17382A78">
                  <w:pPr>
                    <w:autoSpaceDE w:val="0"/>
                    <w:autoSpaceDN w:val="0"/>
                    <w:adjustRightInd w:val="0"/>
                    <w:snapToGrid w:val="0"/>
                    <w:jc w:val="center"/>
                    <w:rPr>
                      <w:color w:val="auto"/>
                      <w:szCs w:val="21"/>
                    </w:rPr>
                  </w:pPr>
                  <w:r>
                    <w:rPr>
                      <w:rFonts w:hint="eastAsia"/>
                      <w:color w:val="auto"/>
                      <w:szCs w:val="21"/>
                    </w:rPr>
                    <w:t>静电喷塑设备</w:t>
                  </w:r>
                </w:p>
              </w:tc>
              <w:tc>
                <w:tcPr>
                  <w:tcW w:w="637" w:type="dxa"/>
                  <w:vAlign w:val="center"/>
                </w:tcPr>
                <w:p w14:paraId="17382A79">
                  <w:pPr>
                    <w:snapToGrid w:val="0"/>
                    <w:ind w:right="36" w:rightChars="17"/>
                    <w:jc w:val="center"/>
                    <w:rPr>
                      <w:color w:val="auto"/>
                      <w:szCs w:val="21"/>
                    </w:rPr>
                  </w:pPr>
                  <w:r>
                    <w:rPr>
                      <w:rFonts w:hint="eastAsia"/>
                      <w:color w:val="auto"/>
                      <w:szCs w:val="21"/>
                    </w:rPr>
                    <w:t>1</w:t>
                  </w:r>
                </w:p>
              </w:tc>
              <w:tc>
                <w:tcPr>
                  <w:tcW w:w="813" w:type="dxa"/>
                  <w:vAlign w:val="center"/>
                </w:tcPr>
                <w:p w14:paraId="17382A7A">
                  <w:pPr>
                    <w:widowControl/>
                    <w:jc w:val="center"/>
                    <w:rPr>
                      <w:color w:val="auto"/>
                      <w:szCs w:val="21"/>
                    </w:rPr>
                  </w:pPr>
                  <w:r>
                    <w:rPr>
                      <w:color w:val="auto"/>
                      <w:szCs w:val="21"/>
                    </w:rPr>
                    <w:t>8</w:t>
                  </w:r>
                  <w:r>
                    <w:rPr>
                      <w:rFonts w:hint="eastAsia"/>
                      <w:color w:val="auto"/>
                      <w:szCs w:val="21"/>
                    </w:rPr>
                    <w:t>0</w:t>
                  </w:r>
                </w:p>
              </w:tc>
              <w:tc>
                <w:tcPr>
                  <w:tcW w:w="525" w:type="dxa"/>
                  <w:vMerge w:val="continue"/>
                  <w:vAlign w:val="center"/>
                </w:tcPr>
                <w:p w14:paraId="17382A7B">
                  <w:pPr>
                    <w:widowControl/>
                    <w:jc w:val="center"/>
                    <w:rPr>
                      <w:color w:val="auto"/>
                      <w:szCs w:val="21"/>
                    </w:rPr>
                  </w:pPr>
                </w:p>
              </w:tc>
              <w:tc>
                <w:tcPr>
                  <w:tcW w:w="394" w:type="dxa"/>
                  <w:vAlign w:val="center"/>
                </w:tcPr>
                <w:p w14:paraId="17382A7C">
                  <w:pPr>
                    <w:widowControl/>
                    <w:adjustRightInd w:val="0"/>
                    <w:ind w:right="-42" w:rightChars="-20"/>
                    <w:jc w:val="center"/>
                    <w:textAlignment w:val="baseline"/>
                    <w:rPr>
                      <w:color w:val="auto"/>
                      <w:szCs w:val="21"/>
                    </w:rPr>
                  </w:pPr>
                  <w:r>
                    <w:rPr>
                      <w:rFonts w:hint="eastAsia"/>
                      <w:color w:val="auto"/>
                      <w:szCs w:val="21"/>
                    </w:rPr>
                    <w:t>5</w:t>
                  </w:r>
                </w:p>
              </w:tc>
              <w:tc>
                <w:tcPr>
                  <w:tcW w:w="431" w:type="dxa"/>
                  <w:vAlign w:val="center"/>
                </w:tcPr>
                <w:p w14:paraId="17382A7D">
                  <w:pPr>
                    <w:adjustRightInd w:val="0"/>
                    <w:ind w:right="-42" w:rightChars="-20"/>
                    <w:jc w:val="center"/>
                    <w:textAlignment w:val="baseline"/>
                    <w:rPr>
                      <w:color w:val="auto"/>
                      <w:szCs w:val="21"/>
                    </w:rPr>
                  </w:pPr>
                  <w:r>
                    <w:rPr>
                      <w:rFonts w:hint="eastAsia"/>
                      <w:color w:val="auto"/>
                      <w:szCs w:val="21"/>
                    </w:rPr>
                    <w:t>16</w:t>
                  </w:r>
                </w:p>
              </w:tc>
              <w:tc>
                <w:tcPr>
                  <w:tcW w:w="387" w:type="dxa"/>
                  <w:vAlign w:val="center"/>
                </w:tcPr>
                <w:p w14:paraId="17382A7E">
                  <w:pPr>
                    <w:widowControl/>
                    <w:adjustRightInd w:val="0"/>
                    <w:ind w:right="-42" w:rightChars="-20"/>
                    <w:jc w:val="center"/>
                    <w:textAlignment w:val="baseline"/>
                    <w:rPr>
                      <w:color w:val="auto"/>
                      <w:szCs w:val="21"/>
                    </w:rPr>
                  </w:pPr>
                  <w:r>
                    <w:rPr>
                      <w:rFonts w:hint="eastAsia"/>
                      <w:color w:val="auto"/>
                      <w:szCs w:val="21"/>
                    </w:rPr>
                    <w:t>1.5</w:t>
                  </w:r>
                </w:p>
              </w:tc>
              <w:tc>
                <w:tcPr>
                  <w:tcW w:w="600" w:type="dxa"/>
                  <w:vAlign w:val="center"/>
                </w:tcPr>
                <w:p w14:paraId="17382A7F">
                  <w:pPr>
                    <w:widowControl/>
                    <w:adjustRightInd w:val="0"/>
                    <w:jc w:val="center"/>
                    <w:textAlignment w:val="baseline"/>
                    <w:rPr>
                      <w:color w:val="auto"/>
                      <w:szCs w:val="21"/>
                    </w:rPr>
                  </w:pPr>
                  <w:r>
                    <w:rPr>
                      <w:rFonts w:hint="eastAsia"/>
                      <w:color w:val="auto"/>
                      <w:szCs w:val="21"/>
                    </w:rPr>
                    <w:t>2</w:t>
                  </w:r>
                </w:p>
              </w:tc>
              <w:tc>
                <w:tcPr>
                  <w:tcW w:w="701" w:type="dxa"/>
                  <w:vAlign w:val="center"/>
                </w:tcPr>
                <w:p w14:paraId="17382A80">
                  <w:pPr>
                    <w:adjustRightInd w:val="0"/>
                    <w:snapToGrid w:val="0"/>
                    <w:jc w:val="center"/>
                    <w:rPr>
                      <w:color w:val="auto"/>
                      <w:szCs w:val="21"/>
                    </w:rPr>
                  </w:pPr>
                  <w:r>
                    <w:rPr>
                      <w:rFonts w:hint="eastAsia"/>
                      <w:color w:val="auto"/>
                      <w:szCs w:val="21"/>
                    </w:rPr>
                    <w:t xml:space="preserve">74.0 </w:t>
                  </w:r>
                </w:p>
              </w:tc>
              <w:tc>
                <w:tcPr>
                  <w:tcW w:w="675" w:type="dxa"/>
                  <w:vMerge w:val="continue"/>
                  <w:vAlign w:val="center"/>
                </w:tcPr>
                <w:p w14:paraId="17382A81">
                  <w:pPr>
                    <w:widowControl/>
                    <w:adjustRightInd w:val="0"/>
                    <w:jc w:val="center"/>
                    <w:textAlignment w:val="baseline"/>
                    <w:rPr>
                      <w:color w:val="auto"/>
                      <w:szCs w:val="21"/>
                    </w:rPr>
                  </w:pPr>
                </w:p>
              </w:tc>
              <w:tc>
                <w:tcPr>
                  <w:tcW w:w="787" w:type="dxa"/>
                  <w:vAlign w:val="center"/>
                </w:tcPr>
                <w:p w14:paraId="17382A82">
                  <w:pPr>
                    <w:widowControl/>
                    <w:adjustRightInd w:val="0"/>
                    <w:ind w:right="-42" w:rightChars="-20"/>
                    <w:jc w:val="center"/>
                    <w:textAlignment w:val="baseline"/>
                    <w:rPr>
                      <w:color w:val="auto"/>
                      <w:szCs w:val="21"/>
                    </w:rPr>
                  </w:pPr>
                  <w:r>
                    <w:rPr>
                      <w:color w:val="auto"/>
                      <w:szCs w:val="21"/>
                    </w:rPr>
                    <w:t>25</w:t>
                  </w:r>
                </w:p>
              </w:tc>
              <w:tc>
                <w:tcPr>
                  <w:tcW w:w="743" w:type="dxa"/>
                  <w:vAlign w:val="center"/>
                </w:tcPr>
                <w:p w14:paraId="17382A83">
                  <w:pPr>
                    <w:adjustRightInd w:val="0"/>
                    <w:snapToGrid w:val="0"/>
                    <w:jc w:val="center"/>
                    <w:rPr>
                      <w:color w:val="auto"/>
                      <w:szCs w:val="21"/>
                    </w:rPr>
                  </w:pPr>
                  <w:r>
                    <w:rPr>
                      <w:rFonts w:hint="eastAsia"/>
                      <w:color w:val="auto"/>
                      <w:szCs w:val="21"/>
                    </w:rPr>
                    <w:t xml:space="preserve">49.0 </w:t>
                  </w:r>
                </w:p>
              </w:tc>
              <w:tc>
                <w:tcPr>
                  <w:tcW w:w="445" w:type="dxa"/>
                  <w:vMerge w:val="continue"/>
                  <w:vAlign w:val="center"/>
                </w:tcPr>
                <w:p w14:paraId="17382A84">
                  <w:pPr>
                    <w:widowControl/>
                    <w:jc w:val="center"/>
                    <w:rPr>
                      <w:color w:val="auto"/>
                      <w:szCs w:val="21"/>
                    </w:rPr>
                  </w:pPr>
                </w:p>
              </w:tc>
            </w:tr>
            <w:tr w14:paraId="17382A94">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cantSplit/>
                <w:trHeight w:val="408" w:hRule="atLeast"/>
                <w:jc w:val="center"/>
              </w:trPr>
              <w:tc>
                <w:tcPr>
                  <w:tcW w:w="409" w:type="dxa"/>
                  <w:vAlign w:val="center"/>
                </w:tcPr>
                <w:p w14:paraId="17382A86">
                  <w:pPr>
                    <w:adjustRightInd w:val="0"/>
                    <w:ind w:right="-42" w:rightChars="-20"/>
                    <w:jc w:val="center"/>
                    <w:textAlignment w:val="baseline"/>
                    <w:rPr>
                      <w:color w:val="auto"/>
                      <w:szCs w:val="21"/>
                    </w:rPr>
                  </w:pPr>
                  <w:r>
                    <w:rPr>
                      <w:color w:val="auto"/>
                      <w:szCs w:val="21"/>
                    </w:rPr>
                    <w:t>7</w:t>
                  </w:r>
                </w:p>
              </w:tc>
              <w:tc>
                <w:tcPr>
                  <w:tcW w:w="912" w:type="dxa"/>
                  <w:vAlign w:val="center"/>
                </w:tcPr>
                <w:p w14:paraId="17382A87">
                  <w:pPr>
                    <w:autoSpaceDE w:val="0"/>
                    <w:autoSpaceDN w:val="0"/>
                    <w:adjustRightInd w:val="0"/>
                    <w:snapToGrid w:val="0"/>
                    <w:jc w:val="center"/>
                    <w:rPr>
                      <w:color w:val="auto"/>
                      <w:szCs w:val="21"/>
                    </w:rPr>
                  </w:pPr>
                  <w:r>
                    <w:rPr>
                      <w:rFonts w:hint="eastAsia"/>
                      <w:color w:val="auto"/>
                      <w:szCs w:val="21"/>
                    </w:rPr>
                    <w:t>电烘箱</w:t>
                  </w:r>
                </w:p>
              </w:tc>
              <w:tc>
                <w:tcPr>
                  <w:tcW w:w="637" w:type="dxa"/>
                  <w:vAlign w:val="center"/>
                </w:tcPr>
                <w:p w14:paraId="17382A88">
                  <w:pPr>
                    <w:snapToGrid w:val="0"/>
                    <w:ind w:right="36" w:rightChars="17"/>
                    <w:jc w:val="center"/>
                    <w:rPr>
                      <w:color w:val="auto"/>
                      <w:szCs w:val="21"/>
                    </w:rPr>
                  </w:pPr>
                  <w:r>
                    <w:rPr>
                      <w:rFonts w:hint="eastAsia"/>
                      <w:color w:val="auto"/>
                      <w:szCs w:val="21"/>
                    </w:rPr>
                    <w:t>1</w:t>
                  </w:r>
                </w:p>
              </w:tc>
              <w:tc>
                <w:tcPr>
                  <w:tcW w:w="813" w:type="dxa"/>
                  <w:vAlign w:val="center"/>
                </w:tcPr>
                <w:p w14:paraId="17382A89">
                  <w:pPr>
                    <w:adjustRightInd w:val="0"/>
                    <w:snapToGrid w:val="0"/>
                    <w:ind w:left="-105" w:leftChars="-50" w:right="-105" w:rightChars="-50"/>
                    <w:jc w:val="center"/>
                    <w:rPr>
                      <w:color w:val="auto"/>
                      <w:szCs w:val="21"/>
                    </w:rPr>
                  </w:pPr>
                  <w:r>
                    <w:rPr>
                      <w:rFonts w:hint="eastAsia"/>
                      <w:color w:val="auto"/>
                      <w:szCs w:val="21"/>
                    </w:rPr>
                    <w:t>80</w:t>
                  </w:r>
                </w:p>
              </w:tc>
              <w:tc>
                <w:tcPr>
                  <w:tcW w:w="525" w:type="dxa"/>
                  <w:vMerge w:val="continue"/>
                  <w:vAlign w:val="center"/>
                </w:tcPr>
                <w:p w14:paraId="17382A8A">
                  <w:pPr>
                    <w:widowControl/>
                    <w:jc w:val="center"/>
                    <w:rPr>
                      <w:color w:val="auto"/>
                      <w:szCs w:val="21"/>
                    </w:rPr>
                  </w:pPr>
                </w:p>
              </w:tc>
              <w:tc>
                <w:tcPr>
                  <w:tcW w:w="394" w:type="dxa"/>
                  <w:vAlign w:val="center"/>
                </w:tcPr>
                <w:p w14:paraId="17382A8B">
                  <w:pPr>
                    <w:adjustRightInd w:val="0"/>
                    <w:snapToGrid w:val="0"/>
                    <w:jc w:val="center"/>
                    <w:rPr>
                      <w:color w:val="auto"/>
                      <w:szCs w:val="21"/>
                    </w:rPr>
                  </w:pPr>
                  <w:r>
                    <w:rPr>
                      <w:rFonts w:hint="eastAsia"/>
                      <w:color w:val="auto"/>
                      <w:szCs w:val="21"/>
                    </w:rPr>
                    <w:t>3</w:t>
                  </w:r>
                </w:p>
              </w:tc>
              <w:tc>
                <w:tcPr>
                  <w:tcW w:w="431" w:type="dxa"/>
                  <w:vAlign w:val="center"/>
                </w:tcPr>
                <w:p w14:paraId="17382A8C">
                  <w:pPr>
                    <w:adjustRightInd w:val="0"/>
                    <w:snapToGrid w:val="0"/>
                    <w:jc w:val="center"/>
                    <w:rPr>
                      <w:color w:val="auto"/>
                      <w:szCs w:val="21"/>
                    </w:rPr>
                  </w:pPr>
                  <w:r>
                    <w:rPr>
                      <w:rFonts w:hint="eastAsia"/>
                      <w:color w:val="auto"/>
                      <w:szCs w:val="21"/>
                    </w:rPr>
                    <w:t>4</w:t>
                  </w:r>
                </w:p>
              </w:tc>
              <w:tc>
                <w:tcPr>
                  <w:tcW w:w="387" w:type="dxa"/>
                  <w:vAlign w:val="center"/>
                </w:tcPr>
                <w:p w14:paraId="17382A8D">
                  <w:pPr>
                    <w:adjustRightInd w:val="0"/>
                    <w:snapToGrid w:val="0"/>
                    <w:jc w:val="center"/>
                    <w:rPr>
                      <w:color w:val="auto"/>
                      <w:szCs w:val="21"/>
                    </w:rPr>
                  </w:pPr>
                  <w:r>
                    <w:rPr>
                      <w:rFonts w:hint="eastAsia"/>
                      <w:color w:val="auto"/>
                      <w:szCs w:val="21"/>
                    </w:rPr>
                    <w:t>1.5</w:t>
                  </w:r>
                </w:p>
              </w:tc>
              <w:tc>
                <w:tcPr>
                  <w:tcW w:w="600" w:type="dxa"/>
                  <w:vAlign w:val="center"/>
                </w:tcPr>
                <w:p w14:paraId="17382A8E">
                  <w:pPr>
                    <w:widowControl/>
                    <w:adjustRightInd w:val="0"/>
                    <w:jc w:val="center"/>
                    <w:textAlignment w:val="baseline"/>
                    <w:rPr>
                      <w:color w:val="auto"/>
                      <w:szCs w:val="21"/>
                    </w:rPr>
                  </w:pPr>
                  <w:r>
                    <w:rPr>
                      <w:rFonts w:hint="eastAsia"/>
                      <w:color w:val="auto"/>
                      <w:szCs w:val="21"/>
                    </w:rPr>
                    <w:t>3</w:t>
                  </w:r>
                </w:p>
              </w:tc>
              <w:tc>
                <w:tcPr>
                  <w:tcW w:w="701" w:type="dxa"/>
                  <w:vAlign w:val="center"/>
                </w:tcPr>
                <w:p w14:paraId="17382A8F">
                  <w:pPr>
                    <w:adjustRightInd w:val="0"/>
                    <w:snapToGrid w:val="0"/>
                    <w:jc w:val="center"/>
                    <w:rPr>
                      <w:color w:val="auto"/>
                      <w:szCs w:val="21"/>
                    </w:rPr>
                  </w:pPr>
                  <w:r>
                    <w:rPr>
                      <w:rFonts w:hint="eastAsia"/>
                      <w:color w:val="auto"/>
                      <w:szCs w:val="21"/>
                    </w:rPr>
                    <w:t xml:space="preserve">70.5 </w:t>
                  </w:r>
                </w:p>
              </w:tc>
              <w:tc>
                <w:tcPr>
                  <w:tcW w:w="675" w:type="dxa"/>
                  <w:vMerge w:val="continue"/>
                  <w:vAlign w:val="center"/>
                </w:tcPr>
                <w:p w14:paraId="17382A90">
                  <w:pPr>
                    <w:widowControl/>
                    <w:adjustRightInd w:val="0"/>
                    <w:jc w:val="center"/>
                    <w:textAlignment w:val="baseline"/>
                    <w:rPr>
                      <w:color w:val="auto"/>
                      <w:szCs w:val="21"/>
                    </w:rPr>
                  </w:pPr>
                </w:p>
              </w:tc>
              <w:tc>
                <w:tcPr>
                  <w:tcW w:w="787" w:type="dxa"/>
                  <w:vAlign w:val="center"/>
                </w:tcPr>
                <w:p w14:paraId="17382A91">
                  <w:pPr>
                    <w:widowControl/>
                    <w:adjustRightInd w:val="0"/>
                    <w:ind w:right="-42" w:rightChars="-20"/>
                    <w:jc w:val="center"/>
                    <w:textAlignment w:val="baseline"/>
                    <w:rPr>
                      <w:color w:val="auto"/>
                      <w:szCs w:val="21"/>
                    </w:rPr>
                  </w:pPr>
                  <w:r>
                    <w:rPr>
                      <w:color w:val="auto"/>
                      <w:szCs w:val="21"/>
                    </w:rPr>
                    <w:t>25</w:t>
                  </w:r>
                </w:p>
              </w:tc>
              <w:tc>
                <w:tcPr>
                  <w:tcW w:w="743" w:type="dxa"/>
                  <w:vAlign w:val="center"/>
                </w:tcPr>
                <w:p w14:paraId="17382A92">
                  <w:pPr>
                    <w:adjustRightInd w:val="0"/>
                    <w:snapToGrid w:val="0"/>
                    <w:jc w:val="center"/>
                    <w:rPr>
                      <w:color w:val="auto"/>
                      <w:szCs w:val="21"/>
                    </w:rPr>
                  </w:pPr>
                  <w:r>
                    <w:rPr>
                      <w:rFonts w:hint="eastAsia"/>
                      <w:color w:val="auto"/>
                      <w:szCs w:val="21"/>
                    </w:rPr>
                    <w:t xml:space="preserve">45.5 </w:t>
                  </w:r>
                </w:p>
              </w:tc>
              <w:tc>
                <w:tcPr>
                  <w:tcW w:w="445" w:type="dxa"/>
                  <w:vMerge w:val="continue"/>
                  <w:vAlign w:val="center"/>
                </w:tcPr>
                <w:p w14:paraId="17382A93">
                  <w:pPr>
                    <w:widowControl/>
                    <w:jc w:val="center"/>
                    <w:rPr>
                      <w:color w:val="auto"/>
                      <w:szCs w:val="21"/>
                    </w:rPr>
                  </w:pPr>
                </w:p>
              </w:tc>
            </w:tr>
            <w:tr w14:paraId="17382AA3">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28" w:type="dxa"/>
                  <w:bottom w:w="0" w:type="dxa"/>
                  <w:right w:w="28" w:type="dxa"/>
                </w:tblCellMar>
              </w:tblPrEx>
              <w:trPr>
                <w:cantSplit/>
                <w:trHeight w:val="408" w:hRule="atLeast"/>
                <w:jc w:val="center"/>
              </w:trPr>
              <w:tc>
                <w:tcPr>
                  <w:tcW w:w="409" w:type="dxa"/>
                  <w:vAlign w:val="center"/>
                </w:tcPr>
                <w:p w14:paraId="17382A95">
                  <w:pPr>
                    <w:adjustRightInd w:val="0"/>
                    <w:ind w:right="-42" w:rightChars="-20"/>
                    <w:jc w:val="center"/>
                    <w:textAlignment w:val="baseline"/>
                    <w:rPr>
                      <w:color w:val="auto"/>
                      <w:szCs w:val="21"/>
                    </w:rPr>
                  </w:pPr>
                  <w:r>
                    <w:rPr>
                      <w:color w:val="auto"/>
                      <w:szCs w:val="21"/>
                    </w:rPr>
                    <w:t>8</w:t>
                  </w:r>
                </w:p>
              </w:tc>
              <w:tc>
                <w:tcPr>
                  <w:tcW w:w="912" w:type="dxa"/>
                  <w:vAlign w:val="center"/>
                </w:tcPr>
                <w:p w14:paraId="17382A96">
                  <w:pPr>
                    <w:autoSpaceDE w:val="0"/>
                    <w:autoSpaceDN w:val="0"/>
                    <w:adjustRightInd w:val="0"/>
                    <w:snapToGrid w:val="0"/>
                    <w:jc w:val="center"/>
                    <w:rPr>
                      <w:color w:val="auto"/>
                      <w:szCs w:val="21"/>
                    </w:rPr>
                  </w:pPr>
                  <w:r>
                    <w:rPr>
                      <w:rFonts w:hint="eastAsia"/>
                      <w:color w:val="auto"/>
                      <w:szCs w:val="21"/>
                    </w:rPr>
                    <w:t>抛丸机</w:t>
                  </w:r>
                </w:p>
              </w:tc>
              <w:tc>
                <w:tcPr>
                  <w:tcW w:w="637" w:type="dxa"/>
                  <w:vAlign w:val="center"/>
                </w:tcPr>
                <w:p w14:paraId="17382A97">
                  <w:pPr>
                    <w:snapToGrid w:val="0"/>
                    <w:ind w:right="36" w:rightChars="17"/>
                    <w:jc w:val="center"/>
                    <w:rPr>
                      <w:color w:val="auto"/>
                      <w:szCs w:val="21"/>
                    </w:rPr>
                  </w:pPr>
                  <w:r>
                    <w:rPr>
                      <w:rFonts w:hint="eastAsia"/>
                      <w:color w:val="auto"/>
                      <w:szCs w:val="21"/>
                    </w:rPr>
                    <w:t>2</w:t>
                  </w:r>
                </w:p>
              </w:tc>
              <w:tc>
                <w:tcPr>
                  <w:tcW w:w="813" w:type="dxa"/>
                  <w:vAlign w:val="center"/>
                </w:tcPr>
                <w:p w14:paraId="17382A98">
                  <w:pPr>
                    <w:adjustRightInd w:val="0"/>
                    <w:snapToGrid w:val="0"/>
                    <w:ind w:left="-105" w:leftChars="-50" w:right="-105" w:rightChars="-50"/>
                    <w:jc w:val="center"/>
                    <w:rPr>
                      <w:color w:val="auto"/>
                      <w:szCs w:val="21"/>
                    </w:rPr>
                  </w:pPr>
                  <w:r>
                    <w:rPr>
                      <w:rFonts w:hint="eastAsia"/>
                      <w:color w:val="auto"/>
                      <w:szCs w:val="21"/>
                    </w:rPr>
                    <w:t>7</w:t>
                  </w:r>
                  <w:r>
                    <w:rPr>
                      <w:color w:val="auto"/>
                      <w:szCs w:val="21"/>
                    </w:rPr>
                    <w:t>5</w:t>
                  </w:r>
                </w:p>
              </w:tc>
              <w:tc>
                <w:tcPr>
                  <w:tcW w:w="525" w:type="dxa"/>
                  <w:vMerge w:val="continue"/>
                  <w:vAlign w:val="center"/>
                </w:tcPr>
                <w:p w14:paraId="17382A99">
                  <w:pPr>
                    <w:widowControl/>
                    <w:jc w:val="center"/>
                    <w:rPr>
                      <w:color w:val="auto"/>
                      <w:szCs w:val="21"/>
                    </w:rPr>
                  </w:pPr>
                </w:p>
              </w:tc>
              <w:tc>
                <w:tcPr>
                  <w:tcW w:w="394" w:type="dxa"/>
                  <w:vAlign w:val="center"/>
                </w:tcPr>
                <w:p w14:paraId="17382A9A">
                  <w:pPr>
                    <w:adjustRightInd w:val="0"/>
                    <w:snapToGrid w:val="0"/>
                    <w:jc w:val="center"/>
                    <w:rPr>
                      <w:color w:val="auto"/>
                      <w:szCs w:val="21"/>
                    </w:rPr>
                  </w:pPr>
                  <w:r>
                    <w:rPr>
                      <w:rFonts w:hint="eastAsia"/>
                      <w:color w:val="auto"/>
                      <w:szCs w:val="21"/>
                    </w:rPr>
                    <w:t>12</w:t>
                  </w:r>
                </w:p>
              </w:tc>
              <w:tc>
                <w:tcPr>
                  <w:tcW w:w="431" w:type="dxa"/>
                  <w:vAlign w:val="center"/>
                </w:tcPr>
                <w:p w14:paraId="17382A9B">
                  <w:pPr>
                    <w:adjustRightInd w:val="0"/>
                    <w:snapToGrid w:val="0"/>
                    <w:jc w:val="center"/>
                    <w:rPr>
                      <w:color w:val="auto"/>
                      <w:szCs w:val="21"/>
                    </w:rPr>
                  </w:pPr>
                  <w:r>
                    <w:rPr>
                      <w:rFonts w:hint="eastAsia"/>
                      <w:color w:val="auto"/>
                      <w:szCs w:val="21"/>
                    </w:rPr>
                    <w:t>8</w:t>
                  </w:r>
                </w:p>
              </w:tc>
              <w:tc>
                <w:tcPr>
                  <w:tcW w:w="387" w:type="dxa"/>
                  <w:vAlign w:val="center"/>
                </w:tcPr>
                <w:p w14:paraId="17382A9C">
                  <w:pPr>
                    <w:adjustRightInd w:val="0"/>
                    <w:snapToGrid w:val="0"/>
                    <w:jc w:val="center"/>
                    <w:rPr>
                      <w:color w:val="auto"/>
                      <w:szCs w:val="21"/>
                    </w:rPr>
                  </w:pPr>
                  <w:r>
                    <w:rPr>
                      <w:rFonts w:hint="eastAsia"/>
                      <w:color w:val="auto"/>
                      <w:szCs w:val="21"/>
                    </w:rPr>
                    <w:t>1.5</w:t>
                  </w:r>
                </w:p>
              </w:tc>
              <w:tc>
                <w:tcPr>
                  <w:tcW w:w="600" w:type="dxa"/>
                  <w:vAlign w:val="center"/>
                </w:tcPr>
                <w:p w14:paraId="17382A9D">
                  <w:pPr>
                    <w:widowControl/>
                    <w:adjustRightInd w:val="0"/>
                    <w:jc w:val="center"/>
                    <w:textAlignment w:val="baseline"/>
                    <w:rPr>
                      <w:color w:val="auto"/>
                      <w:szCs w:val="21"/>
                    </w:rPr>
                  </w:pPr>
                  <w:r>
                    <w:rPr>
                      <w:rFonts w:hint="eastAsia"/>
                      <w:color w:val="auto"/>
                      <w:szCs w:val="21"/>
                    </w:rPr>
                    <w:t>2</w:t>
                  </w:r>
                </w:p>
              </w:tc>
              <w:tc>
                <w:tcPr>
                  <w:tcW w:w="701" w:type="dxa"/>
                  <w:vAlign w:val="center"/>
                </w:tcPr>
                <w:p w14:paraId="17382A9E">
                  <w:pPr>
                    <w:adjustRightInd w:val="0"/>
                    <w:snapToGrid w:val="0"/>
                    <w:jc w:val="center"/>
                    <w:rPr>
                      <w:color w:val="auto"/>
                      <w:szCs w:val="21"/>
                    </w:rPr>
                  </w:pPr>
                  <w:r>
                    <w:rPr>
                      <w:rFonts w:hint="eastAsia"/>
                      <w:color w:val="auto"/>
                      <w:szCs w:val="21"/>
                    </w:rPr>
                    <w:t xml:space="preserve">78.0 </w:t>
                  </w:r>
                </w:p>
              </w:tc>
              <w:tc>
                <w:tcPr>
                  <w:tcW w:w="675" w:type="dxa"/>
                  <w:vMerge w:val="continue"/>
                  <w:vAlign w:val="center"/>
                </w:tcPr>
                <w:p w14:paraId="17382A9F">
                  <w:pPr>
                    <w:widowControl/>
                    <w:adjustRightInd w:val="0"/>
                    <w:jc w:val="center"/>
                    <w:textAlignment w:val="baseline"/>
                    <w:rPr>
                      <w:color w:val="auto"/>
                      <w:szCs w:val="21"/>
                    </w:rPr>
                  </w:pPr>
                </w:p>
              </w:tc>
              <w:tc>
                <w:tcPr>
                  <w:tcW w:w="787" w:type="dxa"/>
                  <w:vAlign w:val="center"/>
                </w:tcPr>
                <w:p w14:paraId="17382AA0">
                  <w:pPr>
                    <w:widowControl/>
                    <w:adjustRightInd w:val="0"/>
                    <w:ind w:right="-42" w:rightChars="-20"/>
                    <w:jc w:val="center"/>
                    <w:textAlignment w:val="baseline"/>
                    <w:rPr>
                      <w:color w:val="auto"/>
                      <w:szCs w:val="21"/>
                    </w:rPr>
                  </w:pPr>
                  <w:r>
                    <w:rPr>
                      <w:color w:val="auto"/>
                      <w:szCs w:val="21"/>
                    </w:rPr>
                    <w:t>25</w:t>
                  </w:r>
                </w:p>
              </w:tc>
              <w:tc>
                <w:tcPr>
                  <w:tcW w:w="743" w:type="dxa"/>
                  <w:vAlign w:val="center"/>
                </w:tcPr>
                <w:p w14:paraId="17382AA1">
                  <w:pPr>
                    <w:adjustRightInd w:val="0"/>
                    <w:snapToGrid w:val="0"/>
                    <w:jc w:val="center"/>
                    <w:rPr>
                      <w:color w:val="auto"/>
                      <w:szCs w:val="21"/>
                    </w:rPr>
                  </w:pPr>
                  <w:r>
                    <w:rPr>
                      <w:rFonts w:hint="eastAsia"/>
                      <w:color w:val="auto"/>
                      <w:szCs w:val="21"/>
                    </w:rPr>
                    <w:t xml:space="preserve">53.0 </w:t>
                  </w:r>
                </w:p>
              </w:tc>
              <w:tc>
                <w:tcPr>
                  <w:tcW w:w="445" w:type="dxa"/>
                  <w:vMerge w:val="continue"/>
                  <w:vAlign w:val="center"/>
                </w:tcPr>
                <w:p w14:paraId="17382AA2">
                  <w:pPr>
                    <w:widowControl/>
                    <w:jc w:val="center"/>
                    <w:rPr>
                      <w:color w:val="auto"/>
                      <w:szCs w:val="21"/>
                    </w:rPr>
                  </w:pPr>
                </w:p>
              </w:tc>
            </w:tr>
          </w:tbl>
          <w:p w14:paraId="17382AA4">
            <w:pPr>
              <w:widowControl/>
              <w:rPr>
                <w:b/>
                <w:color w:val="auto"/>
                <w:sz w:val="24"/>
              </w:rPr>
            </w:pPr>
            <w:r>
              <w:rPr>
                <w:b/>
                <w:color w:val="auto"/>
                <w:sz w:val="18"/>
                <w:szCs w:val="18"/>
              </w:rPr>
              <w:t>注*：</w:t>
            </w:r>
            <w:r>
              <w:rPr>
                <w:rFonts w:hint="eastAsia"/>
                <w:b/>
                <w:color w:val="auto"/>
                <w:sz w:val="18"/>
                <w:szCs w:val="18"/>
              </w:rPr>
              <w:t>生产车间西南</w:t>
            </w:r>
            <w:r>
              <w:rPr>
                <w:b/>
                <w:color w:val="auto"/>
                <w:sz w:val="18"/>
                <w:szCs w:val="18"/>
              </w:rPr>
              <w:t>角为原点</w:t>
            </w:r>
            <w:r>
              <w:rPr>
                <w:rFonts w:hint="eastAsia"/>
                <w:b/>
                <w:color w:val="auto"/>
                <w:sz w:val="18"/>
                <w:szCs w:val="18"/>
              </w:rPr>
              <w:t>（</w:t>
            </w:r>
            <w:r>
              <w:rPr>
                <w:b/>
                <w:color w:val="auto"/>
                <w:sz w:val="18"/>
                <w:szCs w:val="18"/>
              </w:rPr>
              <w:t>0,0,0</w:t>
            </w:r>
            <w:r>
              <w:rPr>
                <w:rFonts w:hint="eastAsia"/>
                <w:b/>
                <w:color w:val="auto"/>
                <w:sz w:val="18"/>
                <w:szCs w:val="18"/>
              </w:rPr>
              <w:t>）</w:t>
            </w:r>
            <w:r>
              <w:rPr>
                <w:b/>
                <w:color w:val="auto"/>
                <w:sz w:val="18"/>
                <w:szCs w:val="18"/>
              </w:rPr>
              <w:t>，东西向X轴，南北向Y轴</w:t>
            </w:r>
          </w:p>
          <w:p w14:paraId="17382AA5">
            <w:pPr>
              <w:widowControl/>
              <w:adjustRightInd w:val="0"/>
              <w:snapToGrid w:val="0"/>
              <w:spacing w:before="120" w:beforeLines="50"/>
              <w:jc w:val="center"/>
              <w:rPr>
                <w:b/>
                <w:color w:val="auto"/>
                <w:kern w:val="0"/>
                <w:sz w:val="24"/>
              </w:rPr>
            </w:pPr>
            <w:r>
              <w:rPr>
                <w:rFonts w:hint="eastAsia"/>
                <w:b/>
                <w:color w:val="auto"/>
                <w:kern w:val="0"/>
                <w:sz w:val="24"/>
              </w:rPr>
              <w:t>表4-14本项目噪声产生及治理情况（室外声源）</w:t>
            </w:r>
          </w:p>
          <w:tbl>
            <w:tblPr>
              <w:tblStyle w:val="89"/>
              <w:tblW w:w="8459"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426"/>
              <w:gridCol w:w="670"/>
              <w:gridCol w:w="712"/>
              <w:gridCol w:w="434"/>
              <w:gridCol w:w="531"/>
              <w:gridCol w:w="549"/>
              <w:gridCol w:w="903"/>
              <w:gridCol w:w="972"/>
              <w:gridCol w:w="2155"/>
              <w:gridCol w:w="1107"/>
            </w:tblGrid>
            <w:tr w14:paraId="17382AA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6" w:type="dxa"/>
                  <w:vMerge w:val="restart"/>
                  <w:tcBorders>
                    <w:tl2br w:val="nil"/>
                    <w:tr2bl w:val="nil"/>
                  </w:tcBorders>
                  <w:vAlign w:val="center"/>
                </w:tcPr>
                <w:p w14:paraId="17382AA6">
                  <w:pPr>
                    <w:widowControl/>
                    <w:adjustRightInd w:val="0"/>
                    <w:ind w:right="-42" w:rightChars="-20"/>
                    <w:jc w:val="center"/>
                    <w:textAlignment w:val="baseline"/>
                    <w:rPr>
                      <w:b/>
                      <w:bCs/>
                      <w:color w:val="auto"/>
                      <w:szCs w:val="21"/>
                    </w:rPr>
                  </w:pPr>
                  <w:r>
                    <w:rPr>
                      <w:b/>
                      <w:bCs/>
                      <w:color w:val="auto"/>
                      <w:szCs w:val="21"/>
                    </w:rPr>
                    <w:t>序号</w:t>
                  </w:r>
                </w:p>
              </w:tc>
              <w:tc>
                <w:tcPr>
                  <w:tcW w:w="670" w:type="dxa"/>
                  <w:vMerge w:val="restart"/>
                  <w:tcBorders>
                    <w:tl2br w:val="nil"/>
                    <w:tr2bl w:val="nil"/>
                  </w:tcBorders>
                  <w:vAlign w:val="center"/>
                </w:tcPr>
                <w:p w14:paraId="17382AA7">
                  <w:pPr>
                    <w:widowControl/>
                    <w:adjustRightInd w:val="0"/>
                    <w:ind w:right="-42" w:rightChars="-20"/>
                    <w:jc w:val="center"/>
                    <w:textAlignment w:val="baseline"/>
                    <w:rPr>
                      <w:b/>
                      <w:bCs/>
                      <w:color w:val="auto"/>
                      <w:szCs w:val="21"/>
                    </w:rPr>
                  </w:pPr>
                  <w:r>
                    <w:rPr>
                      <w:b/>
                      <w:bCs/>
                      <w:color w:val="auto"/>
                      <w:szCs w:val="21"/>
                    </w:rPr>
                    <w:t>声源名称</w:t>
                  </w:r>
                </w:p>
              </w:tc>
              <w:tc>
                <w:tcPr>
                  <w:tcW w:w="712" w:type="dxa"/>
                  <w:vMerge w:val="restart"/>
                  <w:tcBorders>
                    <w:tl2br w:val="nil"/>
                    <w:tr2bl w:val="nil"/>
                  </w:tcBorders>
                  <w:vAlign w:val="center"/>
                </w:tcPr>
                <w:p w14:paraId="17382AA8">
                  <w:pPr>
                    <w:widowControl/>
                    <w:adjustRightInd w:val="0"/>
                    <w:ind w:right="-42" w:rightChars="-20"/>
                    <w:jc w:val="center"/>
                    <w:textAlignment w:val="baseline"/>
                    <w:rPr>
                      <w:b/>
                      <w:bCs/>
                      <w:color w:val="auto"/>
                      <w:szCs w:val="21"/>
                    </w:rPr>
                  </w:pPr>
                  <w:r>
                    <w:rPr>
                      <w:b/>
                      <w:bCs/>
                      <w:color w:val="auto"/>
                      <w:szCs w:val="21"/>
                    </w:rPr>
                    <w:t>型号</w:t>
                  </w:r>
                </w:p>
              </w:tc>
              <w:tc>
                <w:tcPr>
                  <w:tcW w:w="1514" w:type="dxa"/>
                  <w:gridSpan w:val="3"/>
                  <w:tcBorders>
                    <w:tl2br w:val="nil"/>
                    <w:tr2bl w:val="nil"/>
                  </w:tcBorders>
                  <w:vAlign w:val="center"/>
                </w:tcPr>
                <w:p w14:paraId="17382AA9">
                  <w:pPr>
                    <w:widowControl/>
                    <w:adjustRightInd w:val="0"/>
                    <w:ind w:right="-42" w:rightChars="-20"/>
                    <w:jc w:val="center"/>
                    <w:textAlignment w:val="baseline"/>
                    <w:rPr>
                      <w:b/>
                      <w:bCs/>
                      <w:color w:val="auto"/>
                      <w:szCs w:val="21"/>
                    </w:rPr>
                  </w:pPr>
                  <w:r>
                    <w:rPr>
                      <w:b/>
                      <w:bCs/>
                      <w:color w:val="auto"/>
                      <w:szCs w:val="21"/>
                    </w:rPr>
                    <w:t>空间相对位置/m</w:t>
                  </w:r>
                </w:p>
              </w:tc>
              <w:tc>
                <w:tcPr>
                  <w:tcW w:w="1875" w:type="dxa"/>
                  <w:gridSpan w:val="2"/>
                  <w:tcBorders>
                    <w:tl2br w:val="nil"/>
                    <w:tr2bl w:val="nil"/>
                  </w:tcBorders>
                  <w:vAlign w:val="center"/>
                </w:tcPr>
                <w:p w14:paraId="17382AAA">
                  <w:pPr>
                    <w:widowControl/>
                    <w:adjustRightInd w:val="0"/>
                    <w:ind w:right="-42" w:rightChars="-20"/>
                    <w:jc w:val="center"/>
                    <w:textAlignment w:val="baseline"/>
                    <w:rPr>
                      <w:b/>
                      <w:bCs/>
                      <w:color w:val="auto"/>
                      <w:szCs w:val="21"/>
                    </w:rPr>
                  </w:pPr>
                  <w:r>
                    <w:rPr>
                      <w:b/>
                      <w:bCs/>
                      <w:color w:val="auto"/>
                      <w:szCs w:val="21"/>
                    </w:rPr>
                    <w:t>声源源强</w:t>
                  </w:r>
                </w:p>
              </w:tc>
              <w:tc>
                <w:tcPr>
                  <w:tcW w:w="2155" w:type="dxa"/>
                  <w:vMerge w:val="restart"/>
                  <w:tcBorders>
                    <w:tl2br w:val="nil"/>
                    <w:tr2bl w:val="nil"/>
                  </w:tcBorders>
                  <w:vAlign w:val="center"/>
                </w:tcPr>
                <w:p w14:paraId="17382AAB">
                  <w:pPr>
                    <w:widowControl/>
                    <w:adjustRightInd w:val="0"/>
                    <w:ind w:right="-42" w:rightChars="-20"/>
                    <w:jc w:val="center"/>
                    <w:textAlignment w:val="baseline"/>
                    <w:rPr>
                      <w:b/>
                      <w:bCs/>
                      <w:color w:val="auto"/>
                      <w:szCs w:val="21"/>
                    </w:rPr>
                  </w:pPr>
                  <w:r>
                    <w:rPr>
                      <w:b/>
                      <w:bCs/>
                      <w:color w:val="auto"/>
                      <w:szCs w:val="21"/>
                    </w:rPr>
                    <w:t>声源控制措施</w:t>
                  </w:r>
                </w:p>
              </w:tc>
              <w:tc>
                <w:tcPr>
                  <w:tcW w:w="1107" w:type="dxa"/>
                  <w:vMerge w:val="restart"/>
                  <w:tcBorders>
                    <w:tl2br w:val="nil"/>
                    <w:tr2bl w:val="nil"/>
                  </w:tcBorders>
                  <w:vAlign w:val="center"/>
                </w:tcPr>
                <w:p w14:paraId="17382AAC">
                  <w:pPr>
                    <w:widowControl/>
                    <w:adjustRightInd w:val="0"/>
                    <w:ind w:right="-42" w:rightChars="-20"/>
                    <w:jc w:val="center"/>
                    <w:textAlignment w:val="baseline"/>
                    <w:rPr>
                      <w:b/>
                      <w:bCs/>
                      <w:color w:val="auto"/>
                      <w:szCs w:val="21"/>
                    </w:rPr>
                  </w:pPr>
                  <w:r>
                    <w:rPr>
                      <w:b/>
                      <w:bCs/>
                      <w:color w:val="auto"/>
                      <w:szCs w:val="21"/>
                    </w:rPr>
                    <w:t>运行时段h</w:t>
                  </w:r>
                </w:p>
              </w:tc>
            </w:tr>
            <w:tr w14:paraId="17382AB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6" w:type="dxa"/>
                  <w:vMerge w:val="continue"/>
                  <w:tcBorders>
                    <w:tl2br w:val="nil"/>
                    <w:tr2bl w:val="nil"/>
                  </w:tcBorders>
                  <w:vAlign w:val="center"/>
                </w:tcPr>
                <w:p w14:paraId="17382AAE">
                  <w:pPr>
                    <w:widowControl/>
                    <w:adjustRightInd w:val="0"/>
                    <w:ind w:right="-42" w:rightChars="-20"/>
                    <w:jc w:val="center"/>
                    <w:textAlignment w:val="baseline"/>
                    <w:rPr>
                      <w:b/>
                      <w:bCs/>
                      <w:color w:val="auto"/>
                      <w:szCs w:val="21"/>
                    </w:rPr>
                  </w:pPr>
                </w:p>
              </w:tc>
              <w:tc>
                <w:tcPr>
                  <w:tcW w:w="670" w:type="dxa"/>
                  <w:vMerge w:val="continue"/>
                  <w:tcBorders>
                    <w:tl2br w:val="nil"/>
                    <w:tr2bl w:val="nil"/>
                  </w:tcBorders>
                  <w:vAlign w:val="center"/>
                </w:tcPr>
                <w:p w14:paraId="17382AAF">
                  <w:pPr>
                    <w:widowControl/>
                    <w:adjustRightInd w:val="0"/>
                    <w:ind w:right="-42" w:rightChars="-20"/>
                    <w:jc w:val="center"/>
                    <w:textAlignment w:val="baseline"/>
                    <w:rPr>
                      <w:b/>
                      <w:bCs/>
                      <w:color w:val="auto"/>
                      <w:szCs w:val="21"/>
                    </w:rPr>
                  </w:pPr>
                </w:p>
              </w:tc>
              <w:tc>
                <w:tcPr>
                  <w:tcW w:w="712" w:type="dxa"/>
                  <w:vMerge w:val="continue"/>
                  <w:tcBorders>
                    <w:tl2br w:val="nil"/>
                    <w:tr2bl w:val="nil"/>
                  </w:tcBorders>
                  <w:vAlign w:val="center"/>
                </w:tcPr>
                <w:p w14:paraId="17382AB0">
                  <w:pPr>
                    <w:widowControl/>
                    <w:adjustRightInd w:val="0"/>
                    <w:ind w:right="-42" w:rightChars="-20"/>
                    <w:jc w:val="center"/>
                    <w:textAlignment w:val="baseline"/>
                    <w:rPr>
                      <w:b/>
                      <w:bCs/>
                      <w:color w:val="auto"/>
                      <w:szCs w:val="21"/>
                    </w:rPr>
                  </w:pPr>
                </w:p>
              </w:tc>
              <w:tc>
                <w:tcPr>
                  <w:tcW w:w="434" w:type="dxa"/>
                  <w:tcBorders>
                    <w:tl2br w:val="nil"/>
                    <w:tr2bl w:val="nil"/>
                  </w:tcBorders>
                  <w:vAlign w:val="center"/>
                </w:tcPr>
                <w:p w14:paraId="17382AB1">
                  <w:pPr>
                    <w:widowControl/>
                    <w:adjustRightInd w:val="0"/>
                    <w:ind w:right="-42" w:rightChars="-20"/>
                    <w:jc w:val="center"/>
                    <w:textAlignment w:val="baseline"/>
                    <w:rPr>
                      <w:b/>
                      <w:bCs/>
                      <w:color w:val="auto"/>
                      <w:szCs w:val="21"/>
                    </w:rPr>
                  </w:pPr>
                  <w:r>
                    <w:rPr>
                      <w:b/>
                      <w:bCs/>
                      <w:color w:val="auto"/>
                      <w:szCs w:val="21"/>
                    </w:rPr>
                    <w:t>X</w:t>
                  </w:r>
                </w:p>
              </w:tc>
              <w:tc>
                <w:tcPr>
                  <w:tcW w:w="531" w:type="dxa"/>
                  <w:tcBorders>
                    <w:tl2br w:val="nil"/>
                    <w:tr2bl w:val="nil"/>
                  </w:tcBorders>
                  <w:vAlign w:val="center"/>
                </w:tcPr>
                <w:p w14:paraId="17382AB2">
                  <w:pPr>
                    <w:widowControl/>
                    <w:adjustRightInd w:val="0"/>
                    <w:ind w:right="-42" w:rightChars="-20"/>
                    <w:jc w:val="center"/>
                    <w:textAlignment w:val="baseline"/>
                    <w:rPr>
                      <w:b/>
                      <w:bCs/>
                      <w:color w:val="auto"/>
                      <w:szCs w:val="21"/>
                    </w:rPr>
                  </w:pPr>
                  <w:r>
                    <w:rPr>
                      <w:b/>
                      <w:bCs/>
                      <w:color w:val="auto"/>
                      <w:szCs w:val="21"/>
                    </w:rPr>
                    <w:t>Y</w:t>
                  </w:r>
                </w:p>
              </w:tc>
              <w:tc>
                <w:tcPr>
                  <w:tcW w:w="549" w:type="dxa"/>
                  <w:tcBorders>
                    <w:tl2br w:val="nil"/>
                    <w:tr2bl w:val="nil"/>
                  </w:tcBorders>
                  <w:vAlign w:val="center"/>
                </w:tcPr>
                <w:p w14:paraId="17382AB3">
                  <w:pPr>
                    <w:widowControl/>
                    <w:adjustRightInd w:val="0"/>
                    <w:ind w:right="-42" w:rightChars="-20"/>
                    <w:jc w:val="center"/>
                    <w:textAlignment w:val="baseline"/>
                    <w:rPr>
                      <w:b/>
                      <w:bCs/>
                      <w:color w:val="auto"/>
                      <w:szCs w:val="21"/>
                    </w:rPr>
                  </w:pPr>
                  <w:r>
                    <w:rPr>
                      <w:b/>
                      <w:bCs/>
                      <w:color w:val="auto"/>
                      <w:szCs w:val="21"/>
                    </w:rPr>
                    <w:t>Z</w:t>
                  </w:r>
                </w:p>
              </w:tc>
              <w:tc>
                <w:tcPr>
                  <w:tcW w:w="903" w:type="dxa"/>
                  <w:tcBorders>
                    <w:tl2br w:val="nil"/>
                    <w:tr2bl w:val="nil"/>
                  </w:tcBorders>
                  <w:vAlign w:val="center"/>
                </w:tcPr>
                <w:p w14:paraId="17382AB4">
                  <w:pPr>
                    <w:widowControl/>
                    <w:adjustRightInd w:val="0"/>
                    <w:ind w:right="-42" w:rightChars="-20"/>
                    <w:jc w:val="center"/>
                    <w:textAlignment w:val="baseline"/>
                    <w:rPr>
                      <w:b/>
                      <w:bCs/>
                      <w:color w:val="auto"/>
                      <w:szCs w:val="21"/>
                    </w:rPr>
                  </w:pPr>
                  <w:r>
                    <w:rPr>
                      <w:b/>
                      <w:bCs/>
                      <w:color w:val="auto"/>
                      <w:szCs w:val="21"/>
                    </w:rPr>
                    <w:t>声压级</w:t>
                  </w:r>
                </w:p>
              </w:tc>
              <w:tc>
                <w:tcPr>
                  <w:tcW w:w="972" w:type="dxa"/>
                  <w:tcBorders>
                    <w:tl2br w:val="nil"/>
                    <w:tr2bl w:val="nil"/>
                  </w:tcBorders>
                  <w:vAlign w:val="center"/>
                </w:tcPr>
                <w:p w14:paraId="17382AB5">
                  <w:pPr>
                    <w:widowControl/>
                    <w:adjustRightInd w:val="0"/>
                    <w:ind w:right="-42" w:rightChars="-20"/>
                    <w:jc w:val="center"/>
                    <w:textAlignment w:val="baseline"/>
                    <w:rPr>
                      <w:b/>
                      <w:bCs/>
                      <w:color w:val="auto"/>
                      <w:szCs w:val="21"/>
                    </w:rPr>
                  </w:pPr>
                  <w:r>
                    <w:rPr>
                      <w:b/>
                      <w:bCs/>
                      <w:color w:val="auto"/>
                      <w:szCs w:val="21"/>
                    </w:rPr>
                    <w:t>距声源距离/m</w:t>
                  </w:r>
                </w:p>
              </w:tc>
              <w:tc>
                <w:tcPr>
                  <w:tcW w:w="2155" w:type="dxa"/>
                  <w:vMerge w:val="continue"/>
                  <w:tcBorders>
                    <w:tl2br w:val="nil"/>
                    <w:tr2bl w:val="nil"/>
                  </w:tcBorders>
                  <w:vAlign w:val="center"/>
                </w:tcPr>
                <w:p w14:paraId="17382AB6">
                  <w:pPr>
                    <w:autoSpaceDE w:val="0"/>
                    <w:autoSpaceDN w:val="0"/>
                    <w:adjustRightInd w:val="0"/>
                    <w:snapToGrid w:val="0"/>
                    <w:jc w:val="center"/>
                    <w:rPr>
                      <w:bCs/>
                      <w:color w:val="auto"/>
                      <w:szCs w:val="21"/>
                    </w:rPr>
                  </w:pPr>
                </w:p>
              </w:tc>
              <w:tc>
                <w:tcPr>
                  <w:tcW w:w="1107" w:type="dxa"/>
                  <w:vMerge w:val="continue"/>
                  <w:tcBorders>
                    <w:tl2br w:val="nil"/>
                    <w:tr2bl w:val="nil"/>
                  </w:tcBorders>
                  <w:vAlign w:val="center"/>
                </w:tcPr>
                <w:p w14:paraId="17382AB7">
                  <w:pPr>
                    <w:autoSpaceDE w:val="0"/>
                    <w:autoSpaceDN w:val="0"/>
                    <w:adjustRightInd w:val="0"/>
                    <w:snapToGrid w:val="0"/>
                    <w:jc w:val="center"/>
                    <w:rPr>
                      <w:bCs/>
                      <w:color w:val="auto"/>
                      <w:szCs w:val="21"/>
                    </w:rPr>
                  </w:pPr>
                </w:p>
              </w:tc>
            </w:tr>
            <w:tr w14:paraId="17382AC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6" w:type="dxa"/>
                  <w:tcBorders>
                    <w:tl2br w:val="nil"/>
                    <w:tr2bl w:val="nil"/>
                  </w:tcBorders>
                  <w:vAlign w:val="center"/>
                </w:tcPr>
                <w:p w14:paraId="17382AB9">
                  <w:pPr>
                    <w:autoSpaceDE w:val="0"/>
                    <w:autoSpaceDN w:val="0"/>
                    <w:adjustRightInd w:val="0"/>
                    <w:snapToGrid w:val="0"/>
                    <w:jc w:val="center"/>
                    <w:rPr>
                      <w:bCs/>
                      <w:color w:val="auto"/>
                      <w:szCs w:val="21"/>
                    </w:rPr>
                  </w:pPr>
                  <w:r>
                    <w:rPr>
                      <w:rFonts w:hint="eastAsia"/>
                      <w:bCs/>
                      <w:color w:val="auto"/>
                      <w:szCs w:val="21"/>
                    </w:rPr>
                    <w:t>1</w:t>
                  </w:r>
                </w:p>
              </w:tc>
              <w:tc>
                <w:tcPr>
                  <w:tcW w:w="670" w:type="dxa"/>
                  <w:tcBorders>
                    <w:tl2br w:val="nil"/>
                    <w:tr2bl w:val="nil"/>
                  </w:tcBorders>
                  <w:vAlign w:val="center"/>
                </w:tcPr>
                <w:p w14:paraId="17382ABA">
                  <w:pPr>
                    <w:autoSpaceDE w:val="0"/>
                    <w:autoSpaceDN w:val="0"/>
                    <w:adjustRightInd w:val="0"/>
                    <w:snapToGrid w:val="0"/>
                    <w:jc w:val="center"/>
                    <w:rPr>
                      <w:bCs/>
                      <w:color w:val="auto"/>
                      <w:szCs w:val="21"/>
                    </w:rPr>
                  </w:pPr>
                  <w:r>
                    <w:rPr>
                      <w:rFonts w:hint="eastAsia"/>
                      <w:bCs/>
                      <w:color w:val="auto"/>
                      <w:szCs w:val="21"/>
                    </w:rPr>
                    <w:t>风机</w:t>
                  </w:r>
                </w:p>
              </w:tc>
              <w:tc>
                <w:tcPr>
                  <w:tcW w:w="712" w:type="dxa"/>
                  <w:tcBorders>
                    <w:tl2br w:val="nil"/>
                    <w:tr2bl w:val="nil"/>
                  </w:tcBorders>
                  <w:vAlign w:val="center"/>
                </w:tcPr>
                <w:p w14:paraId="17382ABB">
                  <w:pPr>
                    <w:autoSpaceDE w:val="0"/>
                    <w:autoSpaceDN w:val="0"/>
                    <w:adjustRightInd w:val="0"/>
                    <w:snapToGrid w:val="0"/>
                    <w:jc w:val="center"/>
                    <w:rPr>
                      <w:bCs/>
                      <w:color w:val="auto"/>
                      <w:szCs w:val="21"/>
                    </w:rPr>
                  </w:pPr>
                  <w:r>
                    <w:rPr>
                      <w:rFonts w:hint="eastAsia"/>
                      <w:bCs/>
                      <w:color w:val="auto"/>
                      <w:szCs w:val="21"/>
                    </w:rPr>
                    <w:t>/</w:t>
                  </w:r>
                </w:p>
              </w:tc>
              <w:tc>
                <w:tcPr>
                  <w:tcW w:w="434" w:type="dxa"/>
                  <w:tcBorders>
                    <w:tl2br w:val="nil"/>
                    <w:tr2bl w:val="nil"/>
                  </w:tcBorders>
                  <w:vAlign w:val="center"/>
                </w:tcPr>
                <w:p w14:paraId="17382ABC">
                  <w:pPr>
                    <w:autoSpaceDE w:val="0"/>
                    <w:autoSpaceDN w:val="0"/>
                    <w:adjustRightInd w:val="0"/>
                    <w:snapToGrid w:val="0"/>
                    <w:jc w:val="center"/>
                    <w:rPr>
                      <w:bCs/>
                      <w:color w:val="auto"/>
                      <w:szCs w:val="21"/>
                    </w:rPr>
                  </w:pPr>
                  <w:r>
                    <w:rPr>
                      <w:rFonts w:hint="eastAsia"/>
                      <w:bCs/>
                      <w:color w:val="auto"/>
                      <w:szCs w:val="21"/>
                    </w:rPr>
                    <w:t>16</w:t>
                  </w:r>
                </w:p>
              </w:tc>
              <w:tc>
                <w:tcPr>
                  <w:tcW w:w="531" w:type="dxa"/>
                  <w:tcBorders>
                    <w:tl2br w:val="nil"/>
                    <w:tr2bl w:val="nil"/>
                  </w:tcBorders>
                  <w:vAlign w:val="center"/>
                </w:tcPr>
                <w:p w14:paraId="17382ABD">
                  <w:pPr>
                    <w:autoSpaceDE w:val="0"/>
                    <w:autoSpaceDN w:val="0"/>
                    <w:adjustRightInd w:val="0"/>
                    <w:snapToGrid w:val="0"/>
                    <w:jc w:val="center"/>
                    <w:rPr>
                      <w:bCs/>
                      <w:color w:val="auto"/>
                      <w:szCs w:val="21"/>
                    </w:rPr>
                  </w:pPr>
                  <w:r>
                    <w:rPr>
                      <w:rFonts w:hint="eastAsia"/>
                      <w:bCs/>
                      <w:color w:val="auto"/>
                      <w:szCs w:val="21"/>
                    </w:rPr>
                    <w:t>21</w:t>
                  </w:r>
                </w:p>
              </w:tc>
              <w:tc>
                <w:tcPr>
                  <w:tcW w:w="549" w:type="dxa"/>
                  <w:tcBorders>
                    <w:tl2br w:val="nil"/>
                    <w:tr2bl w:val="nil"/>
                  </w:tcBorders>
                  <w:vAlign w:val="center"/>
                </w:tcPr>
                <w:p w14:paraId="17382ABE">
                  <w:pPr>
                    <w:autoSpaceDE w:val="0"/>
                    <w:autoSpaceDN w:val="0"/>
                    <w:adjustRightInd w:val="0"/>
                    <w:snapToGrid w:val="0"/>
                    <w:jc w:val="center"/>
                    <w:rPr>
                      <w:bCs/>
                      <w:color w:val="auto"/>
                      <w:szCs w:val="21"/>
                    </w:rPr>
                  </w:pPr>
                  <w:r>
                    <w:rPr>
                      <w:rFonts w:hint="eastAsia"/>
                      <w:bCs/>
                      <w:color w:val="auto"/>
                      <w:szCs w:val="21"/>
                    </w:rPr>
                    <w:t>1.5</w:t>
                  </w:r>
                </w:p>
              </w:tc>
              <w:tc>
                <w:tcPr>
                  <w:tcW w:w="903" w:type="dxa"/>
                  <w:tcBorders>
                    <w:tl2br w:val="nil"/>
                    <w:tr2bl w:val="nil"/>
                  </w:tcBorders>
                  <w:vAlign w:val="center"/>
                </w:tcPr>
                <w:p w14:paraId="17382ABF">
                  <w:pPr>
                    <w:autoSpaceDE w:val="0"/>
                    <w:autoSpaceDN w:val="0"/>
                    <w:adjustRightInd w:val="0"/>
                    <w:snapToGrid w:val="0"/>
                    <w:jc w:val="center"/>
                    <w:rPr>
                      <w:bCs/>
                      <w:color w:val="auto"/>
                      <w:szCs w:val="21"/>
                    </w:rPr>
                  </w:pPr>
                  <w:r>
                    <w:rPr>
                      <w:rFonts w:hint="eastAsia"/>
                      <w:bCs/>
                      <w:color w:val="auto"/>
                      <w:szCs w:val="21"/>
                    </w:rPr>
                    <w:t>85</w:t>
                  </w:r>
                </w:p>
              </w:tc>
              <w:tc>
                <w:tcPr>
                  <w:tcW w:w="972" w:type="dxa"/>
                  <w:tcBorders>
                    <w:tl2br w:val="nil"/>
                    <w:tr2bl w:val="nil"/>
                  </w:tcBorders>
                  <w:vAlign w:val="center"/>
                </w:tcPr>
                <w:p w14:paraId="17382AC0">
                  <w:pPr>
                    <w:autoSpaceDE w:val="0"/>
                    <w:autoSpaceDN w:val="0"/>
                    <w:adjustRightInd w:val="0"/>
                    <w:snapToGrid w:val="0"/>
                    <w:jc w:val="center"/>
                    <w:rPr>
                      <w:bCs/>
                      <w:color w:val="auto"/>
                      <w:szCs w:val="21"/>
                    </w:rPr>
                  </w:pPr>
                  <w:r>
                    <w:rPr>
                      <w:rFonts w:hint="eastAsia"/>
                      <w:bCs/>
                      <w:color w:val="auto"/>
                      <w:szCs w:val="21"/>
                    </w:rPr>
                    <w:t>1</w:t>
                  </w:r>
                </w:p>
              </w:tc>
              <w:tc>
                <w:tcPr>
                  <w:tcW w:w="2155" w:type="dxa"/>
                  <w:vMerge w:val="restart"/>
                  <w:tcBorders>
                    <w:tl2br w:val="nil"/>
                    <w:tr2bl w:val="nil"/>
                  </w:tcBorders>
                  <w:vAlign w:val="center"/>
                </w:tcPr>
                <w:p w14:paraId="17382AC1">
                  <w:pPr>
                    <w:jc w:val="center"/>
                    <w:rPr>
                      <w:color w:val="auto"/>
                    </w:rPr>
                  </w:pPr>
                  <w:r>
                    <w:rPr>
                      <w:rFonts w:hAnsi="宋体"/>
                      <w:bCs/>
                      <w:color w:val="auto"/>
                      <w:szCs w:val="21"/>
                    </w:rPr>
                    <w:t>选用低噪音设备；消声减震；加强操作管理和维护；合理布局等</w:t>
                  </w:r>
                </w:p>
              </w:tc>
              <w:tc>
                <w:tcPr>
                  <w:tcW w:w="1107" w:type="dxa"/>
                  <w:vMerge w:val="restart"/>
                  <w:tcBorders>
                    <w:tl2br w:val="nil"/>
                    <w:tr2bl w:val="nil"/>
                  </w:tcBorders>
                  <w:vAlign w:val="center"/>
                </w:tcPr>
                <w:p w14:paraId="17382AC2">
                  <w:pPr>
                    <w:ind w:left="-105" w:leftChars="-50" w:right="-105" w:rightChars="-50"/>
                    <w:jc w:val="center"/>
                    <w:rPr>
                      <w:bCs/>
                      <w:color w:val="auto"/>
                      <w:szCs w:val="21"/>
                    </w:rPr>
                  </w:pPr>
                  <w:r>
                    <w:rPr>
                      <w:rFonts w:hint="eastAsia"/>
                      <w:color w:val="auto"/>
                      <w:szCs w:val="21"/>
                    </w:rPr>
                    <w:t>2400h</w:t>
                  </w:r>
                </w:p>
              </w:tc>
            </w:tr>
            <w:tr w14:paraId="17382AC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6" w:type="dxa"/>
                  <w:tcBorders>
                    <w:tl2br w:val="nil"/>
                    <w:tr2bl w:val="nil"/>
                  </w:tcBorders>
                  <w:vAlign w:val="center"/>
                </w:tcPr>
                <w:p w14:paraId="17382AC4">
                  <w:pPr>
                    <w:autoSpaceDE w:val="0"/>
                    <w:autoSpaceDN w:val="0"/>
                    <w:adjustRightInd w:val="0"/>
                    <w:snapToGrid w:val="0"/>
                    <w:jc w:val="center"/>
                    <w:rPr>
                      <w:bCs/>
                      <w:color w:val="auto"/>
                      <w:szCs w:val="21"/>
                    </w:rPr>
                  </w:pPr>
                  <w:r>
                    <w:rPr>
                      <w:rFonts w:hint="eastAsia"/>
                      <w:bCs/>
                      <w:color w:val="auto"/>
                      <w:szCs w:val="21"/>
                    </w:rPr>
                    <w:t>2</w:t>
                  </w:r>
                </w:p>
              </w:tc>
              <w:tc>
                <w:tcPr>
                  <w:tcW w:w="670" w:type="dxa"/>
                  <w:tcBorders>
                    <w:tl2br w:val="nil"/>
                    <w:tr2bl w:val="nil"/>
                  </w:tcBorders>
                  <w:vAlign w:val="center"/>
                </w:tcPr>
                <w:p w14:paraId="17382AC5">
                  <w:pPr>
                    <w:autoSpaceDE w:val="0"/>
                    <w:autoSpaceDN w:val="0"/>
                    <w:adjustRightInd w:val="0"/>
                    <w:snapToGrid w:val="0"/>
                    <w:jc w:val="center"/>
                    <w:rPr>
                      <w:bCs/>
                      <w:color w:val="auto"/>
                      <w:szCs w:val="21"/>
                    </w:rPr>
                  </w:pPr>
                  <w:r>
                    <w:rPr>
                      <w:rFonts w:hint="eastAsia"/>
                      <w:bCs/>
                      <w:color w:val="auto"/>
                      <w:szCs w:val="21"/>
                    </w:rPr>
                    <w:t>风机</w:t>
                  </w:r>
                </w:p>
              </w:tc>
              <w:tc>
                <w:tcPr>
                  <w:tcW w:w="712" w:type="dxa"/>
                  <w:tcBorders>
                    <w:tl2br w:val="nil"/>
                    <w:tr2bl w:val="nil"/>
                  </w:tcBorders>
                  <w:vAlign w:val="center"/>
                </w:tcPr>
                <w:p w14:paraId="17382AC6">
                  <w:pPr>
                    <w:autoSpaceDE w:val="0"/>
                    <w:autoSpaceDN w:val="0"/>
                    <w:adjustRightInd w:val="0"/>
                    <w:snapToGrid w:val="0"/>
                    <w:jc w:val="center"/>
                    <w:rPr>
                      <w:bCs/>
                      <w:color w:val="auto"/>
                      <w:szCs w:val="21"/>
                    </w:rPr>
                  </w:pPr>
                  <w:r>
                    <w:rPr>
                      <w:rFonts w:hint="eastAsia"/>
                      <w:bCs/>
                      <w:color w:val="auto"/>
                      <w:szCs w:val="21"/>
                    </w:rPr>
                    <w:t>/</w:t>
                  </w:r>
                </w:p>
              </w:tc>
              <w:tc>
                <w:tcPr>
                  <w:tcW w:w="434" w:type="dxa"/>
                  <w:tcBorders>
                    <w:tl2br w:val="nil"/>
                    <w:tr2bl w:val="nil"/>
                  </w:tcBorders>
                  <w:vAlign w:val="center"/>
                </w:tcPr>
                <w:p w14:paraId="17382AC7">
                  <w:pPr>
                    <w:autoSpaceDE w:val="0"/>
                    <w:autoSpaceDN w:val="0"/>
                    <w:adjustRightInd w:val="0"/>
                    <w:snapToGrid w:val="0"/>
                    <w:jc w:val="center"/>
                    <w:rPr>
                      <w:bCs/>
                      <w:color w:val="auto"/>
                      <w:szCs w:val="21"/>
                    </w:rPr>
                  </w:pPr>
                  <w:r>
                    <w:rPr>
                      <w:rFonts w:hint="eastAsia"/>
                      <w:bCs/>
                      <w:color w:val="auto"/>
                      <w:szCs w:val="21"/>
                    </w:rPr>
                    <w:t>0</w:t>
                  </w:r>
                </w:p>
              </w:tc>
              <w:tc>
                <w:tcPr>
                  <w:tcW w:w="531" w:type="dxa"/>
                  <w:tcBorders>
                    <w:tl2br w:val="nil"/>
                    <w:tr2bl w:val="nil"/>
                  </w:tcBorders>
                  <w:vAlign w:val="center"/>
                </w:tcPr>
                <w:p w14:paraId="17382AC8">
                  <w:pPr>
                    <w:autoSpaceDE w:val="0"/>
                    <w:autoSpaceDN w:val="0"/>
                    <w:adjustRightInd w:val="0"/>
                    <w:snapToGrid w:val="0"/>
                    <w:jc w:val="center"/>
                    <w:rPr>
                      <w:bCs/>
                      <w:color w:val="auto"/>
                      <w:szCs w:val="21"/>
                    </w:rPr>
                  </w:pPr>
                  <w:r>
                    <w:rPr>
                      <w:rFonts w:hint="eastAsia"/>
                      <w:bCs/>
                      <w:color w:val="auto"/>
                      <w:szCs w:val="21"/>
                    </w:rPr>
                    <w:t>12</w:t>
                  </w:r>
                </w:p>
              </w:tc>
              <w:tc>
                <w:tcPr>
                  <w:tcW w:w="549" w:type="dxa"/>
                  <w:tcBorders>
                    <w:tl2br w:val="nil"/>
                    <w:tr2bl w:val="nil"/>
                  </w:tcBorders>
                  <w:vAlign w:val="center"/>
                </w:tcPr>
                <w:p w14:paraId="17382AC9">
                  <w:pPr>
                    <w:autoSpaceDE w:val="0"/>
                    <w:autoSpaceDN w:val="0"/>
                    <w:adjustRightInd w:val="0"/>
                    <w:snapToGrid w:val="0"/>
                    <w:jc w:val="center"/>
                    <w:rPr>
                      <w:bCs/>
                      <w:color w:val="auto"/>
                      <w:szCs w:val="21"/>
                    </w:rPr>
                  </w:pPr>
                  <w:r>
                    <w:rPr>
                      <w:rFonts w:hint="eastAsia"/>
                      <w:bCs/>
                      <w:color w:val="auto"/>
                      <w:szCs w:val="21"/>
                    </w:rPr>
                    <w:t>1.5</w:t>
                  </w:r>
                </w:p>
              </w:tc>
              <w:tc>
                <w:tcPr>
                  <w:tcW w:w="903" w:type="dxa"/>
                  <w:tcBorders>
                    <w:tl2br w:val="nil"/>
                    <w:tr2bl w:val="nil"/>
                  </w:tcBorders>
                  <w:vAlign w:val="center"/>
                </w:tcPr>
                <w:p w14:paraId="17382ACA">
                  <w:pPr>
                    <w:autoSpaceDE w:val="0"/>
                    <w:autoSpaceDN w:val="0"/>
                    <w:adjustRightInd w:val="0"/>
                    <w:snapToGrid w:val="0"/>
                    <w:jc w:val="center"/>
                    <w:rPr>
                      <w:bCs/>
                      <w:color w:val="auto"/>
                      <w:szCs w:val="21"/>
                    </w:rPr>
                  </w:pPr>
                  <w:r>
                    <w:rPr>
                      <w:rFonts w:hint="eastAsia"/>
                      <w:bCs/>
                      <w:color w:val="auto"/>
                      <w:szCs w:val="21"/>
                    </w:rPr>
                    <w:t>85</w:t>
                  </w:r>
                </w:p>
              </w:tc>
              <w:tc>
                <w:tcPr>
                  <w:tcW w:w="972" w:type="dxa"/>
                  <w:tcBorders>
                    <w:tl2br w:val="nil"/>
                    <w:tr2bl w:val="nil"/>
                  </w:tcBorders>
                  <w:vAlign w:val="center"/>
                </w:tcPr>
                <w:p w14:paraId="17382ACB">
                  <w:pPr>
                    <w:autoSpaceDE w:val="0"/>
                    <w:autoSpaceDN w:val="0"/>
                    <w:adjustRightInd w:val="0"/>
                    <w:snapToGrid w:val="0"/>
                    <w:jc w:val="center"/>
                    <w:rPr>
                      <w:bCs/>
                      <w:color w:val="auto"/>
                      <w:szCs w:val="21"/>
                    </w:rPr>
                  </w:pPr>
                  <w:r>
                    <w:rPr>
                      <w:rFonts w:hint="eastAsia"/>
                      <w:bCs/>
                      <w:color w:val="auto"/>
                      <w:szCs w:val="21"/>
                    </w:rPr>
                    <w:t>1</w:t>
                  </w:r>
                </w:p>
              </w:tc>
              <w:tc>
                <w:tcPr>
                  <w:tcW w:w="2155" w:type="dxa"/>
                  <w:vMerge w:val="continue"/>
                  <w:tcBorders>
                    <w:tl2br w:val="nil"/>
                    <w:tr2bl w:val="nil"/>
                  </w:tcBorders>
                  <w:vAlign w:val="center"/>
                </w:tcPr>
                <w:p w14:paraId="17382ACC">
                  <w:pPr>
                    <w:jc w:val="center"/>
                    <w:rPr>
                      <w:rFonts w:hint="eastAsia" w:hAnsi="宋体"/>
                      <w:bCs/>
                      <w:color w:val="auto"/>
                      <w:szCs w:val="21"/>
                    </w:rPr>
                  </w:pPr>
                </w:p>
              </w:tc>
              <w:tc>
                <w:tcPr>
                  <w:tcW w:w="1107" w:type="dxa"/>
                  <w:vMerge w:val="continue"/>
                  <w:tcBorders>
                    <w:tl2br w:val="nil"/>
                    <w:tr2bl w:val="nil"/>
                  </w:tcBorders>
                  <w:vAlign w:val="center"/>
                </w:tcPr>
                <w:p w14:paraId="17382ACD">
                  <w:pPr>
                    <w:ind w:left="-105" w:leftChars="-50" w:right="-105" w:rightChars="-50"/>
                    <w:jc w:val="center"/>
                    <w:rPr>
                      <w:color w:val="auto"/>
                      <w:szCs w:val="21"/>
                    </w:rPr>
                  </w:pPr>
                </w:p>
              </w:tc>
            </w:tr>
            <w:tr w14:paraId="17382AD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426" w:type="dxa"/>
                  <w:tcBorders>
                    <w:tl2br w:val="nil"/>
                    <w:tr2bl w:val="nil"/>
                  </w:tcBorders>
                  <w:vAlign w:val="center"/>
                </w:tcPr>
                <w:p w14:paraId="17382ACF">
                  <w:pPr>
                    <w:autoSpaceDE w:val="0"/>
                    <w:autoSpaceDN w:val="0"/>
                    <w:adjustRightInd w:val="0"/>
                    <w:snapToGrid w:val="0"/>
                    <w:jc w:val="center"/>
                    <w:rPr>
                      <w:bCs/>
                      <w:color w:val="auto"/>
                      <w:szCs w:val="21"/>
                    </w:rPr>
                  </w:pPr>
                  <w:r>
                    <w:rPr>
                      <w:rFonts w:hint="eastAsia"/>
                      <w:bCs/>
                      <w:color w:val="auto"/>
                      <w:szCs w:val="21"/>
                    </w:rPr>
                    <w:t>3</w:t>
                  </w:r>
                </w:p>
              </w:tc>
              <w:tc>
                <w:tcPr>
                  <w:tcW w:w="670" w:type="dxa"/>
                  <w:tcBorders>
                    <w:tl2br w:val="nil"/>
                    <w:tr2bl w:val="nil"/>
                  </w:tcBorders>
                  <w:vAlign w:val="center"/>
                </w:tcPr>
                <w:p w14:paraId="17382AD0">
                  <w:pPr>
                    <w:autoSpaceDE w:val="0"/>
                    <w:autoSpaceDN w:val="0"/>
                    <w:adjustRightInd w:val="0"/>
                    <w:snapToGrid w:val="0"/>
                    <w:jc w:val="center"/>
                    <w:rPr>
                      <w:bCs/>
                      <w:color w:val="auto"/>
                      <w:szCs w:val="21"/>
                    </w:rPr>
                  </w:pPr>
                  <w:r>
                    <w:rPr>
                      <w:rFonts w:hint="eastAsia"/>
                      <w:bCs/>
                      <w:color w:val="auto"/>
                      <w:szCs w:val="21"/>
                    </w:rPr>
                    <w:t>风机</w:t>
                  </w:r>
                </w:p>
              </w:tc>
              <w:tc>
                <w:tcPr>
                  <w:tcW w:w="712" w:type="dxa"/>
                  <w:tcBorders>
                    <w:tl2br w:val="nil"/>
                    <w:tr2bl w:val="nil"/>
                  </w:tcBorders>
                  <w:vAlign w:val="center"/>
                </w:tcPr>
                <w:p w14:paraId="17382AD1">
                  <w:pPr>
                    <w:autoSpaceDE w:val="0"/>
                    <w:autoSpaceDN w:val="0"/>
                    <w:adjustRightInd w:val="0"/>
                    <w:snapToGrid w:val="0"/>
                    <w:jc w:val="center"/>
                    <w:rPr>
                      <w:bCs/>
                      <w:color w:val="auto"/>
                      <w:szCs w:val="21"/>
                    </w:rPr>
                  </w:pPr>
                  <w:r>
                    <w:rPr>
                      <w:rFonts w:hint="eastAsia"/>
                      <w:bCs/>
                      <w:color w:val="auto"/>
                      <w:szCs w:val="21"/>
                    </w:rPr>
                    <w:t>/</w:t>
                  </w:r>
                </w:p>
              </w:tc>
              <w:tc>
                <w:tcPr>
                  <w:tcW w:w="434" w:type="dxa"/>
                  <w:tcBorders>
                    <w:tl2br w:val="nil"/>
                    <w:tr2bl w:val="nil"/>
                  </w:tcBorders>
                  <w:vAlign w:val="center"/>
                </w:tcPr>
                <w:p w14:paraId="17382AD2">
                  <w:pPr>
                    <w:autoSpaceDE w:val="0"/>
                    <w:autoSpaceDN w:val="0"/>
                    <w:adjustRightInd w:val="0"/>
                    <w:snapToGrid w:val="0"/>
                    <w:jc w:val="center"/>
                    <w:rPr>
                      <w:bCs/>
                      <w:color w:val="auto"/>
                      <w:szCs w:val="21"/>
                    </w:rPr>
                  </w:pPr>
                  <w:r>
                    <w:rPr>
                      <w:rFonts w:hint="eastAsia"/>
                      <w:bCs/>
                      <w:color w:val="auto"/>
                      <w:szCs w:val="21"/>
                    </w:rPr>
                    <w:t>0</w:t>
                  </w:r>
                </w:p>
              </w:tc>
              <w:tc>
                <w:tcPr>
                  <w:tcW w:w="531" w:type="dxa"/>
                  <w:tcBorders>
                    <w:tl2br w:val="nil"/>
                    <w:tr2bl w:val="nil"/>
                  </w:tcBorders>
                  <w:vAlign w:val="center"/>
                </w:tcPr>
                <w:p w14:paraId="17382AD3">
                  <w:pPr>
                    <w:autoSpaceDE w:val="0"/>
                    <w:autoSpaceDN w:val="0"/>
                    <w:adjustRightInd w:val="0"/>
                    <w:snapToGrid w:val="0"/>
                    <w:jc w:val="center"/>
                    <w:rPr>
                      <w:bCs/>
                      <w:color w:val="auto"/>
                      <w:szCs w:val="21"/>
                    </w:rPr>
                  </w:pPr>
                  <w:r>
                    <w:rPr>
                      <w:rFonts w:hint="eastAsia"/>
                      <w:bCs/>
                      <w:color w:val="auto"/>
                      <w:szCs w:val="21"/>
                    </w:rPr>
                    <w:t>7</w:t>
                  </w:r>
                </w:p>
              </w:tc>
              <w:tc>
                <w:tcPr>
                  <w:tcW w:w="549" w:type="dxa"/>
                  <w:tcBorders>
                    <w:tl2br w:val="nil"/>
                    <w:tr2bl w:val="nil"/>
                  </w:tcBorders>
                  <w:vAlign w:val="center"/>
                </w:tcPr>
                <w:p w14:paraId="17382AD4">
                  <w:pPr>
                    <w:autoSpaceDE w:val="0"/>
                    <w:autoSpaceDN w:val="0"/>
                    <w:adjustRightInd w:val="0"/>
                    <w:snapToGrid w:val="0"/>
                    <w:jc w:val="center"/>
                    <w:rPr>
                      <w:bCs/>
                      <w:color w:val="auto"/>
                      <w:szCs w:val="21"/>
                    </w:rPr>
                  </w:pPr>
                  <w:r>
                    <w:rPr>
                      <w:rFonts w:hint="eastAsia"/>
                      <w:bCs/>
                      <w:color w:val="auto"/>
                      <w:szCs w:val="21"/>
                    </w:rPr>
                    <w:t>1.5</w:t>
                  </w:r>
                </w:p>
              </w:tc>
              <w:tc>
                <w:tcPr>
                  <w:tcW w:w="903" w:type="dxa"/>
                  <w:tcBorders>
                    <w:tl2br w:val="nil"/>
                    <w:tr2bl w:val="nil"/>
                  </w:tcBorders>
                  <w:vAlign w:val="center"/>
                </w:tcPr>
                <w:p w14:paraId="17382AD5">
                  <w:pPr>
                    <w:autoSpaceDE w:val="0"/>
                    <w:autoSpaceDN w:val="0"/>
                    <w:adjustRightInd w:val="0"/>
                    <w:snapToGrid w:val="0"/>
                    <w:jc w:val="center"/>
                    <w:rPr>
                      <w:bCs/>
                      <w:color w:val="auto"/>
                      <w:szCs w:val="21"/>
                    </w:rPr>
                  </w:pPr>
                  <w:r>
                    <w:rPr>
                      <w:rFonts w:hint="eastAsia"/>
                      <w:bCs/>
                      <w:color w:val="auto"/>
                      <w:szCs w:val="21"/>
                    </w:rPr>
                    <w:t>85</w:t>
                  </w:r>
                </w:p>
              </w:tc>
              <w:tc>
                <w:tcPr>
                  <w:tcW w:w="972" w:type="dxa"/>
                  <w:tcBorders>
                    <w:tl2br w:val="nil"/>
                    <w:tr2bl w:val="nil"/>
                  </w:tcBorders>
                  <w:vAlign w:val="center"/>
                </w:tcPr>
                <w:p w14:paraId="17382AD6">
                  <w:pPr>
                    <w:autoSpaceDE w:val="0"/>
                    <w:autoSpaceDN w:val="0"/>
                    <w:adjustRightInd w:val="0"/>
                    <w:snapToGrid w:val="0"/>
                    <w:jc w:val="center"/>
                    <w:rPr>
                      <w:bCs/>
                      <w:color w:val="auto"/>
                      <w:szCs w:val="21"/>
                    </w:rPr>
                  </w:pPr>
                  <w:r>
                    <w:rPr>
                      <w:rFonts w:hint="eastAsia"/>
                      <w:bCs/>
                      <w:color w:val="auto"/>
                      <w:szCs w:val="21"/>
                    </w:rPr>
                    <w:t>1</w:t>
                  </w:r>
                </w:p>
              </w:tc>
              <w:tc>
                <w:tcPr>
                  <w:tcW w:w="2155" w:type="dxa"/>
                  <w:vMerge w:val="continue"/>
                  <w:tcBorders>
                    <w:tl2br w:val="nil"/>
                    <w:tr2bl w:val="nil"/>
                  </w:tcBorders>
                  <w:vAlign w:val="center"/>
                </w:tcPr>
                <w:p w14:paraId="17382AD7">
                  <w:pPr>
                    <w:jc w:val="center"/>
                    <w:rPr>
                      <w:rFonts w:hint="eastAsia" w:hAnsi="宋体"/>
                      <w:bCs/>
                      <w:color w:val="auto"/>
                      <w:szCs w:val="21"/>
                    </w:rPr>
                  </w:pPr>
                </w:p>
              </w:tc>
              <w:tc>
                <w:tcPr>
                  <w:tcW w:w="1107" w:type="dxa"/>
                  <w:vMerge w:val="continue"/>
                  <w:tcBorders>
                    <w:tl2br w:val="nil"/>
                    <w:tr2bl w:val="nil"/>
                  </w:tcBorders>
                  <w:vAlign w:val="center"/>
                </w:tcPr>
                <w:p w14:paraId="17382AD8">
                  <w:pPr>
                    <w:ind w:left="-105" w:leftChars="-50" w:right="-105" w:rightChars="-50"/>
                    <w:jc w:val="center"/>
                    <w:rPr>
                      <w:color w:val="auto"/>
                      <w:szCs w:val="21"/>
                    </w:rPr>
                  </w:pPr>
                </w:p>
              </w:tc>
            </w:tr>
          </w:tbl>
          <w:p w14:paraId="17382ADA">
            <w:pPr>
              <w:widowControl/>
              <w:rPr>
                <w:b/>
                <w:color w:val="auto"/>
                <w:sz w:val="18"/>
                <w:szCs w:val="18"/>
              </w:rPr>
            </w:pPr>
            <w:r>
              <w:rPr>
                <w:b/>
                <w:color w:val="auto"/>
                <w:sz w:val="18"/>
                <w:szCs w:val="18"/>
              </w:rPr>
              <w:t>注*：</w:t>
            </w:r>
            <w:r>
              <w:rPr>
                <w:rFonts w:hint="eastAsia"/>
                <w:b/>
                <w:color w:val="auto"/>
                <w:sz w:val="18"/>
                <w:szCs w:val="18"/>
              </w:rPr>
              <w:t>生产车间西南</w:t>
            </w:r>
            <w:r>
              <w:rPr>
                <w:b/>
                <w:color w:val="auto"/>
                <w:sz w:val="18"/>
                <w:szCs w:val="18"/>
              </w:rPr>
              <w:t>角为原点</w:t>
            </w:r>
            <w:r>
              <w:rPr>
                <w:rFonts w:hint="eastAsia"/>
                <w:b/>
                <w:color w:val="auto"/>
                <w:sz w:val="18"/>
                <w:szCs w:val="18"/>
              </w:rPr>
              <w:t>（</w:t>
            </w:r>
            <w:r>
              <w:rPr>
                <w:b/>
                <w:color w:val="auto"/>
                <w:sz w:val="18"/>
                <w:szCs w:val="18"/>
              </w:rPr>
              <w:t>0,0,0</w:t>
            </w:r>
            <w:r>
              <w:rPr>
                <w:rFonts w:hint="eastAsia"/>
                <w:b/>
                <w:color w:val="auto"/>
                <w:sz w:val="18"/>
                <w:szCs w:val="18"/>
              </w:rPr>
              <w:t>）</w:t>
            </w:r>
            <w:r>
              <w:rPr>
                <w:b/>
                <w:color w:val="auto"/>
                <w:sz w:val="18"/>
                <w:szCs w:val="18"/>
              </w:rPr>
              <w:t>，东西向X轴，南北向Y轴</w:t>
            </w:r>
          </w:p>
          <w:p w14:paraId="17382ADB">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3.</w:t>
            </w:r>
            <w:r>
              <w:rPr>
                <w:rFonts w:hint="eastAsia"/>
                <w:b/>
                <w:bCs/>
                <w:color w:val="auto"/>
                <w:sz w:val="24"/>
              </w:rPr>
              <w:t>2</w:t>
            </w:r>
            <w:r>
              <w:rPr>
                <w:b/>
                <w:bCs/>
                <w:color w:val="auto"/>
                <w:sz w:val="24"/>
              </w:rPr>
              <w:t>噪声预测</w:t>
            </w:r>
          </w:p>
          <w:p w14:paraId="17382ADC">
            <w:pPr>
              <w:spacing w:line="360" w:lineRule="auto"/>
              <w:ind w:firstLine="480" w:firstLineChars="200"/>
              <w:rPr>
                <w:color w:val="auto"/>
                <w:sz w:val="24"/>
              </w:rPr>
            </w:pPr>
            <w:r>
              <w:rPr>
                <w:rFonts w:hint="eastAsia"/>
                <w:color w:val="auto"/>
                <w:sz w:val="24"/>
              </w:rPr>
              <w:t>本项目</w:t>
            </w:r>
            <w:r>
              <w:rPr>
                <w:color w:val="auto"/>
                <w:sz w:val="24"/>
              </w:rPr>
              <w:t>位于</w:t>
            </w:r>
            <w:r>
              <w:rPr>
                <w:rFonts w:hint="eastAsia"/>
                <w:color w:val="auto"/>
                <w:sz w:val="24"/>
              </w:rPr>
              <w:t>淮安市淮阴区马头镇东港路一号，其声环境功能为2类区，项目四周厂界</w:t>
            </w:r>
            <w:r>
              <w:rPr>
                <w:rFonts w:hint="eastAsia"/>
                <w:color w:val="auto"/>
                <w:sz w:val="24"/>
                <w:lang w:val="en-US" w:eastAsia="zh-CN"/>
              </w:rPr>
              <w:t>及周围环境保护目标</w:t>
            </w:r>
            <w:r>
              <w:rPr>
                <w:rFonts w:hint="eastAsia"/>
                <w:color w:val="auto"/>
                <w:sz w:val="24"/>
              </w:rPr>
              <w:t>昼间噪声执行《工业企业厂界环境噪声排放标准》（GB12348-2008）中的2类标准。</w:t>
            </w:r>
          </w:p>
          <w:p w14:paraId="17382ADD">
            <w:pPr>
              <w:spacing w:line="360" w:lineRule="auto"/>
              <w:ind w:firstLine="480" w:firstLineChars="200"/>
              <w:rPr>
                <w:color w:val="auto"/>
                <w:sz w:val="24"/>
              </w:rPr>
            </w:pPr>
            <w:r>
              <w:rPr>
                <w:color w:val="auto"/>
                <w:sz w:val="24"/>
              </w:rPr>
              <w:t>根据</w:t>
            </w:r>
            <w:r>
              <w:rPr>
                <w:rFonts w:hint="eastAsia"/>
                <w:color w:val="auto"/>
                <w:sz w:val="24"/>
              </w:rPr>
              <w:t>《环境影响评价技术导则 声环境》（HJ2.4-2021），噪声在传播过程中受到多种因素的干扰，使其产生衰减，根据建设项目噪声源和环境特征，预测过程中考虑了隔声罩等的屏障作用、空气吸收。</w:t>
            </w:r>
          </w:p>
          <w:p w14:paraId="17382ADE">
            <w:pPr>
              <w:spacing w:line="360" w:lineRule="auto"/>
              <w:ind w:firstLine="480" w:firstLineChars="200"/>
              <w:rPr>
                <w:color w:val="auto"/>
                <w:sz w:val="24"/>
              </w:rPr>
            </w:pPr>
            <w:r>
              <w:rPr>
                <w:rFonts w:hint="eastAsia"/>
                <w:color w:val="auto"/>
                <w:sz w:val="24"/>
              </w:rPr>
              <w:t>①室内声源等效室外声源声功率级计算方法</w:t>
            </w:r>
          </w:p>
          <w:p w14:paraId="17382ADF">
            <w:pPr>
              <w:spacing w:line="360" w:lineRule="auto"/>
              <w:ind w:firstLine="480" w:firstLineChars="200"/>
              <w:rPr>
                <w:color w:val="auto"/>
                <w:sz w:val="24"/>
              </w:rPr>
            </w:pPr>
            <w:r>
              <w:rPr>
                <w:rFonts w:hint="eastAsia"/>
                <w:color w:val="auto"/>
                <w:sz w:val="24"/>
              </w:rPr>
              <w:t>设靠近开口处（或窗户）室内、室外某倍频带的声压级分别为L</w:t>
            </w:r>
            <w:r>
              <w:rPr>
                <w:rFonts w:hint="eastAsia"/>
                <w:color w:val="auto"/>
                <w:sz w:val="24"/>
                <w:vertAlign w:val="subscript"/>
              </w:rPr>
              <w:t>p1</w:t>
            </w:r>
            <w:r>
              <w:rPr>
                <w:rFonts w:hint="eastAsia"/>
                <w:color w:val="auto"/>
                <w:sz w:val="24"/>
              </w:rPr>
              <w:t>和L</w:t>
            </w:r>
            <w:r>
              <w:rPr>
                <w:rFonts w:hint="eastAsia"/>
                <w:color w:val="auto"/>
                <w:sz w:val="24"/>
                <w:vertAlign w:val="subscript"/>
              </w:rPr>
              <w:t>p2</w:t>
            </w:r>
            <w:r>
              <w:rPr>
                <w:rFonts w:hint="eastAsia"/>
                <w:color w:val="auto"/>
                <w:sz w:val="24"/>
              </w:rPr>
              <w:t>。若声源所在室内声场为近似扩散声场，则室外的倍频带声压级可按公式（1）近似求出：</w:t>
            </w:r>
          </w:p>
          <w:p w14:paraId="17382AE0">
            <w:pPr>
              <w:adjustRightInd w:val="0"/>
              <w:snapToGrid w:val="0"/>
              <w:spacing w:line="360" w:lineRule="auto"/>
              <w:ind w:firstLine="480" w:firstLineChars="200"/>
              <w:jc w:val="center"/>
              <w:rPr>
                <w:color w:val="auto"/>
                <w:sz w:val="24"/>
              </w:rPr>
            </w:pPr>
            <w:r>
              <w:rPr>
                <w:color w:val="auto"/>
                <w:sz w:val="24"/>
              </w:rPr>
              <w:drawing>
                <wp:inline distT="0" distB="0" distL="0" distR="0">
                  <wp:extent cx="1933575" cy="417195"/>
                  <wp:effectExtent l="0" t="0" r="9525" b="1905"/>
                  <wp:docPr id="14" name="图片 195" descr="C:\Users\ADMINI~1\AppData\Local\Temp\WeChat Files\baa7946db5ef7f8ec21218520f892a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95" descr="C:\Users\ADMINI~1\AppData\Local\Temp\WeChat Files\baa7946db5ef7f8ec21218520f892a0.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1933575" cy="417195"/>
                          </a:xfrm>
                          <a:prstGeom prst="rect">
                            <a:avLst/>
                          </a:prstGeom>
                          <a:noFill/>
                          <a:ln>
                            <a:noFill/>
                          </a:ln>
                        </pic:spPr>
                      </pic:pic>
                    </a:graphicData>
                  </a:graphic>
                </wp:inline>
              </w:drawing>
            </w:r>
          </w:p>
          <w:p w14:paraId="17382AE1">
            <w:pPr>
              <w:adjustRightInd w:val="0"/>
              <w:snapToGrid w:val="0"/>
              <w:spacing w:line="360" w:lineRule="auto"/>
              <w:ind w:firstLine="480" w:firstLineChars="200"/>
              <w:rPr>
                <w:color w:val="auto"/>
                <w:sz w:val="24"/>
              </w:rPr>
            </w:pPr>
            <w:r>
              <w:rPr>
                <w:color w:val="auto"/>
                <w:sz w:val="24"/>
              </w:rPr>
              <w:t>式中：TL</w:t>
            </w:r>
            <w:r>
              <w:rPr>
                <w:rFonts w:hint="eastAsia"/>
                <w:color w:val="auto"/>
                <w:sz w:val="24"/>
              </w:rPr>
              <w:t>-</w:t>
            </w:r>
            <w:r>
              <w:rPr>
                <w:color w:val="auto"/>
                <w:sz w:val="24"/>
              </w:rPr>
              <w:t>隔墙（或窗户）倍频带的隔声量，dB。</w:t>
            </w:r>
          </w:p>
          <w:p w14:paraId="17382AE2">
            <w:pPr>
              <w:adjustRightInd w:val="0"/>
              <w:snapToGrid w:val="0"/>
              <w:spacing w:line="360" w:lineRule="auto"/>
              <w:ind w:firstLine="480" w:firstLineChars="200"/>
              <w:rPr>
                <w:color w:val="auto"/>
                <w:sz w:val="24"/>
              </w:rPr>
            </w:pPr>
            <w:r>
              <w:rPr>
                <w:color w:val="auto"/>
                <w:sz w:val="24"/>
              </w:rPr>
              <w:t>也可按公式（2）计算某一室内声源靠近围护结构处产生的倍频带声压级：</w:t>
            </w:r>
          </w:p>
          <w:p w14:paraId="17382AE3">
            <w:pPr>
              <w:adjustRightInd w:val="0"/>
              <w:snapToGrid w:val="0"/>
              <w:spacing w:line="360" w:lineRule="auto"/>
              <w:ind w:firstLine="480" w:firstLineChars="200"/>
              <w:jc w:val="center"/>
              <w:rPr>
                <w:color w:val="auto"/>
                <w:sz w:val="24"/>
              </w:rPr>
            </w:pPr>
            <w:r>
              <w:rPr>
                <w:color w:val="auto"/>
                <w:sz w:val="24"/>
              </w:rPr>
              <w:drawing>
                <wp:inline distT="0" distB="0" distL="0" distR="0">
                  <wp:extent cx="1830070" cy="504825"/>
                  <wp:effectExtent l="0" t="0" r="17780" b="9525"/>
                  <wp:docPr id="15" name="图片 196" descr="C:\Users\ADMINI~1\AppData\Local\Temp\WeChat Files\33ac2dbdcbc44ded36e90de149292f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96" descr="C:\Users\ADMINI~1\AppData\Local\Temp\WeChat Files\33ac2dbdcbc44ded36e90de149292fc.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1830070" cy="504825"/>
                          </a:xfrm>
                          <a:prstGeom prst="rect">
                            <a:avLst/>
                          </a:prstGeom>
                          <a:noFill/>
                          <a:ln>
                            <a:noFill/>
                          </a:ln>
                        </pic:spPr>
                      </pic:pic>
                    </a:graphicData>
                  </a:graphic>
                </wp:inline>
              </w:drawing>
            </w:r>
          </w:p>
          <w:p w14:paraId="17382AE4">
            <w:pPr>
              <w:adjustRightInd w:val="0"/>
              <w:snapToGrid w:val="0"/>
              <w:spacing w:line="360" w:lineRule="auto"/>
              <w:ind w:firstLine="480" w:firstLineChars="200"/>
              <w:rPr>
                <w:color w:val="auto"/>
                <w:sz w:val="24"/>
              </w:rPr>
            </w:pPr>
            <w:r>
              <w:rPr>
                <w:color w:val="auto"/>
                <w:sz w:val="24"/>
              </w:rPr>
              <w:t>式中：Q</w:t>
            </w:r>
            <w:r>
              <w:rPr>
                <w:rFonts w:hint="eastAsia"/>
                <w:color w:val="auto"/>
                <w:sz w:val="24"/>
              </w:rPr>
              <w:t>-</w:t>
            </w:r>
            <w:r>
              <w:rPr>
                <w:color w:val="auto"/>
                <w:sz w:val="24"/>
              </w:rPr>
              <w:t>指向性因数；通常对无指向性声源，当声源放在房间中心</w:t>
            </w:r>
            <w:r>
              <w:rPr>
                <w:rFonts w:hint="eastAsia"/>
                <w:color w:val="auto"/>
                <w:sz w:val="24"/>
              </w:rPr>
              <w:t>时</w:t>
            </w:r>
            <w:r>
              <w:rPr>
                <w:color w:val="auto"/>
                <w:sz w:val="24"/>
              </w:rPr>
              <w:t>，Q=1；当放在一面墙的中心时，Q=2；当放在两面墙夹角处时，Q=4；当放在三面墙夹角处时，Q=8。</w:t>
            </w:r>
          </w:p>
          <w:p w14:paraId="17382AE5">
            <w:pPr>
              <w:adjustRightInd w:val="0"/>
              <w:snapToGrid w:val="0"/>
              <w:spacing w:line="360" w:lineRule="auto"/>
              <w:ind w:firstLine="480" w:firstLineChars="200"/>
              <w:rPr>
                <w:color w:val="auto"/>
                <w:sz w:val="24"/>
              </w:rPr>
            </w:pPr>
            <w:r>
              <w:rPr>
                <w:color w:val="auto"/>
                <w:sz w:val="24"/>
              </w:rPr>
              <w:t>R</w:t>
            </w:r>
            <w:r>
              <w:rPr>
                <w:rFonts w:hint="eastAsia"/>
                <w:color w:val="auto"/>
                <w:sz w:val="24"/>
              </w:rPr>
              <w:t>-</w:t>
            </w:r>
            <w:r>
              <w:rPr>
                <w:color w:val="auto"/>
                <w:sz w:val="24"/>
              </w:rPr>
              <w:t>房间常数；</w:t>
            </w:r>
            <w:r>
              <w:rPr>
                <w:color w:val="auto"/>
                <w:sz w:val="24"/>
              </w:rPr>
              <w:drawing>
                <wp:inline distT="0" distB="0" distL="0" distR="0">
                  <wp:extent cx="1002030" cy="380365"/>
                  <wp:effectExtent l="0" t="0" r="0" b="0"/>
                  <wp:docPr id="16" name="图片 197" descr="C:\Users\ADMINI~1\AppData\Local\Temp\WeChat Files\ec412e86708670932251a89526b57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97" descr="C:\Users\ADMINI~1\AppData\Local\Temp\WeChat Files\ec412e86708670932251a89526b5747.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1002030" cy="380365"/>
                          </a:xfrm>
                          <a:prstGeom prst="rect">
                            <a:avLst/>
                          </a:prstGeom>
                          <a:noFill/>
                          <a:ln>
                            <a:noFill/>
                          </a:ln>
                        </pic:spPr>
                      </pic:pic>
                    </a:graphicData>
                  </a:graphic>
                </wp:inline>
              </w:drawing>
            </w:r>
            <w:r>
              <w:rPr>
                <w:color w:val="auto"/>
                <w:sz w:val="24"/>
              </w:rPr>
              <w:t>，S 为房间内表面面积，m</w:t>
            </w:r>
            <w:r>
              <w:rPr>
                <w:color w:val="auto"/>
                <w:sz w:val="24"/>
                <w:vertAlign w:val="superscript"/>
              </w:rPr>
              <w:t>2</w:t>
            </w:r>
            <w:r>
              <w:rPr>
                <w:color w:val="auto"/>
                <w:sz w:val="24"/>
              </w:rPr>
              <w:t>；</w:t>
            </w:r>
            <w:r>
              <w:rPr>
                <w:color w:val="auto"/>
                <w:sz w:val="24"/>
              </w:rPr>
              <w:sym w:font="Symbol" w:char="F061"/>
            </w:r>
            <w:r>
              <w:rPr>
                <w:color w:val="auto"/>
                <w:sz w:val="24"/>
              </w:rPr>
              <w:t>为平均吸声系数。</w:t>
            </w:r>
          </w:p>
          <w:p w14:paraId="17382AE6">
            <w:pPr>
              <w:adjustRightInd w:val="0"/>
              <w:snapToGrid w:val="0"/>
              <w:spacing w:line="360" w:lineRule="auto"/>
              <w:ind w:firstLine="480" w:firstLineChars="200"/>
              <w:rPr>
                <w:color w:val="auto"/>
                <w:sz w:val="24"/>
              </w:rPr>
            </w:pPr>
            <w:r>
              <w:rPr>
                <w:color w:val="auto"/>
                <w:sz w:val="24"/>
              </w:rPr>
              <w:t>r</w:t>
            </w:r>
            <w:r>
              <w:rPr>
                <w:rFonts w:hint="eastAsia"/>
                <w:color w:val="auto"/>
                <w:sz w:val="24"/>
              </w:rPr>
              <w:t>-</w:t>
            </w:r>
            <w:r>
              <w:rPr>
                <w:color w:val="auto"/>
                <w:sz w:val="24"/>
              </w:rPr>
              <w:t>声源到靠近围护结构某点处的距离，m。</w:t>
            </w:r>
          </w:p>
          <w:p w14:paraId="17382AE7">
            <w:pPr>
              <w:adjustRightInd w:val="0"/>
              <w:snapToGrid w:val="0"/>
              <w:spacing w:line="360" w:lineRule="auto"/>
              <w:ind w:firstLine="480" w:firstLineChars="200"/>
              <w:rPr>
                <w:color w:val="auto"/>
                <w:sz w:val="24"/>
              </w:rPr>
            </w:pPr>
            <w:r>
              <w:rPr>
                <w:color w:val="auto"/>
                <w:sz w:val="24"/>
              </w:rPr>
              <w:t>然后按公式（3）计算出所有室内声源在围护结构处产生的 i 倍频带声压级：</w:t>
            </w:r>
          </w:p>
          <w:p w14:paraId="17382AE8">
            <w:pPr>
              <w:adjustRightInd w:val="0"/>
              <w:snapToGrid w:val="0"/>
              <w:spacing w:line="360" w:lineRule="auto"/>
              <w:ind w:firstLine="480" w:firstLineChars="200"/>
              <w:jc w:val="center"/>
              <w:rPr>
                <w:color w:val="auto"/>
                <w:sz w:val="24"/>
              </w:rPr>
            </w:pPr>
            <w:r>
              <w:rPr>
                <w:color w:val="auto"/>
                <w:sz w:val="24"/>
              </w:rPr>
              <w:drawing>
                <wp:inline distT="0" distB="0" distL="0" distR="0">
                  <wp:extent cx="1754505" cy="542925"/>
                  <wp:effectExtent l="0" t="0" r="17145" b="9525"/>
                  <wp:docPr id="17" name="图片 198" descr="C:\Users\ADMINI~1\AppData\Local\Temp\WeChat Files\779d9bd40f21b26a70514e9a0e12d6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98" descr="C:\Users\ADMINI~1\AppData\Local\Temp\WeChat Files\779d9bd40f21b26a70514e9a0e12d6e.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1754505" cy="542925"/>
                          </a:xfrm>
                          <a:prstGeom prst="rect">
                            <a:avLst/>
                          </a:prstGeom>
                          <a:noFill/>
                          <a:ln>
                            <a:noFill/>
                          </a:ln>
                        </pic:spPr>
                      </pic:pic>
                    </a:graphicData>
                  </a:graphic>
                </wp:inline>
              </w:drawing>
            </w:r>
          </w:p>
          <w:p w14:paraId="17382AE9">
            <w:pPr>
              <w:adjustRightInd w:val="0"/>
              <w:snapToGrid w:val="0"/>
              <w:spacing w:line="360" w:lineRule="auto"/>
              <w:ind w:firstLine="480" w:firstLineChars="200"/>
              <w:rPr>
                <w:color w:val="auto"/>
                <w:sz w:val="24"/>
              </w:rPr>
            </w:pPr>
            <w:r>
              <w:rPr>
                <w:color w:val="auto"/>
                <w:sz w:val="24"/>
              </w:rPr>
              <w:t>式中：L</w:t>
            </w:r>
            <w:r>
              <w:rPr>
                <w:color w:val="auto"/>
                <w:sz w:val="24"/>
                <w:vertAlign w:val="subscript"/>
              </w:rPr>
              <w:t>P1i(T)</w:t>
            </w:r>
            <w:r>
              <w:rPr>
                <w:rFonts w:hint="eastAsia"/>
                <w:color w:val="auto"/>
                <w:sz w:val="24"/>
              </w:rPr>
              <w:t>-</w:t>
            </w:r>
            <w:r>
              <w:rPr>
                <w:color w:val="auto"/>
                <w:sz w:val="24"/>
              </w:rPr>
              <w:t>靠近围护结构处室内 N 个声源 i 倍频带的叠加声压级，dB；</w:t>
            </w:r>
          </w:p>
          <w:p w14:paraId="17382AEA">
            <w:pPr>
              <w:adjustRightInd w:val="0"/>
              <w:snapToGrid w:val="0"/>
              <w:spacing w:line="360" w:lineRule="auto"/>
              <w:ind w:firstLine="480" w:firstLineChars="200"/>
              <w:rPr>
                <w:color w:val="auto"/>
                <w:sz w:val="24"/>
              </w:rPr>
            </w:pPr>
            <w:r>
              <w:rPr>
                <w:color w:val="auto"/>
                <w:sz w:val="24"/>
              </w:rPr>
              <w:t>L</w:t>
            </w:r>
            <w:r>
              <w:rPr>
                <w:color w:val="auto"/>
                <w:sz w:val="24"/>
                <w:vertAlign w:val="subscript"/>
              </w:rPr>
              <w:t>P1ij</w:t>
            </w:r>
            <w:r>
              <w:rPr>
                <w:rFonts w:hint="eastAsia"/>
                <w:color w:val="auto"/>
                <w:sz w:val="24"/>
              </w:rPr>
              <w:t>-</w:t>
            </w:r>
            <w:r>
              <w:rPr>
                <w:color w:val="auto"/>
                <w:sz w:val="24"/>
              </w:rPr>
              <w:t>室内 j 声源 i 倍频带的声压级，dB；</w:t>
            </w:r>
          </w:p>
          <w:p w14:paraId="17382AEB">
            <w:pPr>
              <w:adjustRightInd w:val="0"/>
              <w:snapToGrid w:val="0"/>
              <w:spacing w:line="360" w:lineRule="auto"/>
              <w:ind w:firstLine="480" w:firstLineChars="200"/>
              <w:rPr>
                <w:color w:val="auto"/>
                <w:sz w:val="24"/>
              </w:rPr>
            </w:pPr>
            <w:r>
              <w:rPr>
                <w:color w:val="auto"/>
                <w:sz w:val="24"/>
              </w:rPr>
              <w:t>N</w:t>
            </w:r>
            <w:r>
              <w:rPr>
                <w:rFonts w:hint="eastAsia"/>
                <w:color w:val="auto"/>
                <w:sz w:val="24"/>
              </w:rPr>
              <w:t>-</w:t>
            </w:r>
            <w:r>
              <w:rPr>
                <w:color w:val="auto"/>
                <w:sz w:val="24"/>
              </w:rPr>
              <w:t>室内声源总数。</w:t>
            </w:r>
          </w:p>
          <w:p w14:paraId="17382AEC">
            <w:pPr>
              <w:adjustRightInd w:val="0"/>
              <w:snapToGrid w:val="0"/>
              <w:spacing w:line="360" w:lineRule="auto"/>
              <w:ind w:firstLine="480" w:firstLineChars="200"/>
              <w:rPr>
                <w:color w:val="auto"/>
                <w:sz w:val="24"/>
              </w:rPr>
            </w:pPr>
            <w:r>
              <w:rPr>
                <w:color w:val="auto"/>
                <w:sz w:val="24"/>
              </w:rPr>
              <w:t>在室内近似为扩散声场时，按公式（4）计算出靠近室外围护结构处的声压级：</w:t>
            </w:r>
          </w:p>
          <w:p w14:paraId="17382AED">
            <w:pPr>
              <w:adjustRightInd w:val="0"/>
              <w:snapToGrid w:val="0"/>
              <w:spacing w:line="360" w:lineRule="auto"/>
              <w:ind w:firstLine="480" w:firstLineChars="200"/>
              <w:jc w:val="center"/>
              <w:rPr>
                <w:color w:val="auto"/>
                <w:sz w:val="24"/>
              </w:rPr>
            </w:pPr>
            <w:r>
              <w:rPr>
                <w:color w:val="auto"/>
                <w:sz w:val="24"/>
              </w:rPr>
              <w:drawing>
                <wp:inline distT="0" distB="0" distL="0" distR="0">
                  <wp:extent cx="2019300" cy="374650"/>
                  <wp:effectExtent l="0" t="0" r="0" b="6350"/>
                  <wp:docPr id="18" name="图片 199" descr="C:\Users\ADMINI~1\AppData\Local\Temp\WeChat Files\d48f56e324ef336aae08c510aa3b2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99" descr="C:\Users\ADMINI~1\AppData\Local\Temp\WeChat Files\d48f56e324ef336aae08c510aa3b2eb.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2019300" cy="374650"/>
                          </a:xfrm>
                          <a:prstGeom prst="rect">
                            <a:avLst/>
                          </a:prstGeom>
                          <a:noFill/>
                          <a:ln>
                            <a:noFill/>
                          </a:ln>
                        </pic:spPr>
                      </pic:pic>
                    </a:graphicData>
                  </a:graphic>
                </wp:inline>
              </w:drawing>
            </w:r>
          </w:p>
          <w:p w14:paraId="17382AEE">
            <w:pPr>
              <w:adjustRightInd w:val="0"/>
              <w:snapToGrid w:val="0"/>
              <w:spacing w:line="360" w:lineRule="auto"/>
              <w:ind w:firstLine="480" w:firstLineChars="200"/>
              <w:rPr>
                <w:color w:val="auto"/>
                <w:sz w:val="24"/>
              </w:rPr>
            </w:pPr>
            <w:r>
              <w:rPr>
                <w:color w:val="auto"/>
                <w:sz w:val="24"/>
              </w:rPr>
              <w:t>式中：L</w:t>
            </w:r>
            <w:r>
              <w:rPr>
                <w:color w:val="auto"/>
                <w:sz w:val="24"/>
                <w:vertAlign w:val="subscript"/>
              </w:rPr>
              <w:t>P2i(T)</w:t>
            </w:r>
            <w:r>
              <w:rPr>
                <w:rFonts w:hint="eastAsia"/>
                <w:color w:val="auto"/>
                <w:sz w:val="24"/>
              </w:rPr>
              <w:t>-</w:t>
            </w:r>
            <w:r>
              <w:rPr>
                <w:color w:val="auto"/>
                <w:sz w:val="24"/>
              </w:rPr>
              <w:t>靠近围护结构处室外N 个声源i 倍频带的叠加声压级，dB；</w:t>
            </w:r>
          </w:p>
          <w:p w14:paraId="17382AEF">
            <w:pPr>
              <w:adjustRightInd w:val="0"/>
              <w:snapToGrid w:val="0"/>
              <w:spacing w:line="360" w:lineRule="auto"/>
              <w:ind w:firstLine="480" w:firstLineChars="200"/>
              <w:rPr>
                <w:color w:val="auto"/>
                <w:sz w:val="24"/>
              </w:rPr>
            </w:pPr>
            <w:r>
              <w:rPr>
                <w:color w:val="auto"/>
                <w:sz w:val="24"/>
              </w:rPr>
              <w:t>T</w:t>
            </w:r>
            <w:r>
              <w:rPr>
                <w:color w:val="auto"/>
                <w:sz w:val="24"/>
                <w:vertAlign w:val="subscript"/>
              </w:rPr>
              <w:t>Li</w:t>
            </w:r>
            <w:r>
              <w:rPr>
                <w:rFonts w:hint="eastAsia"/>
                <w:color w:val="auto"/>
                <w:sz w:val="24"/>
              </w:rPr>
              <w:t>-</w:t>
            </w:r>
            <w:r>
              <w:rPr>
                <w:color w:val="auto"/>
                <w:sz w:val="24"/>
              </w:rPr>
              <w:t>围护结构i 倍频带的隔声量，dB。</w:t>
            </w:r>
          </w:p>
          <w:p w14:paraId="17382AF0">
            <w:pPr>
              <w:adjustRightInd w:val="0"/>
              <w:snapToGrid w:val="0"/>
              <w:spacing w:line="360" w:lineRule="auto"/>
              <w:ind w:firstLine="480" w:firstLineChars="200"/>
              <w:rPr>
                <w:color w:val="auto"/>
                <w:sz w:val="24"/>
              </w:rPr>
            </w:pPr>
            <w:r>
              <w:rPr>
                <w:color w:val="auto"/>
                <w:sz w:val="24"/>
              </w:rPr>
              <w:t>然后按公式（5）将室外声源的声压级和透过面积换算成等效的室外声源，计算出中心位置位于透声面积（S）处的等效声源的倍频带声功率级。</w:t>
            </w:r>
          </w:p>
          <w:p w14:paraId="17382AF1">
            <w:pPr>
              <w:adjustRightInd w:val="0"/>
              <w:snapToGrid w:val="0"/>
              <w:spacing w:line="360" w:lineRule="auto"/>
              <w:ind w:firstLine="480" w:firstLineChars="200"/>
              <w:jc w:val="center"/>
              <w:rPr>
                <w:color w:val="auto"/>
                <w:sz w:val="24"/>
              </w:rPr>
            </w:pPr>
            <w:r>
              <w:rPr>
                <w:color w:val="auto"/>
                <w:sz w:val="24"/>
              </w:rPr>
              <w:drawing>
                <wp:inline distT="0" distB="0" distL="0" distR="0">
                  <wp:extent cx="2235200" cy="424180"/>
                  <wp:effectExtent l="0" t="0" r="12700" b="13970"/>
                  <wp:docPr id="19" name="图片 200" descr="C:\Users\ADMINI~1\AppData\Local\Temp\WeChat Files\7a218f931ef792a49d9d18ef21c4ef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00" descr="C:\Users\ADMINI~1\AppData\Local\Temp\WeChat Files\7a218f931ef792a49d9d18ef21c4ef2.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2235200" cy="424180"/>
                          </a:xfrm>
                          <a:prstGeom prst="rect">
                            <a:avLst/>
                          </a:prstGeom>
                          <a:noFill/>
                          <a:ln>
                            <a:noFill/>
                          </a:ln>
                        </pic:spPr>
                      </pic:pic>
                    </a:graphicData>
                  </a:graphic>
                </wp:inline>
              </w:drawing>
            </w:r>
          </w:p>
          <w:p w14:paraId="17382AF2">
            <w:pPr>
              <w:adjustRightInd w:val="0"/>
              <w:snapToGrid w:val="0"/>
              <w:spacing w:line="360" w:lineRule="auto"/>
              <w:ind w:firstLine="480" w:firstLineChars="200"/>
              <w:rPr>
                <w:color w:val="auto"/>
                <w:sz w:val="24"/>
              </w:rPr>
            </w:pPr>
            <w:r>
              <w:rPr>
                <w:color w:val="auto"/>
                <w:sz w:val="24"/>
              </w:rPr>
              <w:t>然后按室外声源预测方法计算预测点处的A 声级。</w:t>
            </w:r>
          </w:p>
          <w:p w14:paraId="17382AF3">
            <w:pPr>
              <w:adjustRightInd w:val="0"/>
              <w:snapToGrid w:val="0"/>
              <w:spacing w:line="360" w:lineRule="auto"/>
              <w:ind w:firstLine="480" w:firstLineChars="200"/>
              <w:rPr>
                <w:color w:val="auto"/>
                <w:sz w:val="24"/>
              </w:rPr>
            </w:pPr>
            <w:r>
              <w:rPr>
                <w:color w:val="auto"/>
                <w:sz w:val="24"/>
              </w:rPr>
              <w:t>②噪声贡献值计算</w:t>
            </w:r>
          </w:p>
          <w:p w14:paraId="17382AF4">
            <w:pPr>
              <w:adjustRightInd w:val="0"/>
              <w:snapToGrid w:val="0"/>
              <w:spacing w:line="360" w:lineRule="auto"/>
              <w:ind w:firstLine="480" w:firstLineChars="200"/>
              <w:rPr>
                <w:color w:val="auto"/>
                <w:sz w:val="24"/>
              </w:rPr>
            </w:pPr>
            <w:r>
              <w:rPr>
                <w:color w:val="auto"/>
                <w:sz w:val="24"/>
              </w:rPr>
              <w:t>设第i个室外声源在预测点产生的A声级为L</w:t>
            </w:r>
            <w:r>
              <w:rPr>
                <w:color w:val="auto"/>
                <w:sz w:val="24"/>
                <w:vertAlign w:val="subscript"/>
              </w:rPr>
              <w:t>Ai</w:t>
            </w:r>
            <w:r>
              <w:rPr>
                <w:color w:val="auto"/>
                <w:sz w:val="24"/>
              </w:rPr>
              <w:t>，在T时间内该声源工作时间为ti；第j个等效室外声源在预测点产生的A声级为L</w:t>
            </w:r>
            <w:r>
              <w:rPr>
                <w:color w:val="auto"/>
                <w:sz w:val="24"/>
                <w:vertAlign w:val="subscript"/>
              </w:rPr>
              <w:t>Aj</w:t>
            </w:r>
            <w:r>
              <w:rPr>
                <w:color w:val="auto"/>
                <w:sz w:val="24"/>
              </w:rPr>
              <w:t>，在T时间内该声源工作时间为tj，则新建工程声源对预测点产生的贡献值（Leqg）为：</w:t>
            </w:r>
          </w:p>
          <w:p w14:paraId="17382AF5">
            <w:pPr>
              <w:adjustRightInd w:val="0"/>
              <w:snapToGrid w:val="0"/>
              <w:spacing w:line="360" w:lineRule="auto"/>
              <w:ind w:firstLine="480" w:firstLineChars="200"/>
              <w:jc w:val="center"/>
              <w:rPr>
                <w:color w:val="auto"/>
                <w:sz w:val="24"/>
              </w:rPr>
            </w:pPr>
            <w:r>
              <w:rPr>
                <w:color w:val="auto"/>
                <w:sz w:val="24"/>
              </w:rPr>
              <w:object>
                <v:shape id="_x0000_i1025" o:spt="75" type="#_x0000_t75" style="height:30.8pt;width:180pt;" o:ole="t" filled="f" coordsize="21600,21600">
                  <v:path/>
                  <v:fill on="f" focussize="0,0"/>
                  <v:stroke/>
                  <v:imagedata r:id="rId24" o:title=""/>
                  <o:lock v:ext="edit" aspectratio="t"/>
                  <w10:wrap type="none"/>
                  <w10:anchorlock/>
                </v:shape>
                <o:OLEObject Type="Embed" ProgID="Equation.3" ShapeID="_x0000_i1025" DrawAspect="Content" ObjectID="_1468075725" r:id="rId23">
                  <o:LockedField>false</o:LockedField>
                </o:OLEObject>
              </w:object>
            </w:r>
            <w:r>
              <w:rPr>
                <w:color w:val="auto"/>
                <w:sz w:val="24"/>
              </w:rPr>
              <w:t>（6）</w:t>
            </w:r>
          </w:p>
          <w:p w14:paraId="17382AF6">
            <w:pPr>
              <w:adjustRightInd w:val="0"/>
              <w:snapToGrid w:val="0"/>
              <w:spacing w:line="360" w:lineRule="auto"/>
              <w:ind w:firstLine="480" w:firstLineChars="200"/>
              <w:rPr>
                <w:color w:val="auto"/>
                <w:sz w:val="24"/>
              </w:rPr>
            </w:pPr>
            <w:r>
              <w:rPr>
                <w:color w:val="auto"/>
                <w:sz w:val="24"/>
              </w:rPr>
              <w:t>式中：tj</w:t>
            </w:r>
            <w:r>
              <w:rPr>
                <w:rFonts w:hint="eastAsia"/>
                <w:color w:val="auto"/>
                <w:sz w:val="24"/>
              </w:rPr>
              <w:t>-</w:t>
            </w:r>
            <w:r>
              <w:rPr>
                <w:color w:val="auto"/>
                <w:sz w:val="24"/>
              </w:rPr>
              <w:t>在T时间内j声源工作时间，s；</w:t>
            </w:r>
          </w:p>
          <w:p w14:paraId="17382AF7">
            <w:pPr>
              <w:adjustRightInd w:val="0"/>
              <w:snapToGrid w:val="0"/>
              <w:spacing w:line="360" w:lineRule="auto"/>
              <w:ind w:firstLine="480" w:firstLineChars="200"/>
              <w:rPr>
                <w:color w:val="auto"/>
                <w:sz w:val="24"/>
              </w:rPr>
            </w:pPr>
            <w:r>
              <w:rPr>
                <w:color w:val="auto"/>
                <w:sz w:val="24"/>
              </w:rPr>
              <w:t>ti</w:t>
            </w:r>
            <w:r>
              <w:rPr>
                <w:rFonts w:hint="eastAsia"/>
                <w:color w:val="auto"/>
                <w:sz w:val="24"/>
              </w:rPr>
              <w:t>-</w:t>
            </w:r>
            <w:r>
              <w:rPr>
                <w:color w:val="auto"/>
                <w:sz w:val="24"/>
              </w:rPr>
              <w:t>在T时间内i声源工作时间，s；</w:t>
            </w:r>
          </w:p>
          <w:p w14:paraId="17382AF8">
            <w:pPr>
              <w:adjustRightInd w:val="0"/>
              <w:snapToGrid w:val="0"/>
              <w:spacing w:line="360" w:lineRule="auto"/>
              <w:ind w:firstLine="480" w:firstLineChars="200"/>
              <w:rPr>
                <w:color w:val="auto"/>
                <w:sz w:val="24"/>
              </w:rPr>
            </w:pPr>
            <w:r>
              <w:rPr>
                <w:color w:val="auto"/>
                <w:sz w:val="24"/>
              </w:rPr>
              <w:t>T</w:t>
            </w:r>
            <w:r>
              <w:rPr>
                <w:rFonts w:hint="eastAsia"/>
                <w:color w:val="auto"/>
                <w:sz w:val="24"/>
              </w:rPr>
              <w:t>-</w:t>
            </w:r>
            <w:r>
              <w:rPr>
                <w:color w:val="auto"/>
                <w:sz w:val="24"/>
              </w:rPr>
              <w:t>用于计算等效声级的时间，s；</w:t>
            </w:r>
          </w:p>
          <w:p w14:paraId="17382AF9">
            <w:pPr>
              <w:adjustRightInd w:val="0"/>
              <w:snapToGrid w:val="0"/>
              <w:spacing w:line="360" w:lineRule="auto"/>
              <w:ind w:firstLine="480" w:firstLineChars="200"/>
              <w:rPr>
                <w:color w:val="auto"/>
                <w:sz w:val="24"/>
              </w:rPr>
            </w:pPr>
            <w:r>
              <w:rPr>
                <w:color w:val="auto"/>
                <w:sz w:val="24"/>
              </w:rPr>
              <w:t xml:space="preserve">      N</w:t>
            </w:r>
            <w:r>
              <w:rPr>
                <w:rFonts w:hint="eastAsia"/>
                <w:color w:val="auto"/>
                <w:sz w:val="24"/>
              </w:rPr>
              <w:t>-</w:t>
            </w:r>
            <w:r>
              <w:rPr>
                <w:color w:val="auto"/>
                <w:sz w:val="24"/>
              </w:rPr>
              <w:t>室外声源个数；</w:t>
            </w:r>
          </w:p>
          <w:p w14:paraId="17382AFA">
            <w:pPr>
              <w:adjustRightInd w:val="0"/>
              <w:snapToGrid w:val="0"/>
              <w:spacing w:line="360" w:lineRule="auto"/>
              <w:ind w:firstLine="480" w:firstLineChars="200"/>
              <w:rPr>
                <w:color w:val="auto"/>
                <w:sz w:val="24"/>
              </w:rPr>
            </w:pPr>
            <w:r>
              <w:rPr>
                <w:color w:val="auto"/>
                <w:sz w:val="24"/>
              </w:rPr>
              <w:t xml:space="preserve">      M</w:t>
            </w:r>
            <w:r>
              <w:rPr>
                <w:rFonts w:hint="eastAsia"/>
                <w:color w:val="auto"/>
                <w:sz w:val="24"/>
              </w:rPr>
              <w:t>-</w:t>
            </w:r>
            <w:r>
              <w:rPr>
                <w:color w:val="auto"/>
                <w:sz w:val="24"/>
              </w:rPr>
              <w:t>等效室外声源个数。</w:t>
            </w:r>
          </w:p>
          <w:p w14:paraId="17382AFB">
            <w:pPr>
              <w:adjustRightInd w:val="0"/>
              <w:snapToGrid w:val="0"/>
              <w:spacing w:line="360" w:lineRule="auto"/>
              <w:ind w:firstLine="480" w:firstLineChars="200"/>
              <w:rPr>
                <w:color w:val="auto"/>
                <w:sz w:val="24"/>
              </w:rPr>
            </w:pPr>
            <w:r>
              <w:rPr>
                <w:color w:val="auto"/>
                <w:sz w:val="24"/>
              </w:rPr>
              <w:t>本项目根据《环境影响评价技术导则声环境》（HJ2.4-2021）中的评价方法和评价量，选用以上预测模式，预测建设项目</w:t>
            </w:r>
            <w:r>
              <w:rPr>
                <w:rFonts w:hint="eastAsia"/>
                <w:color w:val="auto"/>
                <w:sz w:val="24"/>
                <w:lang w:val="en-US" w:eastAsia="zh-CN"/>
              </w:rPr>
              <w:t>厂界及声环境保护目标噪声预测结果及达标分析</w:t>
            </w:r>
            <w:r>
              <w:rPr>
                <w:color w:val="auto"/>
                <w:sz w:val="24"/>
              </w:rPr>
              <w:t>。</w:t>
            </w:r>
          </w:p>
          <w:p w14:paraId="17382AFC">
            <w:pPr>
              <w:widowControl/>
              <w:adjustRightInd w:val="0"/>
              <w:snapToGrid w:val="0"/>
              <w:jc w:val="center"/>
              <w:rPr>
                <w:b/>
                <w:color w:val="auto"/>
                <w:kern w:val="0"/>
                <w:sz w:val="24"/>
              </w:rPr>
            </w:pPr>
            <w:r>
              <w:rPr>
                <w:rFonts w:hint="eastAsia"/>
                <w:b/>
                <w:color w:val="auto"/>
                <w:kern w:val="0"/>
                <w:sz w:val="24"/>
              </w:rPr>
              <w:t>表4-15 厂界噪声预测结果与达标分析表</w:t>
            </w:r>
          </w:p>
          <w:tbl>
            <w:tblPr>
              <w:tblStyle w:val="88"/>
              <w:tblW w:w="4997" w:type="pct"/>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fixed"/>
              <w:tblCellMar>
                <w:top w:w="0" w:type="dxa"/>
                <w:left w:w="108" w:type="dxa"/>
                <w:bottom w:w="0" w:type="dxa"/>
                <w:right w:w="108" w:type="dxa"/>
              </w:tblCellMar>
            </w:tblPr>
            <w:tblGrid>
              <w:gridCol w:w="1668"/>
              <w:gridCol w:w="1230"/>
              <w:gridCol w:w="1780"/>
              <w:gridCol w:w="2043"/>
              <w:gridCol w:w="1733"/>
            </w:tblGrid>
            <w:tr w14:paraId="17382B02">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986" w:type="pct"/>
                  <w:vAlign w:val="center"/>
                </w:tcPr>
                <w:p w14:paraId="17382AFD">
                  <w:pPr>
                    <w:widowControl/>
                    <w:adjustRightInd w:val="0"/>
                    <w:ind w:right="-42" w:rightChars="-20"/>
                    <w:jc w:val="center"/>
                    <w:textAlignment w:val="baseline"/>
                    <w:rPr>
                      <w:b/>
                      <w:bCs/>
                      <w:color w:val="auto"/>
                      <w:szCs w:val="21"/>
                    </w:rPr>
                  </w:pPr>
                  <w:r>
                    <w:rPr>
                      <w:b/>
                      <w:bCs/>
                      <w:color w:val="auto"/>
                      <w:szCs w:val="21"/>
                    </w:rPr>
                    <w:t>预测方位</w:t>
                  </w:r>
                </w:p>
              </w:tc>
              <w:tc>
                <w:tcPr>
                  <w:tcW w:w="727" w:type="pct"/>
                  <w:vAlign w:val="center"/>
                </w:tcPr>
                <w:p w14:paraId="17382AFE">
                  <w:pPr>
                    <w:widowControl/>
                    <w:adjustRightInd w:val="0"/>
                    <w:ind w:right="-42" w:rightChars="-20"/>
                    <w:jc w:val="center"/>
                    <w:textAlignment w:val="baseline"/>
                    <w:rPr>
                      <w:b/>
                      <w:bCs/>
                      <w:color w:val="auto"/>
                      <w:szCs w:val="21"/>
                    </w:rPr>
                  </w:pPr>
                  <w:r>
                    <w:rPr>
                      <w:b/>
                      <w:bCs/>
                      <w:color w:val="auto"/>
                      <w:szCs w:val="21"/>
                    </w:rPr>
                    <w:t>时段</w:t>
                  </w:r>
                </w:p>
              </w:tc>
              <w:tc>
                <w:tcPr>
                  <w:tcW w:w="1052" w:type="pct"/>
                  <w:vAlign w:val="center"/>
                </w:tcPr>
                <w:p w14:paraId="17382AFF">
                  <w:pPr>
                    <w:widowControl/>
                    <w:adjustRightInd w:val="0"/>
                    <w:ind w:right="-42" w:rightChars="-20"/>
                    <w:jc w:val="center"/>
                    <w:textAlignment w:val="baseline"/>
                    <w:rPr>
                      <w:b/>
                      <w:bCs/>
                      <w:color w:val="auto"/>
                      <w:szCs w:val="21"/>
                    </w:rPr>
                  </w:pPr>
                  <w:r>
                    <w:rPr>
                      <w:b/>
                      <w:bCs/>
                      <w:color w:val="auto"/>
                      <w:szCs w:val="21"/>
                    </w:rPr>
                    <w:t>贡献值</w:t>
                  </w:r>
                </w:p>
              </w:tc>
              <w:tc>
                <w:tcPr>
                  <w:tcW w:w="1208" w:type="pct"/>
                  <w:vAlign w:val="center"/>
                </w:tcPr>
                <w:p w14:paraId="17382B00">
                  <w:pPr>
                    <w:widowControl/>
                    <w:adjustRightInd w:val="0"/>
                    <w:ind w:right="-42" w:rightChars="-20"/>
                    <w:jc w:val="center"/>
                    <w:textAlignment w:val="baseline"/>
                    <w:rPr>
                      <w:b/>
                      <w:bCs/>
                      <w:color w:val="auto"/>
                      <w:szCs w:val="21"/>
                    </w:rPr>
                  </w:pPr>
                  <w:r>
                    <w:rPr>
                      <w:b/>
                      <w:bCs/>
                      <w:color w:val="auto"/>
                      <w:szCs w:val="21"/>
                    </w:rPr>
                    <w:t>标准限值</w:t>
                  </w:r>
                </w:p>
              </w:tc>
              <w:tc>
                <w:tcPr>
                  <w:tcW w:w="1025" w:type="pct"/>
                  <w:vAlign w:val="center"/>
                </w:tcPr>
                <w:p w14:paraId="17382B01">
                  <w:pPr>
                    <w:pStyle w:val="55"/>
                    <w:jc w:val="center"/>
                    <w:rPr>
                      <w:b/>
                      <w:bCs/>
                      <w:color w:val="auto"/>
                      <w:sz w:val="21"/>
                      <w:szCs w:val="21"/>
                    </w:rPr>
                  </w:pPr>
                  <w:r>
                    <w:rPr>
                      <w:b/>
                      <w:bCs/>
                      <w:color w:val="auto"/>
                      <w:sz w:val="21"/>
                      <w:szCs w:val="21"/>
                    </w:rPr>
                    <w:t>达标情况</w:t>
                  </w:r>
                </w:p>
              </w:tc>
            </w:tr>
            <w:tr w14:paraId="17382B08">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986" w:type="pct"/>
                  <w:vAlign w:val="center"/>
                </w:tcPr>
                <w:p w14:paraId="17382B03">
                  <w:pPr>
                    <w:widowControl/>
                    <w:adjustRightInd w:val="0"/>
                    <w:ind w:right="-42" w:rightChars="-20"/>
                    <w:jc w:val="center"/>
                    <w:textAlignment w:val="baseline"/>
                    <w:rPr>
                      <w:color w:val="auto"/>
                      <w:szCs w:val="21"/>
                    </w:rPr>
                  </w:pPr>
                  <w:r>
                    <w:rPr>
                      <w:color w:val="auto"/>
                      <w:szCs w:val="21"/>
                    </w:rPr>
                    <w:t>东侧</w:t>
                  </w:r>
                </w:p>
              </w:tc>
              <w:tc>
                <w:tcPr>
                  <w:tcW w:w="727" w:type="pct"/>
                  <w:vAlign w:val="center"/>
                </w:tcPr>
                <w:p w14:paraId="17382B04">
                  <w:pPr>
                    <w:widowControl/>
                    <w:adjustRightInd w:val="0"/>
                    <w:ind w:right="-42" w:rightChars="-20"/>
                    <w:jc w:val="center"/>
                    <w:textAlignment w:val="baseline"/>
                    <w:rPr>
                      <w:color w:val="auto"/>
                      <w:szCs w:val="21"/>
                    </w:rPr>
                  </w:pPr>
                  <w:r>
                    <w:rPr>
                      <w:color w:val="auto"/>
                      <w:szCs w:val="21"/>
                    </w:rPr>
                    <w:t>昼间</w:t>
                  </w:r>
                </w:p>
              </w:tc>
              <w:tc>
                <w:tcPr>
                  <w:tcW w:w="1052" w:type="pct"/>
                  <w:vAlign w:val="center"/>
                </w:tcPr>
                <w:p w14:paraId="17382B05">
                  <w:pPr>
                    <w:widowControl/>
                    <w:adjustRightInd w:val="0"/>
                    <w:ind w:right="-42" w:rightChars="-20"/>
                    <w:jc w:val="center"/>
                    <w:textAlignment w:val="baseline"/>
                    <w:rPr>
                      <w:color w:val="auto"/>
                      <w:szCs w:val="21"/>
                    </w:rPr>
                  </w:pPr>
                  <w:r>
                    <w:rPr>
                      <w:rFonts w:hint="eastAsia"/>
                      <w:color w:val="auto"/>
                      <w:szCs w:val="21"/>
                    </w:rPr>
                    <w:t>34.86</w:t>
                  </w:r>
                </w:p>
              </w:tc>
              <w:tc>
                <w:tcPr>
                  <w:tcW w:w="1208" w:type="pct"/>
                  <w:vAlign w:val="center"/>
                </w:tcPr>
                <w:p w14:paraId="17382B06">
                  <w:pPr>
                    <w:widowControl/>
                    <w:adjustRightInd w:val="0"/>
                    <w:ind w:right="-42" w:rightChars="-20"/>
                    <w:jc w:val="center"/>
                    <w:textAlignment w:val="baseline"/>
                    <w:rPr>
                      <w:color w:val="auto"/>
                      <w:szCs w:val="21"/>
                    </w:rPr>
                  </w:pPr>
                  <w:r>
                    <w:rPr>
                      <w:rFonts w:hint="eastAsia"/>
                      <w:color w:val="auto"/>
                      <w:szCs w:val="21"/>
                    </w:rPr>
                    <w:t>60</w:t>
                  </w:r>
                </w:p>
              </w:tc>
              <w:tc>
                <w:tcPr>
                  <w:tcW w:w="1025" w:type="pct"/>
                  <w:vMerge w:val="restart"/>
                  <w:vAlign w:val="center"/>
                </w:tcPr>
                <w:p w14:paraId="17382B07">
                  <w:pPr>
                    <w:pStyle w:val="55"/>
                    <w:jc w:val="center"/>
                    <w:rPr>
                      <w:color w:val="auto"/>
                      <w:sz w:val="21"/>
                      <w:szCs w:val="21"/>
                    </w:rPr>
                  </w:pPr>
                  <w:r>
                    <w:rPr>
                      <w:color w:val="auto"/>
                      <w:sz w:val="21"/>
                      <w:szCs w:val="21"/>
                    </w:rPr>
                    <w:t>达标</w:t>
                  </w:r>
                </w:p>
              </w:tc>
            </w:tr>
            <w:tr w14:paraId="17382B0E">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986" w:type="pct"/>
                  <w:vAlign w:val="center"/>
                </w:tcPr>
                <w:p w14:paraId="17382B09">
                  <w:pPr>
                    <w:widowControl/>
                    <w:adjustRightInd w:val="0"/>
                    <w:ind w:right="-42" w:rightChars="-20"/>
                    <w:jc w:val="center"/>
                    <w:textAlignment w:val="baseline"/>
                    <w:rPr>
                      <w:color w:val="auto"/>
                      <w:szCs w:val="21"/>
                    </w:rPr>
                  </w:pPr>
                  <w:r>
                    <w:rPr>
                      <w:rFonts w:hint="eastAsia"/>
                      <w:color w:val="auto"/>
                      <w:szCs w:val="21"/>
                    </w:rPr>
                    <w:t>南</w:t>
                  </w:r>
                  <w:r>
                    <w:rPr>
                      <w:color w:val="auto"/>
                      <w:szCs w:val="21"/>
                    </w:rPr>
                    <w:t>侧</w:t>
                  </w:r>
                </w:p>
              </w:tc>
              <w:tc>
                <w:tcPr>
                  <w:tcW w:w="727" w:type="pct"/>
                  <w:vAlign w:val="center"/>
                </w:tcPr>
                <w:p w14:paraId="17382B0A">
                  <w:pPr>
                    <w:widowControl/>
                    <w:adjustRightInd w:val="0"/>
                    <w:ind w:right="-42" w:rightChars="-20"/>
                    <w:jc w:val="center"/>
                    <w:textAlignment w:val="baseline"/>
                    <w:rPr>
                      <w:color w:val="auto"/>
                      <w:szCs w:val="21"/>
                    </w:rPr>
                  </w:pPr>
                  <w:r>
                    <w:rPr>
                      <w:color w:val="auto"/>
                      <w:szCs w:val="21"/>
                    </w:rPr>
                    <w:t>昼间</w:t>
                  </w:r>
                </w:p>
              </w:tc>
              <w:tc>
                <w:tcPr>
                  <w:tcW w:w="1052" w:type="pct"/>
                  <w:vAlign w:val="center"/>
                </w:tcPr>
                <w:p w14:paraId="17382B0B">
                  <w:pPr>
                    <w:widowControl/>
                    <w:adjustRightInd w:val="0"/>
                    <w:ind w:right="-42" w:rightChars="-20"/>
                    <w:jc w:val="center"/>
                    <w:textAlignment w:val="baseline"/>
                    <w:rPr>
                      <w:color w:val="auto"/>
                      <w:szCs w:val="21"/>
                    </w:rPr>
                  </w:pPr>
                  <w:r>
                    <w:rPr>
                      <w:rFonts w:hint="eastAsia"/>
                      <w:color w:val="auto"/>
                      <w:szCs w:val="21"/>
                    </w:rPr>
                    <w:t>40.64</w:t>
                  </w:r>
                </w:p>
              </w:tc>
              <w:tc>
                <w:tcPr>
                  <w:tcW w:w="1208" w:type="pct"/>
                  <w:vAlign w:val="center"/>
                </w:tcPr>
                <w:p w14:paraId="17382B0C">
                  <w:pPr>
                    <w:widowControl/>
                    <w:adjustRightInd w:val="0"/>
                    <w:ind w:right="-42" w:rightChars="-20"/>
                    <w:jc w:val="center"/>
                    <w:textAlignment w:val="baseline"/>
                    <w:rPr>
                      <w:color w:val="auto"/>
                      <w:szCs w:val="21"/>
                    </w:rPr>
                  </w:pPr>
                  <w:r>
                    <w:rPr>
                      <w:rFonts w:hint="eastAsia"/>
                      <w:color w:val="auto"/>
                      <w:szCs w:val="21"/>
                    </w:rPr>
                    <w:t>60</w:t>
                  </w:r>
                </w:p>
              </w:tc>
              <w:tc>
                <w:tcPr>
                  <w:tcW w:w="1025" w:type="pct"/>
                  <w:vMerge w:val="continue"/>
                  <w:vAlign w:val="center"/>
                </w:tcPr>
                <w:p w14:paraId="17382B0D">
                  <w:pPr>
                    <w:pStyle w:val="55"/>
                    <w:jc w:val="center"/>
                    <w:rPr>
                      <w:color w:val="auto"/>
                      <w:sz w:val="21"/>
                      <w:szCs w:val="21"/>
                    </w:rPr>
                  </w:pPr>
                </w:p>
              </w:tc>
            </w:tr>
            <w:tr w14:paraId="17382B14">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986" w:type="pct"/>
                  <w:vAlign w:val="center"/>
                </w:tcPr>
                <w:p w14:paraId="17382B0F">
                  <w:pPr>
                    <w:widowControl/>
                    <w:adjustRightInd w:val="0"/>
                    <w:ind w:right="-42" w:rightChars="-20"/>
                    <w:jc w:val="center"/>
                    <w:textAlignment w:val="baseline"/>
                    <w:rPr>
                      <w:color w:val="auto"/>
                      <w:szCs w:val="21"/>
                    </w:rPr>
                  </w:pPr>
                  <w:r>
                    <w:rPr>
                      <w:rFonts w:hint="eastAsia"/>
                      <w:color w:val="auto"/>
                      <w:szCs w:val="21"/>
                    </w:rPr>
                    <w:t>西</w:t>
                  </w:r>
                  <w:r>
                    <w:rPr>
                      <w:color w:val="auto"/>
                      <w:szCs w:val="21"/>
                    </w:rPr>
                    <w:t>侧</w:t>
                  </w:r>
                </w:p>
              </w:tc>
              <w:tc>
                <w:tcPr>
                  <w:tcW w:w="727" w:type="pct"/>
                  <w:vAlign w:val="center"/>
                </w:tcPr>
                <w:p w14:paraId="17382B10">
                  <w:pPr>
                    <w:widowControl/>
                    <w:adjustRightInd w:val="0"/>
                    <w:ind w:right="-42" w:rightChars="-20"/>
                    <w:jc w:val="center"/>
                    <w:textAlignment w:val="baseline"/>
                    <w:rPr>
                      <w:color w:val="auto"/>
                      <w:szCs w:val="21"/>
                    </w:rPr>
                  </w:pPr>
                  <w:r>
                    <w:rPr>
                      <w:color w:val="auto"/>
                      <w:szCs w:val="21"/>
                    </w:rPr>
                    <w:t>昼间</w:t>
                  </w:r>
                </w:p>
              </w:tc>
              <w:tc>
                <w:tcPr>
                  <w:tcW w:w="1052" w:type="pct"/>
                  <w:vAlign w:val="center"/>
                </w:tcPr>
                <w:p w14:paraId="17382B11">
                  <w:pPr>
                    <w:widowControl/>
                    <w:adjustRightInd w:val="0"/>
                    <w:ind w:right="-42" w:rightChars="-20"/>
                    <w:jc w:val="center"/>
                    <w:textAlignment w:val="baseline"/>
                    <w:rPr>
                      <w:color w:val="auto"/>
                      <w:szCs w:val="21"/>
                    </w:rPr>
                  </w:pPr>
                  <w:r>
                    <w:rPr>
                      <w:rFonts w:hint="eastAsia"/>
                      <w:color w:val="auto"/>
                      <w:szCs w:val="21"/>
                    </w:rPr>
                    <w:t>42.23</w:t>
                  </w:r>
                </w:p>
              </w:tc>
              <w:tc>
                <w:tcPr>
                  <w:tcW w:w="1208" w:type="pct"/>
                  <w:vAlign w:val="center"/>
                </w:tcPr>
                <w:p w14:paraId="17382B12">
                  <w:pPr>
                    <w:widowControl/>
                    <w:adjustRightInd w:val="0"/>
                    <w:ind w:right="-42" w:rightChars="-20"/>
                    <w:jc w:val="center"/>
                    <w:textAlignment w:val="baseline"/>
                    <w:rPr>
                      <w:color w:val="auto"/>
                      <w:szCs w:val="21"/>
                    </w:rPr>
                  </w:pPr>
                  <w:r>
                    <w:rPr>
                      <w:rFonts w:hint="eastAsia"/>
                      <w:color w:val="auto"/>
                      <w:szCs w:val="21"/>
                    </w:rPr>
                    <w:t>60</w:t>
                  </w:r>
                </w:p>
              </w:tc>
              <w:tc>
                <w:tcPr>
                  <w:tcW w:w="1025" w:type="pct"/>
                  <w:vMerge w:val="continue"/>
                  <w:vAlign w:val="center"/>
                </w:tcPr>
                <w:p w14:paraId="17382B13">
                  <w:pPr>
                    <w:pStyle w:val="55"/>
                    <w:jc w:val="center"/>
                    <w:rPr>
                      <w:color w:val="auto"/>
                      <w:sz w:val="21"/>
                      <w:szCs w:val="21"/>
                    </w:rPr>
                  </w:pPr>
                </w:p>
              </w:tc>
            </w:tr>
            <w:tr w14:paraId="17382B1A">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986" w:type="pct"/>
                  <w:vAlign w:val="center"/>
                </w:tcPr>
                <w:p w14:paraId="17382B15">
                  <w:pPr>
                    <w:widowControl/>
                    <w:adjustRightInd w:val="0"/>
                    <w:ind w:right="-42" w:rightChars="-20"/>
                    <w:jc w:val="center"/>
                    <w:textAlignment w:val="baseline"/>
                    <w:rPr>
                      <w:color w:val="auto"/>
                      <w:szCs w:val="21"/>
                    </w:rPr>
                  </w:pPr>
                  <w:bookmarkStart w:id="9" w:name="OLE_LINK9"/>
                  <w:bookmarkStart w:id="10" w:name="_Hlk364239474"/>
                  <w:r>
                    <w:rPr>
                      <w:rFonts w:hint="eastAsia"/>
                      <w:color w:val="auto"/>
                      <w:szCs w:val="21"/>
                    </w:rPr>
                    <w:t>北侧</w:t>
                  </w:r>
                </w:p>
              </w:tc>
              <w:tc>
                <w:tcPr>
                  <w:tcW w:w="727" w:type="pct"/>
                  <w:vAlign w:val="center"/>
                </w:tcPr>
                <w:p w14:paraId="17382B16">
                  <w:pPr>
                    <w:widowControl/>
                    <w:adjustRightInd w:val="0"/>
                    <w:ind w:right="-42" w:rightChars="-20"/>
                    <w:jc w:val="center"/>
                    <w:textAlignment w:val="baseline"/>
                    <w:rPr>
                      <w:color w:val="auto"/>
                      <w:szCs w:val="21"/>
                    </w:rPr>
                  </w:pPr>
                  <w:r>
                    <w:rPr>
                      <w:color w:val="auto"/>
                      <w:szCs w:val="21"/>
                    </w:rPr>
                    <w:t>昼间</w:t>
                  </w:r>
                </w:p>
              </w:tc>
              <w:tc>
                <w:tcPr>
                  <w:tcW w:w="1052" w:type="pct"/>
                  <w:vAlign w:val="center"/>
                </w:tcPr>
                <w:p w14:paraId="17382B17">
                  <w:pPr>
                    <w:widowControl/>
                    <w:adjustRightInd w:val="0"/>
                    <w:ind w:right="-42" w:rightChars="-20"/>
                    <w:jc w:val="center"/>
                    <w:textAlignment w:val="baseline"/>
                    <w:rPr>
                      <w:color w:val="auto"/>
                      <w:szCs w:val="21"/>
                    </w:rPr>
                  </w:pPr>
                  <w:r>
                    <w:rPr>
                      <w:rFonts w:hint="eastAsia"/>
                      <w:color w:val="auto"/>
                      <w:szCs w:val="21"/>
                    </w:rPr>
                    <w:t>47.68</w:t>
                  </w:r>
                </w:p>
              </w:tc>
              <w:tc>
                <w:tcPr>
                  <w:tcW w:w="1208" w:type="pct"/>
                  <w:vAlign w:val="center"/>
                </w:tcPr>
                <w:p w14:paraId="17382B18">
                  <w:pPr>
                    <w:widowControl/>
                    <w:adjustRightInd w:val="0"/>
                    <w:ind w:right="-42" w:rightChars="-20"/>
                    <w:jc w:val="center"/>
                    <w:textAlignment w:val="baseline"/>
                    <w:rPr>
                      <w:color w:val="auto"/>
                      <w:szCs w:val="21"/>
                    </w:rPr>
                  </w:pPr>
                  <w:r>
                    <w:rPr>
                      <w:rFonts w:hint="eastAsia"/>
                      <w:color w:val="auto"/>
                      <w:szCs w:val="21"/>
                    </w:rPr>
                    <w:t>60</w:t>
                  </w:r>
                </w:p>
              </w:tc>
              <w:tc>
                <w:tcPr>
                  <w:tcW w:w="1025" w:type="pct"/>
                  <w:vMerge w:val="continue"/>
                  <w:vAlign w:val="center"/>
                </w:tcPr>
                <w:p w14:paraId="17382B19">
                  <w:pPr>
                    <w:pStyle w:val="55"/>
                    <w:jc w:val="center"/>
                    <w:rPr>
                      <w:color w:val="auto"/>
                      <w:sz w:val="21"/>
                      <w:szCs w:val="21"/>
                    </w:rPr>
                  </w:pPr>
                </w:p>
              </w:tc>
            </w:tr>
          </w:tbl>
          <w:p w14:paraId="17382B1B">
            <w:pPr>
              <w:widowControl/>
              <w:adjustRightInd w:val="0"/>
              <w:snapToGrid w:val="0"/>
              <w:spacing w:line="500" w:lineRule="exact"/>
              <w:jc w:val="center"/>
              <w:rPr>
                <w:b/>
                <w:color w:val="auto"/>
                <w:kern w:val="0"/>
                <w:sz w:val="24"/>
              </w:rPr>
            </w:pPr>
            <w:r>
              <w:rPr>
                <w:rFonts w:hint="eastAsia"/>
                <w:b/>
                <w:color w:val="auto"/>
                <w:kern w:val="0"/>
                <w:sz w:val="24"/>
              </w:rPr>
              <w:t>表4-16声环境保护目标噪声预测结果与达标分析表</w:t>
            </w:r>
          </w:p>
          <w:tbl>
            <w:tblPr>
              <w:tblStyle w:val="88"/>
              <w:tblW w:w="8455"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77"/>
              <w:gridCol w:w="825"/>
              <w:gridCol w:w="959"/>
              <w:gridCol w:w="976"/>
              <w:gridCol w:w="932"/>
              <w:gridCol w:w="998"/>
              <w:gridCol w:w="1103"/>
              <w:gridCol w:w="1189"/>
              <w:gridCol w:w="1196"/>
            </w:tblGrid>
            <w:tr w14:paraId="17382B2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77" w:type="dxa"/>
                  <w:vMerge w:val="restart"/>
                  <w:tcBorders>
                    <w:top w:val="single" w:color="auto" w:sz="12" w:space="0"/>
                    <w:left w:val="nil"/>
                    <w:bottom w:val="single" w:color="auto" w:sz="4" w:space="0"/>
                    <w:right w:val="single" w:color="auto" w:sz="4" w:space="0"/>
                  </w:tcBorders>
                  <w:tcMar>
                    <w:top w:w="0" w:type="dxa"/>
                    <w:left w:w="0" w:type="dxa"/>
                    <w:bottom w:w="0" w:type="dxa"/>
                    <w:right w:w="0" w:type="dxa"/>
                  </w:tcMar>
                  <w:vAlign w:val="center"/>
                </w:tcPr>
                <w:p w14:paraId="17382B1C">
                  <w:pPr>
                    <w:jc w:val="center"/>
                    <w:rPr>
                      <w:b/>
                      <w:bCs/>
                      <w:color w:val="auto"/>
                      <w:szCs w:val="21"/>
                    </w:rPr>
                  </w:pPr>
                  <w:r>
                    <w:rPr>
                      <w:b/>
                      <w:bCs/>
                      <w:color w:val="auto"/>
                      <w:szCs w:val="21"/>
                    </w:rPr>
                    <w:t>序号</w:t>
                  </w:r>
                </w:p>
              </w:tc>
              <w:tc>
                <w:tcPr>
                  <w:tcW w:w="825" w:type="dxa"/>
                  <w:vMerge w:val="restart"/>
                  <w:tcBorders>
                    <w:top w:val="single" w:color="auto" w:sz="12"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1D">
                  <w:pPr>
                    <w:jc w:val="center"/>
                    <w:rPr>
                      <w:b/>
                      <w:bCs/>
                      <w:color w:val="auto"/>
                      <w:szCs w:val="21"/>
                    </w:rPr>
                  </w:pPr>
                  <w:r>
                    <w:rPr>
                      <w:b/>
                      <w:bCs/>
                      <w:color w:val="auto"/>
                      <w:szCs w:val="21"/>
                    </w:rPr>
                    <w:t>声环境保护目标名称</w:t>
                  </w:r>
                </w:p>
              </w:tc>
              <w:tc>
                <w:tcPr>
                  <w:tcW w:w="959" w:type="dxa"/>
                  <w:tcBorders>
                    <w:top w:val="single" w:color="auto" w:sz="12"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1E">
                  <w:pPr>
                    <w:jc w:val="center"/>
                    <w:rPr>
                      <w:b/>
                      <w:bCs/>
                      <w:color w:val="auto"/>
                      <w:szCs w:val="21"/>
                    </w:rPr>
                  </w:pPr>
                  <w:r>
                    <w:rPr>
                      <w:b/>
                      <w:bCs/>
                      <w:color w:val="auto"/>
                      <w:szCs w:val="21"/>
                    </w:rPr>
                    <w:t>噪声背景值/dB(A)</w:t>
                  </w:r>
                </w:p>
              </w:tc>
              <w:tc>
                <w:tcPr>
                  <w:tcW w:w="976" w:type="dxa"/>
                  <w:tcBorders>
                    <w:top w:val="single" w:color="auto" w:sz="12"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1F">
                  <w:pPr>
                    <w:jc w:val="center"/>
                    <w:rPr>
                      <w:b/>
                      <w:bCs/>
                      <w:color w:val="auto"/>
                      <w:szCs w:val="21"/>
                    </w:rPr>
                  </w:pPr>
                  <w:r>
                    <w:rPr>
                      <w:b/>
                      <w:bCs/>
                      <w:color w:val="auto"/>
                      <w:szCs w:val="21"/>
                    </w:rPr>
                    <w:t>噪声现状值/dB(A)</w:t>
                  </w:r>
                </w:p>
              </w:tc>
              <w:tc>
                <w:tcPr>
                  <w:tcW w:w="932" w:type="dxa"/>
                  <w:tcBorders>
                    <w:top w:val="single" w:color="auto" w:sz="12"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20">
                  <w:pPr>
                    <w:jc w:val="center"/>
                    <w:rPr>
                      <w:b/>
                      <w:bCs/>
                      <w:color w:val="auto"/>
                      <w:szCs w:val="21"/>
                    </w:rPr>
                  </w:pPr>
                  <w:r>
                    <w:rPr>
                      <w:b/>
                      <w:bCs/>
                      <w:color w:val="auto"/>
                      <w:szCs w:val="21"/>
                    </w:rPr>
                    <w:t>噪声标准/dB(A)</w:t>
                  </w:r>
                </w:p>
              </w:tc>
              <w:tc>
                <w:tcPr>
                  <w:tcW w:w="998" w:type="dxa"/>
                  <w:tcBorders>
                    <w:top w:val="single" w:color="auto" w:sz="12"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21">
                  <w:pPr>
                    <w:jc w:val="center"/>
                    <w:rPr>
                      <w:b/>
                      <w:bCs/>
                      <w:color w:val="auto"/>
                      <w:szCs w:val="21"/>
                    </w:rPr>
                  </w:pPr>
                  <w:r>
                    <w:rPr>
                      <w:rFonts w:hint="eastAsia"/>
                      <w:b/>
                      <w:bCs/>
                      <w:color w:val="auto"/>
                      <w:szCs w:val="21"/>
                    </w:rPr>
                    <w:t>本项目</w:t>
                  </w:r>
                  <w:r>
                    <w:rPr>
                      <w:b/>
                      <w:bCs/>
                      <w:color w:val="auto"/>
                      <w:szCs w:val="21"/>
                    </w:rPr>
                    <w:t>噪声贡献值/dB(A)</w:t>
                  </w:r>
                </w:p>
              </w:tc>
              <w:tc>
                <w:tcPr>
                  <w:tcW w:w="1103" w:type="dxa"/>
                  <w:tcBorders>
                    <w:top w:val="single" w:color="auto" w:sz="12"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22">
                  <w:pPr>
                    <w:jc w:val="center"/>
                    <w:rPr>
                      <w:b/>
                      <w:bCs/>
                      <w:color w:val="auto"/>
                      <w:szCs w:val="21"/>
                    </w:rPr>
                  </w:pPr>
                  <w:r>
                    <w:rPr>
                      <w:b/>
                      <w:bCs/>
                      <w:color w:val="auto"/>
                      <w:szCs w:val="21"/>
                    </w:rPr>
                    <w:t>噪声预测值/dB(A)</w:t>
                  </w:r>
                </w:p>
              </w:tc>
              <w:tc>
                <w:tcPr>
                  <w:tcW w:w="1189" w:type="dxa"/>
                  <w:tcBorders>
                    <w:top w:val="single" w:color="auto" w:sz="12"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23">
                  <w:pPr>
                    <w:jc w:val="center"/>
                    <w:rPr>
                      <w:b/>
                      <w:bCs/>
                      <w:color w:val="auto"/>
                      <w:szCs w:val="21"/>
                    </w:rPr>
                  </w:pPr>
                  <w:r>
                    <w:rPr>
                      <w:b/>
                      <w:bCs/>
                      <w:color w:val="auto"/>
                      <w:szCs w:val="21"/>
                    </w:rPr>
                    <w:t>较现状增量/dB(A)</w:t>
                  </w:r>
                </w:p>
              </w:tc>
              <w:tc>
                <w:tcPr>
                  <w:tcW w:w="1196" w:type="dxa"/>
                  <w:tcBorders>
                    <w:top w:val="single" w:color="auto" w:sz="12" w:space="0"/>
                    <w:left w:val="single" w:color="auto" w:sz="4" w:space="0"/>
                    <w:bottom w:val="single" w:color="auto" w:sz="4" w:space="0"/>
                    <w:right w:val="nil"/>
                  </w:tcBorders>
                  <w:tcMar>
                    <w:top w:w="0" w:type="dxa"/>
                    <w:left w:w="0" w:type="dxa"/>
                    <w:bottom w:w="0" w:type="dxa"/>
                    <w:right w:w="0" w:type="dxa"/>
                  </w:tcMar>
                  <w:vAlign w:val="center"/>
                </w:tcPr>
                <w:p w14:paraId="17382B24">
                  <w:pPr>
                    <w:jc w:val="center"/>
                    <w:rPr>
                      <w:b/>
                      <w:bCs/>
                      <w:color w:val="auto"/>
                      <w:szCs w:val="21"/>
                    </w:rPr>
                  </w:pPr>
                  <w:r>
                    <w:rPr>
                      <w:b/>
                      <w:bCs/>
                      <w:color w:val="auto"/>
                      <w:szCs w:val="21"/>
                    </w:rPr>
                    <w:t>超标和达标情况</w:t>
                  </w:r>
                </w:p>
              </w:tc>
            </w:tr>
            <w:tr w14:paraId="17382B2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77" w:type="dxa"/>
                  <w:vMerge w:val="continue"/>
                  <w:tcBorders>
                    <w:top w:val="single" w:color="auto" w:sz="12" w:space="0"/>
                    <w:left w:val="nil"/>
                    <w:bottom w:val="single" w:color="auto" w:sz="4" w:space="0"/>
                    <w:right w:val="single" w:color="auto" w:sz="4" w:space="0"/>
                  </w:tcBorders>
                  <w:vAlign w:val="center"/>
                </w:tcPr>
                <w:p w14:paraId="17382B26">
                  <w:pPr>
                    <w:rPr>
                      <w:b/>
                      <w:bCs/>
                      <w:color w:val="auto"/>
                      <w:szCs w:val="21"/>
                    </w:rPr>
                  </w:pPr>
                </w:p>
              </w:tc>
              <w:tc>
                <w:tcPr>
                  <w:tcW w:w="825" w:type="dxa"/>
                  <w:vMerge w:val="continue"/>
                  <w:tcBorders>
                    <w:top w:val="single" w:color="auto" w:sz="12" w:space="0"/>
                    <w:left w:val="single" w:color="auto" w:sz="4" w:space="0"/>
                    <w:bottom w:val="single" w:color="auto" w:sz="4" w:space="0"/>
                    <w:right w:val="single" w:color="auto" w:sz="4" w:space="0"/>
                  </w:tcBorders>
                  <w:vAlign w:val="center"/>
                </w:tcPr>
                <w:p w14:paraId="17382B27">
                  <w:pPr>
                    <w:rPr>
                      <w:b/>
                      <w:bCs/>
                      <w:color w:val="auto"/>
                      <w:szCs w:val="21"/>
                    </w:rPr>
                  </w:pPr>
                </w:p>
              </w:tc>
              <w:tc>
                <w:tcPr>
                  <w:tcW w:w="959"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28">
                  <w:pPr>
                    <w:jc w:val="center"/>
                    <w:rPr>
                      <w:color w:val="auto"/>
                      <w:szCs w:val="21"/>
                    </w:rPr>
                  </w:pPr>
                  <w:r>
                    <w:rPr>
                      <w:b/>
                      <w:color w:val="auto"/>
                      <w:szCs w:val="21"/>
                    </w:rPr>
                    <w:t>昼间</w:t>
                  </w:r>
                </w:p>
              </w:tc>
              <w:tc>
                <w:tcPr>
                  <w:tcW w:w="976"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29">
                  <w:pPr>
                    <w:jc w:val="center"/>
                    <w:rPr>
                      <w:b/>
                      <w:color w:val="auto"/>
                      <w:szCs w:val="21"/>
                    </w:rPr>
                  </w:pPr>
                  <w:r>
                    <w:rPr>
                      <w:b/>
                      <w:color w:val="auto"/>
                      <w:szCs w:val="21"/>
                    </w:rPr>
                    <w:t>昼间</w:t>
                  </w:r>
                </w:p>
              </w:tc>
              <w:tc>
                <w:tcPr>
                  <w:tcW w:w="932"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2A">
                  <w:pPr>
                    <w:jc w:val="center"/>
                    <w:rPr>
                      <w:color w:val="auto"/>
                      <w:szCs w:val="21"/>
                    </w:rPr>
                  </w:pPr>
                  <w:r>
                    <w:rPr>
                      <w:b/>
                      <w:color w:val="auto"/>
                      <w:szCs w:val="21"/>
                    </w:rPr>
                    <w:t>昼间</w:t>
                  </w:r>
                </w:p>
              </w:tc>
              <w:tc>
                <w:tcPr>
                  <w:tcW w:w="998"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2B">
                  <w:pPr>
                    <w:jc w:val="center"/>
                    <w:rPr>
                      <w:color w:val="auto"/>
                      <w:szCs w:val="21"/>
                    </w:rPr>
                  </w:pPr>
                  <w:r>
                    <w:rPr>
                      <w:b/>
                      <w:color w:val="auto"/>
                      <w:szCs w:val="21"/>
                    </w:rPr>
                    <w:t>昼间</w:t>
                  </w:r>
                </w:p>
              </w:tc>
              <w:tc>
                <w:tcPr>
                  <w:tcW w:w="1103"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2C">
                  <w:pPr>
                    <w:jc w:val="center"/>
                    <w:rPr>
                      <w:b/>
                      <w:color w:val="auto"/>
                      <w:szCs w:val="21"/>
                    </w:rPr>
                  </w:pPr>
                  <w:r>
                    <w:rPr>
                      <w:b/>
                      <w:color w:val="auto"/>
                      <w:szCs w:val="21"/>
                    </w:rPr>
                    <w:t>昼间</w:t>
                  </w:r>
                </w:p>
              </w:tc>
              <w:tc>
                <w:tcPr>
                  <w:tcW w:w="1189" w:type="dxa"/>
                  <w:tcBorders>
                    <w:top w:val="single" w:color="auto" w:sz="4" w:space="0"/>
                    <w:left w:val="single" w:color="auto" w:sz="4" w:space="0"/>
                    <w:bottom w:val="single" w:color="auto" w:sz="4" w:space="0"/>
                    <w:right w:val="single" w:color="auto" w:sz="4" w:space="0"/>
                  </w:tcBorders>
                  <w:tcMar>
                    <w:top w:w="0" w:type="dxa"/>
                    <w:left w:w="0" w:type="dxa"/>
                    <w:bottom w:w="0" w:type="dxa"/>
                    <w:right w:w="0" w:type="dxa"/>
                  </w:tcMar>
                  <w:vAlign w:val="center"/>
                </w:tcPr>
                <w:p w14:paraId="17382B2D">
                  <w:pPr>
                    <w:jc w:val="center"/>
                    <w:rPr>
                      <w:b/>
                      <w:color w:val="auto"/>
                      <w:szCs w:val="21"/>
                    </w:rPr>
                  </w:pPr>
                  <w:r>
                    <w:rPr>
                      <w:b/>
                      <w:color w:val="auto"/>
                      <w:szCs w:val="21"/>
                    </w:rPr>
                    <w:t>昼间</w:t>
                  </w:r>
                </w:p>
              </w:tc>
              <w:tc>
                <w:tcPr>
                  <w:tcW w:w="1196" w:type="dxa"/>
                  <w:tcBorders>
                    <w:top w:val="single" w:color="auto" w:sz="4" w:space="0"/>
                    <w:left w:val="single" w:color="auto" w:sz="4" w:space="0"/>
                    <w:bottom w:val="single" w:color="auto" w:sz="4" w:space="0"/>
                    <w:right w:val="nil"/>
                  </w:tcBorders>
                  <w:tcMar>
                    <w:top w:w="0" w:type="dxa"/>
                    <w:left w:w="0" w:type="dxa"/>
                    <w:bottom w:w="0" w:type="dxa"/>
                    <w:right w:w="0" w:type="dxa"/>
                  </w:tcMar>
                  <w:vAlign w:val="center"/>
                </w:tcPr>
                <w:p w14:paraId="17382B2E">
                  <w:pPr>
                    <w:jc w:val="center"/>
                    <w:rPr>
                      <w:b/>
                      <w:color w:val="auto"/>
                      <w:szCs w:val="21"/>
                    </w:rPr>
                  </w:pPr>
                  <w:r>
                    <w:rPr>
                      <w:b/>
                      <w:color w:val="auto"/>
                      <w:szCs w:val="21"/>
                    </w:rPr>
                    <w:t>昼间</w:t>
                  </w:r>
                </w:p>
              </w:tc>
            </w:tr>
            <w:tr w14:paraId="17382B3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cantSplit/>
                <w:trHeight w:val="340" w:hRule="atLeast"/>
                <w:jc w:val="center"/>
              </w:trPr>
              <w:tc>
                <w:tcPr>
                  <w:tcW w:w="277" w:type="dxa"/>
                  <w:tcBorders>
                    <w:top w:val="single" w:color="auto" w:sz="4" w:space="0"/>
                    <w:left w:val="nil"/>
                    <w:bottom w:val="single" w:color="auto" w:sz="12" w:space="0"/>
                    <w:right w:val="single" w:color="auto" w:sz="4" w:space="0"/>
                  </w:tcBorders>
                  <w:tcMar>
                    <w:top w:w="0" w:type="dxa"/>
                    <w:left w:w="0" w:type="dxa"/>
                    <w:bottom w:w="0" w:type="dxa"/>
                    <w:right w:w="0" w:type="dxa"/>
                  </w:tcMar>
                  <w:vAlign w:val="center"/>
                </w:tcPr>
                <w:p w14:paraId="17382B30">
                  <w:pPr>
                    <w:jc w:val="center"/>
                    <w:rPr>
                      <w:color w:val="auto"/>
                      <w:szCs w:val="21"/>
                    </w:rPr>
                  </w:pPr>
                  <w:r>
                    <w:rPr>
                      <w:color w:val="auto"/>
                      <w:szCs w:val="21"/>
                    </w:rPr>
                    <w:t>1</w:t>
                  </w:r>
                </w:p>
              </w:tc>
              <w:tc>
                <w:tcPr>
                  <w:tcW w:w="825" w:type="dxa"/>
                  <w:tcBorders>
                    <w:top w:val="single" w:color="auto" w:sz="4" w:space="0"/>
                    <w:left w:val="single" w:color="auto" w:sz="4" w:space="0"/>
                    <w:bottom w:val="single" w:color="auto" w:sz="12" w:space="0"/>
                    <w:right w:val="single" w:color="auto" w:sz="4" w:space="0"/>
                  </w:tcBorders>
                  <w:tcMar>
                    <w:top w:w="0" w:type="dxa"/>
                    <w:left w:w="0" w:type="dxa"/>
                    <w:bottom w:w="0" w:type="dxa"/>
                    <w:right w:w="0" w:type="dxa"/>
                  </w:tcMar>
                  <w:vAlign w:val="center"/>
                </w:tcPr>
                <w:p w14:paraId="17382B31">
                  <w:pPr>
                    <w:jc w:val="center"/>
                    <w:rPr>
                      <w:color w:val="auto"/>
                      <w:szCs w:val="21"/>
                    </w:rPr>
                  </w:pPr>
                  <w:r>
                    <w:rPr>
                      <w:rFonts w:hint="eastAsia"/>
                      <w:color w:val="auto"/>
                      <w:szCs w:val="21"/>
                    </w:rPr>
                    <w:t>张庄镇</w:t>
                  </w:r>
                </w:p>
              </w:tc>
              <w:tc>
                <w:tcPr>
                  <w:tcW w:w="959" w:type="dxa"/>
                  <w:tcBorders>
                    <w:top w:val="single" w:color="auto" w:sz="4" w:space="0"/>
                    <w:left w:val="single" w:color="auto" w:sz="4" w:space="0"/>
                    <w:bottom w:val="single" w:color="auto" w:sz="12" w:space="0"/>
                    <w:right w:val="single" w:color="auto" w:sz="4" w:space="0"/>
                  </w:tcBorders>
                  <w:tcMar>
                    <w:top w:w="0" w:type="dxa"/>
                    <w:left w:w="0" w:type="dxa"/>
                    <w:bottom w:w="0" w:type="dxa"/>
                    <w:right w:w="0" w:type="dxa"/>
                  </w:tcMar>
                  <w:vAlign w:val="center"/>
                </w:tcPr>
                <w:p w14:paraId="17382B32">
                  <w:pPr>
                    <w:jc w:val="center"/>
                    <w:rPr>
                      <w:rFonts w:hint="default" w:eastAsia="宋体"/>
                      <w:color w:val="auto"/>
                      <w:szCs w:val="21"/>
                      <w:lang w:val="en-US" w:eastAsia="zh-CN"/>
                    </w:rPr>
                  </w:pPr>
                  <w:r>
                    <w:rPr>
                      <w:rFonts w:hint="eastAsia"/>
                      <w:color w:val="auto"/>
                      <w:szCs w:val="21"/>
                      <w:lang w:val="en-US" w:eastAsia="zh-CN"/>
                    </w:rPr>
                    <w:t>43</w:t>
                  </w:r>
                </w:p>
              </w:tc>
              <w:tc>
                <w:tcPr>
                  <w:tcW w:w="976" w:type="dxa"/>
                  <w:tcBorders>
                    <w:top w:val="single" w:color="auto" w:sz="4" w:space="0"/>
                    <w:left w:val="single" w:color="auto" w:sz="4" w:space="0"/>
                    <w:bottom w:val="single" w:color="auto" w:sz="12" w:space="0"/>
                    <w:right w:val="single" w:color="auto" w:sz="4" w:space="0"/>
                  </w:tcBorders>
                  <w:tcMar>
                    <w:top w:w="0" w:type="dxa"/>
                    <w:left w:w="0" w:type="dxa"/>
                    <w:bottom w:w="0" w:type="dxa"/>
                    <w:right w:w="0" w:type="dxa"/>
                  </w:tcMar>
                  <w:vAlign w:val="center"/>
                </w:tcPr>
                <w:p w14:paraId="17382B33">
                  <w:pPr>
                    <w:jc w:val="center"/>
                    <w:rPr>
                      <w:rFonts w:hint="default" w:eastAsia="宋体"/>
                      <w:color w:val="auto"/>
                      <w:szCs w:val="21"/>
                      <w:lang w:val="en-US" w:eastAsia="zh-CN"/>
                    </w:rPr>
                  </w:pPr>
                  <w:r>
                    <w:rPr>
                      <w:rFonts w:hint="eastAsia"/>
                      <w:color w:val="auto"/>
                      <w:szCs w:val="21"/>
                      <w:lang w:val="en-US" w:eastAsia="zh-CN"/>
                    </w:rPr>
                    <w:t>43</w:t>
                  </w:r>
                </w:p>
              </w:tc>
              <w:tc>
                <w:tcPr>
                  <w:tcW w:w="932" w:type="dxa"/>
                  <w:tcBorders>
                    <w:top w:val="single" w:color="auto" w:sz="4" w:space="0"/>
                    <w:left w:val="single" w:color="auto" w:sz="4" w:space="0"/>
                    <w:bottom w:val="single" w:color="auto" w:sz="12" w:space="0"/>
                    <w:right w:val="single" w:color="auto" w:sz="4" w:space="0"/>
                  </w:tcBorders>
                  <w:tcMar>
                    <w:top w:w="0" w:type="dxa"/>
                    <w:left w:w="0" w:type="dxa"/>
                    <w:bottom w:w="0" w:type="dxa"/>
                    <w:right w:w="0" w:type="dxa"/>
                  </w:tcMar>
                  <w:vAlign w:val="center"/>
                </w:tcPr>
                <w:p w14:paraId="17382B34">
                  <w:pPr>
                    <w:jc w:val="center"/>
                    <w:rPr>
                      <w:rFonts w:hint="default" w:eastAsia="宋体"/>
                      <w:color w:val="auto"/>
                      <w:szCs w:val="21"/>
                      <w:lang w:val="en-US" w:eastAsia="zh-CN"/>
                    </w:rPr>
                  </w:pPr>
                  <w:r>
                    <w:rPr>
                      <w:rFonts w:hint="eastAsia"/>
                      <w:color w:val="auto"/>
                      <w:szCs w:val="21"/>
                      <w:lang w:val="en-US" w:eastAsia="zh-CN"/>
                    </w:rPr>
                    <w:t>60</w:t>
                  </w:r>
                </w:p>
              </w:tc>
              <w:tc>
                <w:tcPr>
                  <w:tcW w:w="998" w:type="dxa"/>
                  <w:tcBorders>
                    <w:top w:val="single" w:color="auto" w:sz="4" w:space="0"/>
                    <w:left w:val="single" w:color="auto" w:sz="4" w:space="0"/>
                    <w:bottom w:val="single" w:color="auto" w:sz="12" w:space="0"/>
                    <w:right w:val="single" w:color="auto" w:sz="4" w:space="0"/>
                  </w:tcBorders>
                  <w:tcMar>
                    <w:top w:w="0" w:type="dxa"/>
                    <w:left w:w="0" w:type="dxa"/>
                    <w:bottom w:w="0" w:type="dxa"/>
                    <w:right w:w="0" w:type="dxa"/>
                  </w:tcMar>
                  <w:vAlign w:val="center"/>
                </w:tcPr>
                <w:p w14:paraId="17382B35">
                  <w:pPr>
                    <w:jc w:val="center"/>
                    <w:rPr>
                      <w:color w:val="auto"/>
                      <w:szCs w:val="21"/>
                    </w:rPr>
                  </w:pPr>
                  <w:r>
                    <w:rPr>
                      <w:rFonts w:hint="eastAsia"/>
                      <w:color w:val="auto"/>
                      <w:szCs w:val="21"/>
                    </w:rPr>
                    <w:t>30.33</w:t>
                  </w:r>
                </w:p>
              </w:tc>
              <w:tc>
                <w:tcPr>
                  <w:tcW w:w="1103" w:type="dxa"/>
                  <w:tcBorders>
                    <w:top w:val="single" w:color="auto" w:sz="4" w:space="0"/>
                    <w:left w:val="single" w:color="auto" w:sz="4" w:space="0"/>
                    <w:bottom w:val="single" w:color="auto" w:sz="12" w:space="0"/>
                    <w:right w:val="single" w:color="auto" w:sz="4" w:space="0"/>
                  </w:tcBorders>
                  <w:tcMar>
                    <w:top w:w="0" w:type="dxa"/>
                    <w:left w:w="0" w:type="dxa"/>
                    <w:bottom w:w="0" w:type="dxa"/>
                    <w:right w:w="0" w:type="dxa"/>
                  </w:tcMar>
                  <w:vAlign w:val="center"/>
                </w:tcPr>
                <w:p w14:paraId="17382B36">
                  <w:pPr>
                    <w:jc w:val="center"/>
                    <w:rPr>
                      <w:rFonts w:hint="default" w:eastAsia="宋体"/>
                      <w:color w:val="auto"/>
                      <w:szCs w:val="21"/>
                      <w:lang w:val="en-US" w:eastAsia="zh-CN"/>
                    </w:rPr>
                  </w:pPr>
                  <w:r>
                    <w:rPr>
                      <w:rFonts w:hint="eastAsia"/>
                      <w:color w:val="auto"/>
                      <w:szCs w:val="21"/>
                      <w:lang w:val="en-US" w:eastAsia="zh-CN"/>
                    </w:rPr>
                    <w:t>43.23</w:t>
                  </w:r>
                </w:p>
              </w:tc>
              <w:tc>
                <w:tcPr>
                  <w:tcW w:w="1189" w:type="dxa"/>
                  <w:tcBorders>
                    <w:top w:val="single" w:color="auto" w:sz="4" w:space="0"/>
                    <w:left w:val="single" w:color="auto" w:sz="4" w:space="0"/>
                    <w:bottom w:val="single" w:color="auto" w:sz="12" w:space="0"/>
                    <w:right w:val="single" w:color="auto" w:sz="4" w:space="0"/>
                  </w:tcBorders>
                  <w:tcMar>
                    <w:top w:w="0" w:type="dxa"/>
                    <w:left w:w="0" w:type="dxa"/>
                    <w:bottom w:w="0" w:type="dxa"/>
                    <w:right w:w="0" w:type="dxa"/>
                  </w:tcMar>
                  <w:vAlign w:val="center"/>
                </w:tcPr>
                <w:p w14:paraId="17382B37">
                  <w:pPr>
                    <w:jc w:val="center"/>
                    <w:rPr>
                      <w:rFonts w:hint="default" w:eastAsia="宋体"/>
                      <w:color w:val="auto"/>
                      <w:szCs w:val="21"/>
                      <w:lang w:val="en-US" w:eastAsia="zh-CN"/>
                    </w:rPr>
                  </w:pPr>
                  <w:r>
                    <w:rPr>
                      <w:rFonts w:hint="eastAsia"/>
                      <w:color w:val="auto"/>
                      <w:szCs w:val="21"/>
                      <w:lang w:val="en-US" w:eastAsia="zh-CN"/>
                    </w:rPr>
                    <w:t>0.23</w:t>
                  </w:r>
                </w:p>
              </w:tc>
              <w:tc>
                <w:tcPr>
                  <w:tcW w:w="1196" w:type="dxa"/>
                  <w:tcBorders>
                    <w:top w:val="single" w:color="auto" w:sz="4" w:space="0"/>
                    <w:left w:val="single" w:color="auto" w:sz="4" w:space="0"/>
                    <w:bottom w:val="single" w:color="auto" w:sz="12" w:space="0"/>
                    <w:right w:val="nil"/>
                  </w:tcBorders>
                  <w:tcMar>
                    <w:top w:w="0" w:type="dxa"/>
                    <w:left w:w="0" w:type="dxa"/>
                    <w:bottom w:w="0" w:type="dxa"/>
                    <w:right w:w="0" w:type="dxa"/>
                  </w:tcMar>
                  <w:vAlign w:val="center"/>
                </w:tcPr>
                <w:p w14:paraId="17382B38">
                  <w:pPr>
                    <w:jc w:val="center"/>
                    <w:rPr>
                      <w:color w:val="auto"/>
                      <w:szCs w:val="21"/>
                    </w:rPr>
                  </w:pPr>
                  <w:r>
                    <w:rPr>
                      <w:color w:val="auto"/>
                      <w:szCs w:val="21"/>
                    </w:rPr>
                    <w:t>达标</w:t>
                  </w:r>
                </w:p>
              </w:tc>
            </w:tr>
          </w:tbl>
          <w:p w14:paraId="17382B3A">
            <w:pPr>
              <w:adjustRightInd w:val="0"/>
              <w:snapToGrid w:val="0"/>
              <w:spacing w:line="360" w:lineRule="auto"/>
              <w:ind w:firstLine="480" w:firstLineChars="200"/>
              <w:rPr>
                <w:color w:val="auto"/>
                <w:sz w:val="24"/>
              </w:rPr>
            </w:pPr>
            <w:r>
              <w:rPr>
                <w:rFonts w:hint="eastAsia"/>
                <w:color w:val="auto"/>
                <w:sz w:val="24"/>
              </w:rPr>
              <w:t>由上表可见，经距离衰减、建筑物隔声、减振等措施后，各噪声源对厂界和声环境保护目标的贡献值比较小，厂界噪声预测值及声环境保护目标预测值满足《工业企业厂界环境噪声排放标准》（GB12348-2008）2类标准值。</w:t>
            </w:r>
          </w:p>
          <w:bookmarkEnd w:id="9"/>
          <w:bookmarkEnd w:id="10"/>
          <w:p w14:paraId="17382B3B">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3.</w:t>
            </w:r>
            <w:r>
              <w:rPr>
                <w:rFonts w:hint="eastAsia"/>
                <w:b/>
                <w:bCs/>
                <w:color w:val="auto"/>
                <w:sz w:val="24"/>
              </w:rPr>
              <w:t>3</w:t>
            </w:r>
            <w:r>
              <w:rPr>
                <w:b/>
                <w:bCs/>
                <w:color w:val="auto"/>
                <w:sz w:val="24"/>
              </w:rPr>
              <w:t>噪声防治措施及厂界达标分析</w:t>
            </w:r>
          </w:p>
          <w:p w14:paraId="17382B3C">
            <w:pPr>
              <w:adjustRightInd w:val="0"/>
              <w:snapToGrid w:val="0"/>
              <w:spacing w:line="360" w:lineRule="auto"/>
              <w:ind w:firstLine="480" w:firstLineChars="200"/>
              <w:rPr>
                <w:rFonts w:hint="eastAsia"/>
                <w:color w:val="FF0000"/>
                <w:sz w:val="24"/>
              </w:rPr>
            </w:pPr>
            <w:r>
              <w:rPr>
                <w:rFonts w:hint="eastAsia"/>
                <w:color w:val="FF0000"/>
                <w:sz w:val="24"/>
              </w:rPr>
              <w:t>本项目拟采用的防治措施如下：</w:t>
            </w:r>
          </w:p>
          <w:p w14:paraId="17382B3E">
            <w:pPr>
              <w:adjustRightInd w:val="0"/>
              <w:snapToGrid w:val="0"/>
              <w:spacing w:line="360" w:lineRule="auto"/>
              <w:ind w:firstLine="480" w:firstLineChars="200"/>
              <w:rPr>
                <w:rFonts w:hint="eastAsia"/>
                <w:color w:val="FF0000"/>
                <w:sz w:val="24"/>
              </w:rPr>
            </w:pPr>
            <w:r>
              <w:rPr>
                <w:rFonts w:hint="eastAsia"/>
                <w:color w:val="FF0000"/>
                <w:sz w:val="24"/>
              </w:rPr>
              <w:t>（1）重视设备选型，选择自动化程度高、噪声低的生产设备。项目抛丸机等设备选用满足国标标准的低噪声、低振动设备；加强设备的维护、检修与润滑，确保设备处于良好的运转状态。</w:t>
            </w:r>
          </w:p>
          <w:p w14:paraId="7FD0E631">
            <w:pPr>
              <w:adjustRightInd w:val="0"/>
              <w:snapToGrid w:val="0"/>
              <w:spacing w:line="360" w:lineRule="auto"/>
              <w:ind w:firstLine="480" w:firstLineChars="200"/>
              <w:rPr>
                <w:rFonts w:hint="eastAsia"/>
                <w:color w:val="FF0000"/>
                <w:sz w:val="24"/>
                <w:lang w:eastAsia="zh-CN"/>
              </w:rPr>
            </w:pPr>
            <w:r>
              <w:rPr>
                <w:rFonts w:hint="eastAsia"/>
                <w:color w:val="FF0000"/>
                <w:sz w:val="24"/>
              </w:rPr>
              <w:t>（2）采用“闹静分开”和“合理布局”的设计原则，在平面布置上，尽量将厂房内的高噪声设备尽量布置在厂区中间，远离噪声敏感区域或厂界</w:t>
            </w:r>
            <w:r>
              <w:rPr>
                <w:rFonts w:hint="eastAsia"/>
                <w:color w:val="FF0000"/>
                <w:sz w:val="24"/>
                <w:lang w:eastAsia="zh-CN"/>
              </w:rPr>
              <w:t>。</w:t>
            </w:r>
          </w:p>
          <w:p w14:paraId="12DC10CB">
            <w:pPr>
              <w:adjustRightInd w:val="0"/>
              <w:snapToGrid w:val="0"/>
              <w:spacing w:line="360" w:lineRule="auto"/>
              <w:ind w:firstLine="480" w:firstLineChars="200"/>
              <w:rPr>
                <w:rFonts w:hint="eastAsia"/>
                <w:color w:val="FF0000"/>
                <w:sz w:val="24"/>
                <w:lang w:eastAsia="zh-CN"/>
              </w:rPr>
            </w:pPr>
            <w:r>
              <w:rPr>
                <w:rFonts w:hint="eastAsia"/>
                <w:color w:val="FF0000"/>
                <w:sz w:val="24"/>
                <w:lang w:eastAsia="zh-CN"/>
              </w:rPr>
              <w:t>（</w:t>
            </w:r>
            <w:r>
              <w:rPr>
                <w:rFonts w:hint="eastAsia"/>
                <w:color w:val="FF0000"/>
                <w:sz w:val="24"/>
                <w:lang w:val="en-US" w:eastAsia="zh-CN"/>
              </w:rPr>
              <w:t>3</w:t>
            </w:r>
            <w:r>
              <w:rPr>
                <w:rFonts w:hint="eastAsia"/>
                <w:color w:val="FF0000"/>
                <w:sz w:val="24"/>
                <w:lang w:eastAsia="zh-CN"/>
              </w:rPr>
              <w:t>）</w:t>
            </w:r>
            <w:r>
              <w:rPr>
                <w:rFonts w:hint="eastAsia"/>
                <w:color w:val="FF0000"/>
                <w:sz w:val="24"/>
              </w:rPr>
              <w:t>各生产设备按照规范安装，主要生产设备安装在厂房内，厂房墙壁采用具有较高隔声、吸声功能的建筑材料，通过建筑物封闭隔声降低噪声向外环境的辐射量；并对高噪声设备设置隔声罩、安装消声器、底座采用减震基座等措施，可减轻设备噪声对周围环境的影响。隔音消声设计等方面严格按照《工业企业噪声控制设计规范》（GB/T50087-2013）的要求进行。</w:t>
            </w:r>
          </w:p>
          <w:p w14:paraId="32CC5B06">
            <w:pPr>
              <w:adjustRightInd w:val="0"/>
              <w:snapToGrid w:val="0"/>
              <w:spacing w:line="360" w:lineRule="auto"/>
              <w:ind w:firstLine="480" w:firstLineChars="200"/>
              <w:rPr>
                <w:rFonts w:hint="default"/>
                <w:color w:val="FF0000"/>
                <w:sz w:val="24"/>
                <w:lang w:val="en-US" w:eastAsia="zh-CN"/>
              </w:rPr>
            </w:pPr>
            <w:r>
              <w:rPr>
                <w:rFonts w:hint="eastAsia"/>
                <w:color w:val="FF0000"/>
                <w:sz w:val="24"/>
                <w:lang w:val="en-US" w:eastAsia="zh-CN"/>
              </w:rPr>
              <w:t>（4）加高厂界围墙并种植绿化。将围墙从常规2.5m加高至4-5m，可降低噪声5-8dB（A），墙体主体采用钢筋混凝土结构（内侧可填充多孔吸声材料，如玻璃棉等），在围墙周围种植绿化（如常春藤、爬山虎等），利用植物吸声降噪，同时改善景观。</w:t>
            </w:r>
          </w:p>
          <w:p w14:paraId="17382B41">
            <w:pPr>
              <w:adjustRightInd w:val="0"/>
              <w:snapToGrid w:val="0"/>
              <w:spacing w:line="360" w:lineRule="auto"/>
              <w:ind w:firstLine="480" w:firstLineChars="200"/>
              <w:rPr>
                <w:rFonts w:hint="eastAsia"/>
                <w:color w:val="FF0000"/>
                <w:sz w:val="24"/>
              </w:rPr>
            </w:pPr>
            <w:r>
              <w:rPr>
                <w:rFonts w:hint="eastAsia"/>
                <w:color w:val="FF0000"/>
                <w:sz w:val="24"/>
                <w:lang w:val="en-US" w:eastAsia="zh-CN"/>
              </w:rPr>
              <w:t>（5）设置车间隔断，选用岩棉夹芯彩钢板，避免使用聚苯乙烯夹芯板（隔声性能差）。板缝采用耐候密封胶填充，边缘加装EPDM橡胶条，避免声漏。</w:t>
            </w:r>
          </w:p>
          <w:p w14:paraId="17382B42">
            <w:pPr>
              <w:adjustRightInd w:val="0"/>
              <w:snapToGrid w:val="0"/>
              <w:spacing w:line="360" w:lineRule="auto"/>
              <w:ind w:firstLine="480" w:firstLineChars="200"/>
              <w:rPr>
                <w:rFonts w:hint="eastAsia"/>
                <w:color w:val="FF0000"/>
                <w:sz w:val="24"/>
              </w:rPr>
            </w:pPr>
            <w:r>
              <w:rPr>
                <w:rFonts w:hint="eastAsia"/>
                <w:color w:val="FF0000"/>
                <w:sz w:val="24"/>
              </w:rPr>
              <w:t>对各类噪声源采取以上降噪措施后，建设项目厂界噪声可达标，能满足环境保护的要求。</w:t>
            </w:r>
          </w:p>
          <w:p w14:paraId="17382B43">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3.</w:t>
            </w:r>
            <w:r>
              <w:rPr>
                <w:rFonts w:hint="eastAsia"/>
                <w:b/>
                <w:bCs/>
                <w:color w:val="auto"/>
                <w:sz w:val="24"/>
              </w:rPr>
              <w:t>4</w:t>
            </w:r>
            <w:r>
              <w:rPr>
                <w:b/>
                <w:bCs/>
                <w:color w:val="auto"/>
                <w:sz w:val="24"/>
              </w:rPr>
              <w:t>自行监测计划</w:t>
            </w:r>
          </w:p>
          <w:p w14:paraId="17382B44">
            <w:pPr>
              <w:adjustRightInd w:val="0"/>
              <w:snapToGrid w:val="0"/>
              <w:spacing w:line="360" w:lineRule="auto"/>
              <w:ind w:firstLine="480" w:firstLineChars="200"/>
              <w:rPr>
                <w:color w:val="auto"/>
                <w:sz w:val="24"/>
              </w:rPr>
            </w:pPr>
            <w:r>
              <w:rPr>
                <w:rFonts w:hint="eastAsia"/>
                <w:color w:val="auto"/>
                <w:sz w:val="24"/>
              </w:rPr>
              <w:t>根据《排污许可证申请与核发技术规范 工业噪声》（HJ1301-2023），本项目噪声监测计划如表4-17所示。</w:t>
            </w:r>
          </w:p>
          <w:p w14:paraId="17382B45">
            <w:pPr>
              <w:widowControl/>
              <w:adjustRightInd w:val="0"/>
              <w:snapToGrid w:val="0"/>
              <w:jc w:val="center"/>
              <w:rPr>
                <w:rFonts w:hint="eastAsia" w:eastAsia="宋体"/>
                <w:b/>
                <w:color w:val="auto"/>
                <w:kern w:val="0"/>
                <w:sz w:val="24"/>
                <w:lang w:eastAsia="zh-CN"/>
              </w:rPr>
            </w:pPr>
            <w:r>
              <w:rPr>
                <w:rFonts w:hint="eastAsia"/>
                <w:b/>
                <w:color w:val="auto"/>
                <w:kern w:val="0"/>
                <w:sz w:val="24"/>
              </w:rPr>
              <w:t>表4-17 本项目噪声监测</w:t>
            </w:r>
            <w:r>
              <w:rPr>
                <w:rFonts w:hint="eastAsia"/>
                <w:b/>
                <w:color w:val="auto"/>
                <w:kern w:val="0"/>
                <w:sz w:val="24"/>
                <w:lang w:val="en-US" w:eastAsia="zh-CN"/>
              </w:rPr>
              <w:t>计划</w:t>
            </w:r>
          </w:p>
          <w:tbl>
            <w:tblPr>
              <w:tblStyle w:val="88"/>
              <w:tblW w:w="4998" w:type="pct"/>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fixed"/>
              <w:tblCellMar>
                <w:top w:w="0" w:type="dxa"/>
                <w:left w:w="108" w:type="dxa"/>
                <w:bottom w:w="0" w:type="dxa"/>
                <w:right w:w="108" w:type="dxa"/>
              </w:tblCellMar>
            </w:tblPr>
            <w:tblGrid>
              <w:gridCol w:w="911"/>
              <w:gridCol w:w="3324"/>
              <w:gridCol w:w="2706"/>
              <w:gridCol w:w="1515"/>
            </w:tblGrid>
            <w:tr w14:paraId="17382B4A">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538" w:type="pct"/>
                  <w:vAlign w:val="center"/>
                </w:tcPr>
                <w:p w14:paraId="17382B46">
                  <w:pPr>
                    <w:adjustRightInd w:val="0"/>
                    <w:snapToGrid w:val="0"/>
                    <w:jc w:val="center"/>
                    <w:rPr>
                      <w:b/>
                      <w:color w:val="auto"/>
                      <w:szCs w:val="21"/>
                    </w:rPr>
                  </w:pPr>
                  <w:r>
                    <w:rPr>
                      <w:b/>
                      <w:color w:val="auto"/>
                      <w:szCs w:val="21"/>
                    </w:rPr>
                    <w:t>种类</w:t>
                  </w:r>
                </w:p>
              </w:tc>
              <w:tc>
                <w:tcPr>
                  <w:tcW w:w="1965" w:type="pct"/>
                  <w:vAlign w:val="center"/>
                </w:tcPr>
                <w:p w14:paraId="17382B47">
                  <w:pPr>
                    <w:adjustRightInd w:val="0"/>
                    <w:snapToGrid w:val="0"/>
                    <w:jc w:val="center"/>
                    <w:rPr>
                      <w:b/>
                      <w:color w:val="auto"/>
                      <w:szCs w:val="21"/>
                    </w:rPr>
                  </w:pPr>
                  <w:r>
                    <w:rPr>
                      <w:b/>
                      <w:color w:val="auto"/>
                      <w:szCs w:val="21"/>
                    </w:rPr>
                    <w:t>监测项目</w:t>
                  </w:r>
                </w:p>
              </w:tc>
              <w:tc>
                <w:tcPr>
                  <w:tcW w:w="1600" w:type="pct"/>
                  <w:vAlign w:val="center"/>
                </w:tcPr>
                <w:p w14:paraId="17382B48">
                  <w:pPr>
                    <w:adjustRightInd w:val="0"/>
                    <w:snapToGrid w:val="0"/>
                    <w:jc w:val="center"/>
                    <w:rPr>
                      <w:b/>
                      <w:color w:val="auto"/>
                      <w:szCs w:val="21"/>
                    </w:rPr>
                  </w:pPr>
                  <w:r>
                    <w:rPr>
                      <w:b/>
                      <w:color w:val="auto"/>
                      <w:szCs w:val="21"/>
                    </w:rPr>
                    <w:t>点位布设</w:t>
                  </w:r>
                </w:p>
              </w:tc>
              <w:tc>
                <w:tcPr>
                  <w:tcW w:w="896" w:type="pct"/>
                  <w:vAlign w:val="center"/>
                </w:tcPr>
                <w:p w14:paraId="17382B49">
                  <w:pPr>
                    <w:adjustRightInd w:val="0"/>
                    <w:snapToGrid w:val="0"/>
                    <w:jc w:val="center"/>
                    <w:rPr>
                      <w:b/>
                      <w:color w:val="auto"/>
                      <w:szCs w:val="21"/>
                    </w:rPr>
                  </w:pPr>
                  <w:r>
                    <w:rPr>
                      <w:b/>
                      <w:color w:val="auto"/>
                      <w:szCs w:val="21"/>
                    </w:rPr>
                    <w:t>监测频次</w:t>
                  </w:r>
                </w:p>
              </w:tc>
            </w:tr>
            <w:tr w14:paraId="17382B4F">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538" w:type="pct"/>
                  <w:vAlign w:val="center"/>
                </w:tcPr>
                <w:p w14:paraId="17382B4B">
                  <w:pPr>
                    <w:adjustRightInd w:val="0"/>
                    <w:snapToGrid w:val="0"/>
                    <w:jc w:val="center"/>
                    <w:rPr>
                      <w:color w:val="auto"/>
                      <w:szCs w:val="21"/>
                    </w:rPr>
                  </w:pPr>
                  <w:r>
                    <w:rPr>
                      <w:color w:val="auto"/>
                      <w:szCs w:val="21"/>
                    </w:rPr>
                    <w:t>噪声</w:t>
                  </w:r>
                </w:p>
              </w:tc>
              <w:tc>
                <w:tcPr>
                  <w:tcW w:w="1965" w:type="pct"/>
                  <w:vAlign w:val="center"/>
                </w:tcPr>
                <w:p w14:paraId="17382B4C">
                  <w:pPr>
                    <w:adjustRightInd w:val="0"/>
                    <w:snapToGrid w:val="0"/>
                    <w:jc w:val="center"/>
                    <w:rPr>
                      <w:color w:val="auto"/>
                      <w:szCs w:val="21"/>
                    </w:rPr>
                  </w:pPr>
                  <w:r>
                    <w:rPr>
                      <w:color w:val="auto"/>
                      <w:szCs w:val="21"/>
                    </w:rPr>
                    <w:t>等效连续A声级</w:t>
                  </w:r>
                </w:p>
              </w:tc>
              <w:tc>
                <w:tcPr>
                  <w:tcW w:w="1600" w:type="pct"/>
                  <w:vAlign w:val="center"/>
                </w:tcPr>
                <w:p w14:paraId="17382B4D">
                  <w:pPr>
                    <w:adjustRightInd w:val="0"/>
                    <w:snapToGrid w:val="0"/>
                    <w:jc w:val="center"/>
                    <w:rPr>
                      <w:color w:val="auto"/>
                      <w:szCs w:val="21"/>
                    </w:rPr>
                  </w:pPr>
                  <w:r>
                    <w:rPr>
                      <w:color w:val="auto"/>
                      <w:szCs w:val="21"/>
                    </w:rPr>
                    <w:t>四周厂界</w:t>
                  </w:r>
                </w:p>
              </w:tc>
              <w:tc>
                <w:tcPr>
                  <w:tcW w:w="896" w:type="pct"/>
                  <w:vAlign w:val="center"/>
                </w:tcPr>
                <w:p w14:paraId="17382B4E">
                  <w:pPr>
                    <w:adjustRightInd w:val="0"/>
                    <w:snapToGrid w:val="0"/>
                    <w:jc w:val="center"/>
                    <w:rPr>
                      <w:color w:val="auto"/>
                      <w:szCs w:val="21"/>
                    </w:rPr>
                  </w:pPr>
                  <w:r>
                    <w:rPr>
                      <w:color w:val="auto"/>
                      <w:szCs w:val="21"/>
                    </w:rPr>
                    <w:t>1次/季度</w:t>
                  </w:r>
                </w:p>
              </w:tc>
            </w:tr>
          </w:tbl>
          <w:p w14:paraId="17382B50">
            <w:pPr>
              <w:autoSpaceDE w:val="0"/>
              <w:autoSpaceDN w:val="0"/>
              <w:adjustRightInd w:val="0"/>
              <w:snapToGrid w:val="0"/>
              <w:spacing w:line="360" w:lineRule="auto"/>
              <w:ind w:firstLine="482" w:firstLineChars="200"/>
              <w:rPr>
                <w:b/>
                <w:bCs/>
                <w:color w:val="auto"/>
                <w:sz w:val="24"/>
              </w:rPr>
            </w:pPr>
            <w:r>
              <w:rPr>
                <w:rFonts w:hint="eastAsia"/>
                <w:b/>
                <w:bCs/>
                <w:color w:val="auto"/>
                <w:sz w:val="24"/>
              </w:rPr>
              <w:t>4、</w:t>
            </w:r>
            <w:r>
              <w:rPr>
                <w:b/>
                <w:bCs/>
                <w:color w:val="auto"/>
                <w:sz w:val="24"/>
              </w:rPr>
              <w:t>固废产生情况分析</w:t>
            </w:r>
          </w:p>
          <w:p w14:paraId="17382B51">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4.1</w:t>
            </w:r>
            <w:r>
              <w:rPr>
                <w:rFonts w:hint="eastAsia"/>
                <w:b/>
                <w:bCs/>
                <w:color w:val="auto"/>
                <w:sz w:val="24"/>
              </w:rPr>
              <w:t>固体废物产生环节及源强分析</w:t>
            </w:r>
          </w:p>
          <w:p w14:paraId="17382B52">
            <w:pPr>
              <w:adjustRightInd w:val="0"/>
              <w:snapToGrid w:val="0"/>
              <w:spacing w:line="360" w:lineRule="auto"/>
              <w:ind w:firstLine="480" w:firstLineChars="200"/>
              <w:rPr>
                <w:color w:val="auto"/>
                <w:sz w:val="24"/>
              </w:rPr>
            </w:pPr>
            <w:r>
              <w:rPr>
                <w:rFonts w:hint="eastAsia"/>
                <w:color w:val="auto"/>
                <w:sz w:val="24"/>
              </w:rPr>
              <w:t>本项目产生的固体废弃物主要为废包装袋及包装桶、沉渣、粉尘、废钢丸、废防锈油、化粪池污泥、废机油、废机油桶、废弃的含油抹布及劳保用品、布袋收集粉尘、废布袋、生活垃圾、废活性炭</w:t>
            </w:r>
            <w:r>
              <w:rPr>
                <w:rFonts w:hint="eastAsia"/>
                <w:color w:val="auto"/>
                <w:sz w:val="24"/>
                <w:lang w:eastAsia="zh-CN"/>
              </w:rPr>
              <w:t>、</w:t>
            </w:r>
            <w:r>
              <w:rPr>
                <w:rFonts w:hint="eastAsia"/>
                <w:color w:val="auto"/>
                <w:sz w:val="24"/>
                <w:lang w:val="en-US" w:eastAsia="zh-CN"/>
              </w:rPr>
              <w:t>不合格品</w:t>
            </w:r>
            <w:r>
              <w:rPr>
                <w:rFonts w:hint="eastAsia"/>
                <w:color w:val="auto"/>
                <w:sz w:val="24"/>
              </w:rPr>
              <w:t>等。</w:t>
            </w:r>
          </w:p>
          <w:p w14:paraId="17382B53">
            <w:pPr>
              <w:adjustRightInd w:val="0"/>
              <w:snapToGrid w:val="0"/>
              <w:spacing w:line="360" w:lineRule="auto"/>
              <w:ind w:firstLine="480" w:firstLineChars="200"/>
              <w:rPr>
                <w:color w:val="auto"/>
                <w:sz w:val="24"/>
              </w:rPr>
            </w:pPr>
            <w:r>
              <w:rPr>
                <w:rFonts w:hint="eastAsia"/>
                <w:color w:val="auto"/>
                <w:sz w:val="24"/>
              </w:rPr>
              <w:t>（1）一般废包装材料</w:t>
            </w:r>
          </w:p>
          <w:p w14:paraId="17382B54">
            <w:pPr>
              <w:adjustRightInd w:val="0"/>
              <w:snapToGrid w:val="0"/>
              <w:spacing w:line="360" w:lineRule="auto"/>
              <w:ind w:firstLine="480" w:firstLineChars="200"/>
              <w:rPr>
                <w:color w:val="auto"/>
                <w:sz w:val="24"/>
              </w:rPr>
            </w:pPr>
            <w:r>
              <w:rPr>
                <w:rFonts w:hint="eastAsia"/>
                <w:color w:val="auto"/>
                <w:sz w:val="24"/>
              </w:rPr>
              <w:t xml:space="preserve">本项目碳酸钙、PP颗粒、PE颗粒等均为袋装，类比同类型项目，一般废包装材料产生量约为 </w:t>
            </w:r>
            <w:r>
              <w:rPr>
                <w:color w:val="auto"/>
                <w:sz w:val="24"/>
              </w:rPr>
              <w:t>0.1t/a</w:t>
            </w:r>
            <w:r>
              <w:rPr>
                <w:rFonts w:hint="eastAsia"/>
                <w:color w:val="auto"/>
                <w:sz w:val="24"/>
              </w:rPr>
              <w:t>，属于一般固体废物。</w:t>
            </w:r>
          </w:p>
          <w:p w14:paraId="17382B55">
            <w:pPr>
              <w:adjustRightInd w:val="0"/>
              <w:snapToGrid w:val="0"/>
              <w:spacing w:line="360" w:lineRule="auto"/>
              <w:ind w:firstLine="480" w:firstLineChars="200"/>
              <w:rPr>
                <w:color w:val="auto"/>
                <w:sz w:val="24"/>
              </w:rPr>
            </w:pPr>
            <w:r>
              <w:rPr>
                <w:rFonts w:hint="eastAsia"/>
                <w:color w:val="auto"/>
                <w:sz w:val="24"/>
              </w:rPr>
              <w:t>（2）不饱和聚酯树脂、固化剂、塑粉等废包装桶</w:t>
            </w:r>
          </w:p>
          <w:p w14:paraId="17382B56">
            <w:pPr>
              <w:adjustRightInd w:val="0"/>
              <w:snapToGrid w:val="0"/>
              <w:spacing w:line="360" w:lineRule="auto"/>
              <w:ind w:firstLine="480" w:firstLineChars="200"/>
              <w:rPr>
                <w:color w:val="auto"/>
                <w:sz w:val="24"/>
              </w:rPr>
            </w:pPr>
            <w:r>
              <w:rPr>
                <w:rFonts w:hint="eastAsia"/>
                <w:color w:val="auto"/>
                <w:sz w:val="24"/>
              </w:rPr>
              <w:t>本使用的不饱和聚酯树脂、固化剂、塑粉包装桶均为专桶专用，年产量约为0.5t/a，使用后由厂家配送原料的同时带回原厂重新充装，属于《固体废物鉴别标准 通则》（</w:t>
            </w:r>
            <w:r>
              <w:rPr>
                <w:color w:val="auto"/>
                <w:sz w:val="24"/>
              </w:rPr>
              <w:t>GB 34330—2017</w:t>
            </w:r>
            <w:r>
              <w:rPr>
                <w:rFonts w:hint="eastAsia"/>
                <w:color w:val="auto"/>
                <w:sz w:val="24"/>
              </w:rPr>
              <w:t>）中“</w:t>
            </w:r>
            <w:r>
              <w:rPr>
                <w:color w:val="auto"/>
                <w:sz w:val="24"/>
              </w:rPr>
              <w:t xml:space="preserve">6 </w:t>
            </w:r>
            <w:r>
              <w:rPr>
                <w:rFonts w:hint="eastAsia"/>
                <w:color w:val="auto"/>
                <w:sz w:val="24"/>
              </w:rPr>
              <w:t>不作为固体废物管理的物质”。 因此本项目不饱和聚酯树脂、固化剂、塑粉使用后的空桶应交付原始厂家用于其原始用途，不作为固废管理，但不得遗弃、另用及改变其原始用途。</w:t>
            </w:r>
          </w:p>
          <w:p w14:paraId="42A1C6D0">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eastAsia"/>
                <w:color w:val="auto"/>
                <w:sz w:val="24"/>
              </w:rPr>
            </w:pPr>
            <w:r>
              <w:rPr>
                <w:rFonts w:hint="eastAsia"/>
                <w:color w:val="auto"/>
                <w:sz w:val="24"/>
              </w:rPr>
              <w:t>（3）切割废边角料</w:t>
            </w:r>
          </w:p>
          <w:p w14:paraId="17382B59">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color w:val="auto"/>
                <w:sz w:val="24"/>
              </w:rPr>
            </w:pPr>
            <w:r>
              <w:rPr>
                <w:rFonts w:hint="eastAsia"/>
                <w:color w:val="auto"/>
                <w:sz w:val="24"/>
              </w:rPr>
              <w:t>根据《排放源统计调查产排污核算方案和系数手册》中“</w:t>
            </w:r>
            <w:r>
              <w:rPr>
                <w:color w:val="auto"/>
                <w:sz w:val="24"/>
              </w:rPr>
              <w:t>3062</w:t>
            </w:r>
            <w:r>
              <w:rPr>
                <w:rFonts w:hint="eastAsia"/>
                <w:color w:val="auto"/>
                <w:sz w:val="24"/>
              </w:rPr>
              <w:t>玻璃纤维增强 塑料制品制造行业系数表”工段名称：切割成型，产品名称：玻璃纤维复合材料，工艺名称：拉挤。废边角料产污系数为</w:t>
            </w:r>
            <w:r>
              <w:rPr>
                <w:color w:val="auto"/>
                <w:sz w:val="24"/>
              </w:rPr>
              <w:t>0.003</w:t>
            </w:r>
            <w:r>
              <w:rPr>
                <w:rFonts w:hint="eastAsia"/>
                <w:color w:val="auto"/>
                <w:sz w:val="24"/>
              </w:rPr>
              <w:t>吨</w:t>
            </w:r>
            <w:r>
              <w:rPr>
                <w:color w:val="auto"/>
                <w:sz w:val="24"/>
              </w:rPr>
              <w:t>/</w:t>
            </w:r>
            <w:r>
              <w:rPr>
                <w:rFonts w:hint="eastAsia"/>
                <w:color w:val="auto"/>
                <w:sz w:val="24"/>
              </w:rPr>
              <w:t>吨</w:t>
            </w:r>
            <w:r>
              <w:rPr>
                <w:color w:val="auto"/>
                <w:sz w:val="24"/>
              </w:rPr>
              <w:t>-</w:t>
            </w:r>
            <w:r>
              <w:rPr>
                <w:rFonts w:hint="eastAsia"/>
                <w:color w:val="auto"/>
                <w:sz w:val="24"/>
              </w:rPr>
              <w:t>产品，本项目玻璃纤维杆总量为35</w:t>
            </w:r>
            <w:r>
              <w:rPr>
                <w:color w:val="auto"/>
                <w:sz w:val="24"/>
              </w:rPr>
              <w:t>t/a</w:t>
            </w:r>
            <w:r>
              <w:rPr>
                <w:rFonts w:hint="eastAsia"/>
                <w:color w:val="auto"/>
                <w:sz w:val="24"/>
              </w:rPr>
              <w:t>，故废边角料产生量为0.105</w:t>
            </w:r>
            <w:r>
              <w:rPr>
                <w:color w:val="auto"/>
                <w:sz w:val="24"/>
              </w:rPr>
              <w:t>t/a</w:t>
            </w:r>
            <w:r>
              <w:rPr>
                <w:rFonts w:hint="eastAsia"/>
                <w:color w:val="auto"/>
                <w:sz w:val="24"/>
              </w:rPr>
              <w:t>，属于一般工业固体废物。</w:t>
            </w:r>
          </w:p>
          <w:p w14:paraId="17382B5A">
            <w:pPr>
              <w:adjustRightInd w:val="0"/>
              <w:snapToGrid w:val="0"/>
              <w:spacing w:line="360" w:lineRule="auto"/>
              <w:ind w:firstLine="480" w:firstLineChars="200"/>
              <w:rPr>
                <w:color w:val="auto"/>
                <w:sz w:val="24"/>
              </w:rPr>
            </w:pPr>
            <w:r>
              <w:rPr>
                <w:rFonts w:hint="eastAsia"/>
                <w:color w:val="auto"/>
                <w:sz w:val="24"/>
              </w:rPr>
              <w:t>（4）切割沉淀沉渣</w:t>
            </w:r>
          </w:p>
          <w:p w14:paraId="17382B5B">
            <w:pPr>
              <w:adjustRightInd w:val="0"/>
              <w:snapToGrid w:val="0"/>
              <w:spacing w:line="360" w:lineRule="auto"/>
              <w:ind w:firstLine="480" w:firstLineChars="200"/>
              <w:rPr>
                <w:color w:val="auto"/>
                <w:sz w:val="24"/>
              </w:rPr>
            </w:pPr>
            <w:r>
              <w:rPr>
                <w:rFonts w:hint="eastAsia"/>
                <w:color w:val="auto"/>
                <w:sz w:val="24"/>
              </w:rPr>
              <w:t>本</w:t>
            </w:r>
            <w:r>
              <w:rPr>
                <w:color w:val="auto"/>
                <w:sz w:val="24"/>
              </w:rPr>
              <w:t>项目</w:t>
            </w:r>
            <w:r>
              <w:rPr>
                <w:rFonts w:hint="eastAsia"/>
                <w:color w:val="auto"/>
                <w:sz w:val="24"/>
              </w:rPr>
              <w:t>切割过程使用水喷淋降尘</w:t>
            </w:r>
            <w:r>
              <w:rPr>
                <w:color w:val="auto"/>
                <w:sz w:val="24"/>
              </w:rPr>
              <w:t>，</w:t>
            </w:r>
            <w:r>
              <w:rPr>
                <w:rFonts w:hint="eastAsia"/>
                <w:color w:val="auto"/>
                <w:sz w:val="24"/>
              </w:rPr>
              <w:t>喷淋废水经沉淀后循环使用，需定期清理沉渣。根据《武义同丰玻璃钢制品有限公司纤维杆生产线项目竣工环境保护验收监测报告》（2018年5月通过自主验收，该项目所用原材料包含不饱和聚酯树脂、玻璃纤维纱、碳酸钙、固化剂等，生产工艺为原料→称量混合→搅拌→浸润→固化成型→水喷淋切割→检验→包装出厂，产品及产能为400吨玻璃纤维杆，与本项目玻璃纤维杆部分生产工艺基本一致，具有类比可行性），该企业实际生产过程中，切割喷淋废水中沉渣的产生量约为产能的0.48%。本项目玻璃纤维杆的产能为35t，经计算，沉渣产生量约为0.168t/a，属于一般工业固体废物。</w:t>
            </w:r>
          </w:p>
          <w:p w14:paraId="17382B5C">
            <w:pPr>
              <w:adjustRightInd w:val="0"/>
              <w:snapToGrid w:val="0"/>
              <w:spacing w:line="360" w:lineRule="auto"/>
              <w:ind w:firstLine="480" w:firstLineChars="200"/>
              <w:rPr>
                <w:color w:val="auto"/>
                <w:sz w:val="24"/>
              </w:rPr>
            </w:pPr>
            <w:r>
              <w:rPr>
                <w:rFonts w:hint="eastAsia"/>
                <w:color w:val="auto"/>
                <w:sz w:val="24"/>
              </w:rPr>
              <w:t>（5）注塑废边角料</w:t>
            </w:r>
          </w:p>
          <w:p w14:paraId="17382B5D">
            <w:pPr>
              <w:adjustRightInd w:val="0"/>
              <w:snapToGrid w:val="0"/>
              <w:spacing w:line="360" w:lineRule="auto"/>
              <w:ind w:firstLine="480" w:firstLineChars="200"/>
              <w:rPr>
                <w:color w:val="auto"/>
                <w:sz w:val="24"/>
              </w:rPr>
            </w:pPr>
            <w:r>
              <w:rPr>
                <w:rFonts w:hint="eastAsia"/>
                <w:color w:val="auto"/>
                <w:sz w:val="24"/>
              </w:rPr>
              <w:t>根据建设单位提供资料，项目生产过程中注塑工序产生的塑料边角料约占原料用量的0.1%，本项目边角料产生量0.05t/a，收集回用于注塑工序。</w:t>
            </w:r>
          </w:p>
          <w:p w14:paraId="17382B5E">
            <w:pPr>
              <w:adjustRightInd w:val="0"/>
              <w:snapToGrid w:val="0"/>
              <w:spacing w:line="360" w:lineRule="auto"/>
              <w:ind w:firstLine="480" w:firstLineChars="200"/>
              <w:rPr>
                <w:color w:val="auto"/>
                <w:sz w:val="24"/>
              </w:rPr>
            </w:pPr>
            <w:r>
              <w:rPr>
                <w:rFonts w:hint="eastAsia"/>
                <w:color w:val="auto"/>
                <w:sz w:val="24"/>
              </w:rPr>
              <w:t>（6）热处理沉淀沉渣</w:t>
            </w:r>
          </w:p>
          <w:p w14:paraId="17382B5F">
            <w:pPr>
              <w:adjustRightInd w:val="0"/>
              <w:snapToGrid w:val="0"/>
              <w:spacing w:line="360" w:lineRule="auto"/>
              <w:ind w:firstLine="480" w:firstLineChars="200"/>
              <w:rPr>
                <w:color w:val="auto"/>
                <w:sz w:val="24"/>
              </w:rPr>
            </w:pPr>
            <w:r>
              <w:rPr>
                <w:rFonts w:hint="eastAsia"/>
                <w:color w:val="auto"/>
                <w:sz w:val="24"/>
              </w:rPr>
              <w:t>根据建设单位提供资料，本项目需进行热处理的工件约500t，冷却过程产生金属氧化物沉渣，类比同类型生产项目，沉渣产生量约为金属工件的0.1%，经计算，热处理沉淀沉渣产生量为0.5t/a，属于一般工业固体废物。</w:t>
            </w:r>
          </w:p>
          <w:p w14:paraId="17382B60">
            <w:pPr>
              <w:adjustRightInd w:val="0"/>
              <w:snapToGrid w:val="0"/>
              <w:spacing w:line="360" w:lineRule="auto"/>
              <w:ind w:firstLine="480" w:firstLineChars="200"/>
              <w:rPr>
                <w:color w:val="auto"/>
                <w:sz w:val="24"/>
              </w:rPr>
            </w:pPr>
            <w:r>
              <w:rPr>
                <w:rFonts w:hint="eastAsia"/>
                <w:color w:val="auto"/>
                <w:sz w:val="24"/>
              </w:rPr>
              <w:t>（7）废钢丸</w:t>
            </w:r>
          </w:p>
          <w:p w14:paraId="17382B61">
            <w:pPr>
              <w:adjustRightInd w:val="0"/>
              <w:snapToGrid w:val="0"/>
              <w:spacing w:line="360" w:lineRule="auto"/>
              <w:ind w:firstLine="480" w:firstLineChars="200"/>
              <w:rPr>
                <w:color w:val="auto"/>
                <w:sz w:val="24"/>
              </w:rPr>
            </w:pPr>
            <w:r>
              <w:rPr>
                <w:rFonts w:hint="eastAsia"/>
                <w:color w:val="auto"/>
                <w:sz w:val="24"/>
              </w:rPr>
              <w:t>抛丸工序中会产生一定量的废钢丸，根据建设单位提供资料，年产生量约为0.1t/a，属于一般工业固体废物。</w:t>
            </w:r>
          </w:p>
          <w:p w14:paraId="17382B62">
            <w:pPr>
              <w:adjustRightInd w:val="0"/>
              <w:snapToGrid w:val="0"/>
              <w:spacing w:line="360" w:lineRule="auto"/>
              <w:ind w:firstLine="480" w:firstLineChars="200"/>
              <w:rPr>
                <w:color w:val="auto"/>
                <w:sz w:val="24"/>
              </w:rPr>
            </w:pPr>
            <w:r>
              <w:rPr>
                <w:rFonts w:hint="eastAsia"/>
                <w:color w:val="auto"/>
                <w:sz w:val="24"/>
              </w:rPr>
              <w:t>（8）清洗沉淀沉渣</w:t>
            </w:r>
          </w:p>
          <w:p w14:paraId="17382B64">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color w:val="auto"/>
                <w:sz w:val="24"/>
              </w:rPr>
            </w:pPr>
            <w:r>
              <w:rPr>
                <w:rFonts w:hint="eastAsia"/>
                <w:color w:val="auto"/>
                <w:sz w:val="24"/>
              </w:rPr>
              <w:t>本项目清洗废水沉淀处理过程会产生沉渣，需要处理的废水量为13.38</w:t>
            </w:r>
            <w:r>
              <w:rPr>
                <w:color w:val="auto"/>
                <w:sz w:val="24"/>
              </w:rPr>
              <w:t>t/a</w:t>
            </w:r>
            <w:r>
              <w:rPr>
                <w:rFonts w:hint="eastAsia"/>
                <w:color w:val="auto"/>
                <w:sz w:val="24"/>
              </w:rPr>
              <w:t>，沉渣产生量约为0.08</w:t>
            </w:r>
            <w:r>
              <w:rPr>
                <w:color w:val="auto"/>
                <w:sz w:val="24"/>
              </w:rPr>
              <w:t>t/a</w:t>
            </w:r>
            <w:r>
              <w:rPr>
                <w:rFonts w:hint="eastAsia"/>
                <w:color w:val="auto"/>
                <w:sz w:val="24"/>
              </w:rPr>
              <w:t>，属于一般工业固体废物。</w:t>
            </w:r>
          </w:p>
          <w:p w14:paraId="17382B65">
            <w:pPr>
              <w:adjustRightInd w:val="0"/>
              <w:snapToGrid w:val="0"/>
              <w:spacing w:line="360" w:lineRule="auto"/>
              <w:ind w:firstLine="480" w:firstLineChars="200"/>
              <w:rPr>
                <w:color w:val="auto"/>
                <w:sz w:val="24"/>
              </w:rPr>
            </w:pPr>
            <w:r>
              <w:rPr>
                <w:rFonts w:hint="eastAsia"/>
                <w:color w:val="auto"/>
                <w:sz w:val="24"/>
              </w:rPr>
              <w:t>（9）废防锈油</w:t>
            </w:r>
          </w:p>
          <w:p w14:paraId="17382B66">
            <w:pPr>
              <w:adjustRightInd w:val="0"/>
              <w:snapToGrid w:val="0"/>
              <w:spacing w:line="360" w:lineRule="auto"/>
              <w:ind w:firstLine="480" w:firstLineChars="200"/>
              <w:rPr>
                <w:bCs/>
                <w:color w:val="auto"/>
                <w:kern w:val="0"/>
                <w:sz w:val="24"/>
              </w:rPr>
            </w:pPr>
            <w:r>
              <w:rPr>
                <w:rFonts w:hint="eastAsia"/>
                <w:bCs/>
                <w:color w:val="auto"/>
                <w:kern w:val="0"/>
                <w:sz w:val="24"/>
              </w:rPr>
              <w:t>根据建设单位提供资料，防锈油每年更换一次，废防锈油产生量约为0.05t/a，</w:t>
            </w:r>
            <w:r>
              <w:rPr>
                <w:bCs/>
                <w:color w:val="auto"/>
                <w:kern w:val="0"/>
                <w:sz w:val="24"/>
              </w:rPr>
              <w:t>属于危险废物，</w:t>
            </w:r>
            <w:r>
              <w:rPr>
                <w:rFonts w:hint="eastAsia"/>
                <w:bCs/>
                <w:color w:val="auto"/>
                <w:kern w:val="0"/>
                <w:sz w:val="24"/>
              </w:rPr>
              <w:t>收集后暂存于厂区内的危废暂存间，定期委托有资质单位安全处置</w:t>
            </w:r>
            <w:r>
              <w:rPr>
                <w:bCs/>
                <w:color w:val="auto"/>
                <w:kern w:val="0"/>
                <w:sz w:val="24"/>
              </w:rPr>
              <w:t>。</w:t>
            </w:r>
          </w:p>
          <w:p w14:paraId="17382B67">
            <w:pPr>
              <w:spacing w:line="360" w:lineRule="auto"/>
              <w:ind w:firstLine="480" w:firstLineChars="200"/>
              <w:rPr>
                <w:color w:val="auto"/>
                <w:sz w:val="24"/>
              </w:rPr>
            </w:pPr>
            <w:r>
              <w:rPr>
                <w:rFonts w:hint="eastAsia"/>
                <w:color w:val="auto"/>
                <w:sz w:val="24"/>
              </w:rPr>
              <w:t>（10）废防锈油包装桶</w:t>
            </w:r>
          </w:p>
          <w:p w14:paraId="17382B68">
            <w:pPr>
              <w:adjustRightInd w:val="0"/>
              <w:snapToGrid w:val="0"/>
              <w:spacing w:line="360" w:lineRule="auto"/>
              <w:ind w:firstLine="480" w:firstLineChars="200"/>
              <w:rPr>
                <w:bCs/>
                <w:color w:val="auto"/>
                <w:sz w:val="24"/>
              </w:rPr>
            </w:pPr>
            <w:r>
              <w:rPr>
                <w:rFonts w:hint="eastAsia"/>
                <w:color w:val="auto"/>
                <w:sz w:val="24"/>
              </w:rPr>
              <w:t>本项目防锈油等年用量为0.5t，均采用20kg塑料桶装，单桶重量约1kg，则废包装桶产生量约0.025t/a，</w:t>
            </w:r>
            <w:r>
              <w:rPr>
                <w:bCs/>
                <w:color w:val="auto"/>
                <w:sz w:val="24"/>
              </w:rPr>
              <w:t>属于危险废物，</w:t>
            </w:r>
            <w:r>
              <w:rPr>
                <w:rFonts w:hint="eastAsia"/>
                <w:bCs/>
                <w:color w:val="auto"/>
                <w:sz w:val="24"/>
              </w:rPr>
              <w:t>收集后暂存于厂区内的危废暂存间，定期委托有资质单位安全处置</w:t>
            </w:r>
            <w:r>
              <w:rPr>
                <w:bCs/>
                <w:color w:val="auto"/>
                <w:sz w:val="24"/>
              </w:rPr>
              <w:t>。</w:t>
            </w:r>
          </w:p>
          <w:p w14:paraId="17382B69">
            <w:pPr>
              <w:spacing w:line="360" w:lineRule="auto"/>
              <w:ind w:firstLine="480" w:firstLineChars="200"/>
              <w:rPr>
                <w:color w:val="auto"/>
                <w:sz w:val="24"/>
              </w:rPr>
            </w:pPr>
            <w:r>
              <w:rPr>
                <w:rFonts w:hint="eastAsia"/>
                <w:color w:val="auto"/>
                <w:sz w:val="24"/>
              </w:rPr>
              <w:t>（11）化粪池污泥</w:t>
            </w:r>
          </w:p>
          <w:p w14:paraId="17382B6A">
            <w:pPr>
              <w:spacing w:line="360" w:lineRule="auto"/>
              <w:ind w:firstLine="480" w:firstLineChars="200"/>
              <w:rPr>
                <w:color w:val="auto"/>
                <w:sz w:val="24"/>
              </w:rPr>
            </w:pPr>
            <w:r>
              <w:rPr>
                <w:color w:val="auto"/>
                <w:sz w:val="24"/>
              </w:rPr>
              <w:t>根据《建筑给水排水设计标准》（GB50015-2019），建设项目化粪池污泥量见表</w:t>
            </w:r>
            <w:r>
              <w:rPr>
                <w:rFonts w:hint="eastAsia"/>
                <w:color w:val="auto"/>
                <w:sz w:val="24"/>
              </w:rPr>
              <w:t>4-18</w:t>
            </w:r>
            <w:r>
              <w:rPr>
                <w:color w:val="auto"/>
                <w:sz w:val="24"/>
              </w:rPr>
              <w:t>。</w:t>
            </w:r>
          </w:p>
          <w:p w14:paraId="17382B6B">
            <w:pPr>
              <w:adjustRightInd w:val="0"/>
              <w:snapToGrid w:val="0"/>
              <w:jc w:val="center"/>
              <w:rPr>
                <w:b/>
                <w:bCs/>
                <w:color w:val="auto"/>
                <w:sz w:val="24"/>
              </w:rPr>
            </w:pPr>
            <w:r>
              <w:rPr>
                <w:b/>
                <w:bCs/>
                <w:color w:val="auto"/>
                <w:sz w:val="24"/>
              </w:rPr>
              <w:t>表</w:t>
            </w:r>
            <w:r>
              <w:rPr>
                <w:rFonts w:hint="eastAsia"/>
                <w:b/>
                <w:bCs/>
                <w:color w:val="auto"/>
                <w:sz w:val="24"/>
              </w:rPr>
              <w:t xml:space="preserve">4-18 </w:t>
            </w:r>
            <w:r>
              <w:rPr>
                <w:b/>
                <w:bCs/>
                <w:color w:val="auto"/>
                <w:sz w:val="24"/>
              </w:rPr>
              <w:t>化粪池每人每日计算污泥量  单位：L</w:t>
            </w:r>
          </w:p>
          <w:tbl>
            <w:tblPr>
              <w:tblStyle w:val="88"/>
              <w:tblW w:w="825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3422"/>
              <w:gridCol w:w="2838"/>
              <w:gridCol w:w="1998"/>
            </w:tblGrid>
            <w:tr w14:paraId="17382B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422" w:type="dxa"/>
                  <w:tcBorders>
                    <w:top w:val="single" w:color="auto" w:sz="12" w:space="0"/>
                    <w:left w:val="nil"/>
                  </w:tcBorders>
                  <w:vAlign w:val="center"/>
                </w:tcPr>
                <w:p w14:paraId="17382B6C">
                  <w:pPr>
                    <w:adjustRightInd w:val="0"/>
                    <w:snapToGrid w:val="0"/>
                    <w:jc w:val="center"/>
                    <w:rPr>
                      <w:b/>
                      <w:color w:val="auto"/>
                      <w:szCs w:val="21"/>
                    </w:rPr>
                  </w:pPr>
                  <w:r>
                    <w:rPr>
                      <w:b/>
                      <w:color w:val="auto"/>
                      <w:szCs w:val="21"/>
                    </w:rPr>
                    <w:t>建筑物分类</w:t>
                  </w:r>
                </w:p>
              </w:tc>
              <w:tc>
                <w:tcPr>
                  <w:tcW w:w="2838" w:type="dxa"/>
                  <w:tcBorders>
                    <w:top w:val="single" w:color="auto" w:sz="12" w:space="0"/>
                  </w:tcBorders>
                  <w:vAlign w:val="center"/>
                </w:tcPr>
                <w:p w14:paraId="17382B6D">
                  <w:pPr>
                    <w:adjustRightInd w:val="0"/>
                    <w:snapToGrid w:val="0"/>
                    <w:jc w:val="center"/>
                    <w:rPr>
                      <w:b/>
                      <w:color w:val="auto"/>
                      <w:szCs w:val="21"/>
                    </w:rPr>
                  </w:pPr>
                  <w:r>
                    <w:rPr>
                      <w:b/>
                      <w:color w:val="auto"/>
                      <w:szCs w:val="21"/>
                    </w:rPr>
                    <w:t>生活污水与生活废水合流排入</w:t>
                  </w:r>
                </w:p>
              </w:tc>
              <w:tc>
                <w:tcPr>
                  <w:tcW w:w="1998" w:type="dxa"/>
                  <w:tcBorders>
                    <w:top w:val="single" w:color="auto" w:sz="12" w:space="0"/>
                    <w:right w:val="nil"/>
                  </w:tcBorders>
                  <w:vAlign w:val="center"/>
                </w:tcPr>
                <w:p w14:paraId="17382B6E">
                  <w:pPr>
                    <w:adjustRightInd w:val="0"/>
                    <w:snapToGrid w:val="0"/>
                    <w:jc w:val="center"/>
                    <w:rPr>
                      <w:b/>
                      <w:color w:val="auto"/>
                      <w:szCs w:val="21"/>
                    </w:rPr>
                  </w:pPr>
                  <w:r>
                    <w:rPr>
                      <w:b/>
                      <w:color w:val="auto"/>
                      <w:szCs w:val="21"/>
                    </w:rPr>
                    <w:t>生活污水单独排入</w:t>
                  </w:r>
                </w:p>
              </w:tc>
            </w:tr>
            <w:tr w14:paraId="17382B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422" w:type="dxa"/>
                  <w:tcBorders>
                    <w:left w:val="nil"/>
                  </w:tcBorders>
                  <w:vAlign w:val="center"/>
                </w:tcPr>
                <w:p w14:paraId="17382B70">
                  <w:pPr>
                    <w:pStyle w:val="70"/>
                    <w:adjustRightInd w:val="0"/>
                    <w:snapToGrid w:val="0"/>
                    <w:spacing w:after="0"/>
                    <w:ind w:left="0" w:leftChars="0"/>
                    <w:jc w:val="center"/>
                    <w:rPr>
                      <w:color w:val="auto"/>
                      <w:sz w:val="21"/>
                      <w:szCs w:val="21"/>
                    </w:rPr>
                  </w:pPr>
                  <w:r>
                    <w:rPr>
                      <w:color w:val="auto"/>
                      <w:sz w:val="21"/>
                      <w:szCs w:val="21"/>
                    </w:rPr>
                    <w:t>有住宿的建筑物</w:t>
                  </w:r>
                </w:p>
              </w:tc>
              <w:tc>
                <w:tcPr>
                  <w:tcW w:w="2838" w:type="dxa"/>
                  <w:vAlign w:val="center"/>
                </w:tcPr>
                <w:p w14:paraId="17382B71">
                  <w:pPr>
                    <w:pStyle w:val="70"/>
                    <w:adjustRightInd w:val="0"/>
                    <w:snapToGrid w:val="0"/>
                    <w:spacing w:after="0"/>
                    <w:ind w:left="0" w:leftChars="0"/>
                    <w:jc w:val="center"/>
                    <w:rPr>
                      <w:color w:val="auto"/>
                      <w:sz w:val="21"/>
                      <w:szCs w:val="21"/>
                    </w:rPr>
                  </w:pPr>
                  <w:r>
                    <w:rPr>
                      <w:color w:val="auto"/>
                      <w:sz w:val="21"/>
                      <w:szCs w:val="21"/>
                    </w:rPr>
                    <w:t>0.7</w:t>
                  </w:r>
                </w:p>
              </w:tc>
              <w:tc>
                <w:tcPr>
                  <w:tcW w:w="1998" w:type="dxa"/>
                  <w:tcBorders>
                    <w:right w:val="nil"/>
                  </w:tcBorders>
                  <w:vAlign w:val="center"/>
                </w:tcPr>
                <w:p w14:paraId="17382B72">
                  <w:pPr>
                    <w:pStyle w:val="70"/>
                    <w:adjustRightInd w:val="0"/>
                    <w:snapToGrid w:val="0"/>
                    <w:spacing w:after="0"/>
                    <w:ind w:left="0" w:leftChars="0"/>
                    <w:jc w:val="center"/>
                    <w:rPr>
                      <w:color w:val="auto"/>
                      <w:sz w:val="21"/>
                      <w:szCs w:val="21"/>
                    </w:rPr>
                  </w:pPr>
                  <w:r>
                    <w:rPr>
                      <w:color w:val="auto"/>
                      <w:sz w:val="21"/>
                      <w:szCs w:val="21"/>
                    </w:rPr>
                    <w:t>0.4</w:t>
                  </w:r>
                </w:p>
              </w:tc>
            </w:tr>
            <w:tr w14:paraId="17382B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422" w:type="dxa"/>
                  <w:tcBorders>
                    <w:left w:val="nil"/>
                  </w:tcBorders>
                  <w:vAlign w:val="center"/>
                </w:tcPr>
                <w:p w14:paraId="17382B74">
                  <w:pPr>
                    <w:pStyle w:val="70"/>
                    <w:adjustRightInd w:val="0"/>
                    <w:snapToGrid w:val="0"/>
                    <w:spacing w:after="0"/>
                    <w:ind w:left="0" w:leftChars="0"/>
                    <w:jc w:val="center"/>
                    <w:rPr>
                      <w:color w:val="auto"/>
                      <w:sz w:val="21"/>
                      <w:szCs w:val="21"/>
                    </w:rPr>
                  </w:pPr>
                  <w:r>
                    <w:rPr>
                      <w:color w:val="auto"/>
                      <w:sz w:val="21"/>
                      <w:szCs w:val="21"/>
                    </w:rPr>
                    <w:t>人员逗留时间＞4h，并≤10h的建筑物</w:t>
                  </w:r>
                </w:p>
              </w:tc>
              <w:tc>
                <w:tcPr>
                  <w:tcW w:w="2838" w:type="dxa"/>
                  <w:vAlign w:val="center"/>
                </w:tcPr>
                <w:p w14:paraId="17382B75">
                  <w:pPr>
                    <w:pStyle w:val="70"/>
                    <w:adjustRightInd w:val="0"/>
                    <w:snapToGrid w:val="0"/>
                    <w:spacing w:after="0"/>
                    <w:ind w:left="0" w:leftChars="0"/>
                    <w:jc w:val="center"/>
                    <w:rPr>
                      <w:color w:val="auto"/>
                      <w:sz w:val="21"/>
                      <w:szCs w:val="21"/>
                    </w:rPr>
                  </w:pPr>
                  <w:r>
                    <w:rPr>
                      <w:color w:val="auto"/>
                      <w:sz w:val="21"/>
                      <w:szCs w:val="21"/>
                    </w:rPr>
                    <w:t>0.3</w:t>
                  </w:r>
                </w:p>
              </w:tc>
              <w:tc>
                <w:tcPr>
                  <w:tcW w:w="1998" w:type="dxa"/>
                  <w:tcBorders>
                    <w:right w:val="nil"/>
                  </w:tcBorders>
                  <w:vAlign w:val="center"/>
                </w:tcPr>
                <w:p w14:paraId="17382B76">
                  <w:pPr>
                    <w:pStyle w:val="70"/>
                    <w:adjustRightInd w:val="0"/>
                    <w:snapToGrid w:val="0"/>
                    <w:spacing w:after="0"/>
                    <w:ind w:left="0" w:leftChars="0"/>
                    <w:jc w:val="center"/>
                    <w:rPr>
                      <w:color w:val="auto"/>
                      <w:sz w:val="21"/>
                      <w:szCs w:val="21"/>
                    </w:rPr>
                  </w:pPr>
                  <w:r>
                    <w:rPr>
                      <w:color w:val="auto"/>
                      <w:sz w:val="21"/>
                      <w:szCs w:val="21"/>
                    </w:rPr>
                    <w:t>0.2</w:t>
                  </w:r>
                </w:p>
              </w:tc>
            </w:tr>
            <w:tr w14:paraId="17382B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340" w:hRule="atLeast"/>
                <w:jc w:val="center"/>
              </w:trPr>
              <w:tc>
                <w:tcPr>
                  <w:tcW w:w="3422" w:type="dxa"/>
                  <w:tcBorders>
                    <w:left w:val="nil"/>
                    <w:bottom w:val="single" w:color="auto" w:sz="12" w:space="0"/>
                  </w:tcBorders>
                  <w:vAlign w:val="center"/>
                </w:tcPr>
                <w:p w14:paraId="17382B78">
                  <w:pPr>
                    <w:pStyle w:val="70"/>
                    <w:adjustRightInd w:val="0"/>
                    <w:snapToGrid w:val="0"/>
                    <w:spacing w:after="0"/>
                    <w:ind w:left="0" w:leftChars="0"/>
                    <w:jc w:val="center"/>
                    <w:rPr>
                      <w:color w:val="auto"/>
                      <w:sz w:val="21"/>
                      <w:szCs w:val="21"/>
                    </w:rPr>
                  </w:pPr>
                  <w:r>
                    <w:rPr>
                      <w:color w:val="auto"/>
                      <w:sz w:val="21"/>
                      <w:szCs w:val="21"/>
                    </w:rPr>
                    <w:t>人员逗留时间≤4h的建筑物</w:t>
                  </w:r>
                </w:p>
              </w:tc>
              <w:tc>
                <w:tcPr>
                  <w:tcW w:w="2838" w:type="dxa"/>
                  <w:tcBorders>
                    <w:bottom w:val="single" w:color="auto" w:sz="12" w:space="0"/>
                  </w:tcBorders>
                  <w:vAlign w:val="center"/>
                </w:tcPr>
                <w:p w14:paraId="17382B79">
                  <w:pPr>
                    <w:pStyle w:val="70"/>
                    <w:adjustRightInd w:val="0"/>
                    <w:snapToGrid w:val="0"/>
                    <w:spacing w:after="0"/>
                    <w:ind w:left="0" w:leftChars="0"/>
                    <w:jc w:val="center"/>
                    <w:rPr>
                      <w:color w:val="auto"/>
                      <w:sz w:val="21"/>
                      <w:szCs w:val="21"/>
                    </w:rPr>
                  </w:pPr>
                  <w:r>
                    <w:rPr>
                      <w:color w:val="auto"/>
                      <w:sz w:val="21"/>
                      <w:szCs w:val="21"/>
                    </w:rPr>
                    <w:t>0.1</w:t>
                  </w:r>
                </w:p>
              </w:tc>
              <w:tc>
                <w:tcPr>
                  <w:tcW w:w="1998" w:type="dxa"/>
                  <w:tcBorders>
                    <w:bottom w:val="single" w:color="auto" w:sz="12" w:space="0"/>
                    <w:right w:val="nil"/>
                  </w:tcBorders>
                  <w:vAlign w:val="center"/>
                </w:tcPr>
                <w:p w14:paraId="17382B7A">
                  <w:pPr>
                    <w:pStyle w:val="70"/>
                    <w:adjustRightInd w:val="0"/>
                    <w:snapToGrid w:val="0"/>
                    <w:spacing w:after="0"/>
                    <w:ind w:left="0" w:leftChars="0"/>
                    <w:jc w:val="center"/>
                    <w:rPr>
                      <w:color w:val="auto"/>
                      <w:sz w:val="21"/>
                      <w:szCs w:val="21"/>
                    </w:rPr>
                  </w:pPr>
                  <w:r>
                    <w:rPr>
                      <w:color w:val="auto"/>
                      <w:sz w:val="21"/>
                      <w:szCs w:val="21"/>
                    </w:rPr>
                    <w:t>0.07</w:t>
                  </w:r>
                </w:p>
              </w:tc>
            </w:tr>
          </w:tbl>
          <w:p w14:paraId="17382B7C">
            <w:pPr>
              <w:spacing w:line="360" w:lineRule="auto"/>
              <w:ind w:firstLine="480" w:firstLineChars="200"/>
              <w:rPr>
                <w:color w:val="auto"/>
                <w:sz w:val="24"/>
              </w:rPr>
            </w:pPr>
            <w:r>
              <w:rPr>
                <w:rFonts w:hint="eastAsia"/>
                <w:color w:val="auto"/>
                <w:sz w:val="24"/>
              </w:rPr>
              <w:t>本</w:t>
            </w:r>
            <w:r>
              <w:rPr>
                <w:color w:val="auto"/>
                <w:sz w:val="24"/>
              </w:rPr>
              <w:t>项目</w:t>
            </w:r>
            <w:r>
              <w:rPr>
                <w:rFonts w:hint="eastAsia"/>
                <w:color w:val="auto"/>
                <w:sz w:val="24"/>
              </w:rPr>
              <w:t>不设置住宿，仅</w:t>
            </w:r>
            <w:r>
              <w:rPr>
                <w:color w:val="auto"/>
                <w:sz w:val="24"/>
              </w:rPr>
              <w:t>生活污水经化粪池处理</w:t>
            </w:r>
            <w:r>
              <w:rPr>
                <w:rFonts w:hint="eastAsia"/>
                <w:color w:val="auto"/>
                <w:sz w:val="24"/>
              </w:rPr>
              <w:t>后用于</w:t>
            </w:r>
            <w:r>
              <w:rPr>
                <w:rFonts w:hint="eastAsia"/>
                <w:color w:val="auto"/>
                <w:sz w:val="24"/>
                <w:lang w:val="en-US" w:eastAsia="zh-CN"/>
              </w:rPr>
              <w:t>周围农田灌溉</w:t>
            </w:r>
            <w:r>
              <w:rPr>
                <w:color w:val="auto"/>
                <w:sz w:val="24"/>
              </w:rPr>
              <w:t>，建设项目</w:t>
            </w:r>
            <w:r>
              <w:rPr>
                <w:rFonts w:hint="eastAsia"/>
                <w:color w:val="auto"/>
                <w:sz w:val="24"/>
              </w:rPr>
              <w:t>12</w:t>
            </w:r>
            <w:r>
              <w:rPr>
                <w:color w:val="auto"/>
                <w:sz w:val="24"/>
              </w:rPr>
              <w:t>人，化粪池污泥量取0.</w:t>
            </w:r>
            <w:r>
              <w:rPr>
                <w:rFonts w:hint="eastAsia"/>
                <w:color w:val="auto"/>
                <w:sz w:val="24"/>
              </w:rPr>
              <w:t>2</w:t>
            </w:r>
            <w:r>
              <w:rPr>
                <w:color w:val="auto"/>
                <w:sz w:val="24"/>
              </w:rPr>
              <w:t>L人•天，年运营</w:t>
            </w:r>
            <w:r>
              <w:rPr>
                <w:rFonts w:hint="eastAsia"/>
                <w:color w:val="auto"/>
                <w:sz w:val="24"/>
              </w:rPr>
              <w:t>300</w:t>
            </w:r>
            <w:r>
              <w:rPr>
                <w:color w:val="auto"/>
                <w:sz w:val="24"/>
              </w:rPr>
              <w:t>d，消化减量20%，则化粪池污泥量约</w:t>
            </w:r>
            <w:r>
              <w:rPr>
                <w:rFonts w:hint="eastAsia"/>
                <w:color w:val="auto"/>
                <w:sz w:val="24"/>
              </w:rPr>
              <w:t>0.576</w:t>
            </w:r>
            <w:r>
              <w:rPr>
                <w:color w:val="auto"/>
                <w:sz w:val="24"/>
              </w:rPr>
              <w:t>t/a。</w:t>
            </w:r>
          </w:p>
          <w:p w14:paraId="17382B7D">
            <w:pPr>
              <w:spacing w:line="360" w:lineRule="auto"/>
              <w:ind w:firstLine="480" w:firstLineChars="200"/>
              <w:rPr>
                <w:color w:val="auto"/>
                <w:sz w:val="24"/>
              </w:rPr>
            </w:pPr>
            <w:r>
              <w:rPr>
                <w:rFonts w:hint="eastAsia"/>
                <w:color w:val="auto"/>
                <w:sz w:val="24"/>
              </w:rPr>
              <w:t>（12）废机油</w:t>
            </w:r>
          </w:p>
          <w:p w14:paraId="17382B7E">
            <w:pPr>
              <w:spacing w:line="360" w:lineRule="auto"/>
              <w:ind w:firstLine="480" w:firstLineChars="200"/>
              <w:rPr>
                <w:color w:val="auto"/>
                <w:sz w:val="24"/>
              </w:rPr>
            </w:pPr>
            <w:r>
              <w:rPr>
                <w:rFonts w:hint="eastAsia"/>
                <w:color w:val="auto"/>
                <w:sz w:val="24"/>
              </w:rPr>
              <w:t>本</w:t>
            </w:r>
            <w:r>
              <w:rPr>
                <w:color w:val="auto"/>
                <w:sz w:val="24"/>
              </w:rPr>
              <w:t>项目设备维修、保养过程中产生废机油，项目机油使用量为</w:t>
            </w:r>
            <w:r>
              <w:rPr>
                <w:rFonts w:hint="eastAsia"/>
                <w:color w:val="auto"/>
                <w:sz w:val="24"/>
              </w:rPr>
              <w:t>0.3</w:t>
            </w:r>
            <w:r>
              <w:rPr>
                <w:color w:val="auto"/>
                <w:sz w:val="24"/>
              </w:rPr>
              <w:t>t/a，</w:t>
            </w:r>
            <w:r>
              <w:rPr>
                <w:rFonts w:hint="eastAsia"/>
                <w:color w:val="auto"/>
                <w:sz w:val="24"/>
              </w:rPr>
              <w:t>类比《志伦电子科技（淮安）有限公司高速插槽连接器、高频线束生产项目验收检测报告》（2024年7月6日通过自主验收），项目</w:t>
            </w:r>
            <w:r>
              <w:rPr>
                <w:color w:val="auto"/>
                <w:sz w:val="24"/>
              </w:rPr>
              <w:t>设备维修、保养过程中机油</w:t>
            </w:r>
            <w:r>
              <w:rPr>
                <w:rFonts w:hint="eastAsia"/>
                <w:color w:val="auto"/>
                <w:sz w:val="24"/>
              </w:rPr>
              <w:t>损耗率约20%。</w:t>
            </w:r>
            <w:r>
              <w:rPr>
                <w:color w:val="auto"/>
                <w:sz w:val="24"/>
              </w:rPr>
              <w:t>则废机油产生量为</w:t>
            </w:r>
            <w:r>
              <w:rPr>
                <w:rFonts w:hint="eastAsia"/>
                <w:color w:val="auto"/>
                <w:sz w:val="24"/>
              </w:rPr>
              <w:t>0.24</w:t>
            </w:r>
            <w:r>
              <w:rPr>
                <w:color w:val="auto"/>
                <w:sz w:val="24"/>
              </w:rPr>
              <w:t>t/a</w:t>
            </w:r>
            <w:r>
              <w:rPr>
                <w:rFonts w:hint="eastAsia"/>
                <w:color w:val="auto"/>
                <w:sz w:val="24"/>
              </w:rPr>
              <w:t>，</w:t>
            </w:r>
            <w:r>
              <w:rPr>
                <w:bCs/>
                <w:color w:val="auto"/>
                <w:sz w:val="24"/>
              </w:rPr>
              <w:t>属于危险废物，</w:t>
            </w:r>
            <w:r>
              <w:rPr>
                <w:rFonts w:hint="eastAsia"/>
                <w:bCs/>
                <w:color w:val="auto"/>
                <w:sz w:val="24"/>
              </w:rPr>
              <w:t>收集后暂存于厂区内的危废暂存间，定期委托有资质单位安全处置</w:t>
            </w:r>
            <w:r>
              <w:rPr>
                <w:bCs/>
                <w:color w:val="auto"/>
                <w:sz w:val="24"/>
              </w:rPr>
              <w:t>。</w:t>
            </w:r>
          </w:p>
          <w:p w14:paraId="17382B7F">
            <w:pPr>
              <w:autoSpaceDE w:val="0"/>
              <w:autoSpaceDN w:val="0"/>
              <w:adjustRightInd w:val="0"/>
              <w:snapToGrid w:val="0"/>
              <w:spacing w:line="360" w:lineRule="auto"/>
              <w:ind w:firstLine="480" w:firstLineChars="200"/>
              <w:rPr>
                <w:bCs/>
                <w:color w:val="auto"/>
                <w:kern w:val="0"/>
                <w:sz w:val="24"/>
              </w:rPr>
            </w:pPr>
            <w:r>
              <w:rPr>
                <w:rFonts w:hint="eastAsia"/>
                <w:bCs/>
                <w:color w:val="auto"/>
                <w:kern w:val="0"/>
                <w:sz w:val="24"/>
              </w:rPr>
              <w:t>（13）</w:t>
            </w:r>
            <w:r>
              <w:rPr>
                <w:bCs/>
                <w:color w:val="auto"/>
                <w:kern w:val="0"/>
                <w:sz w:val="24"/>
              </w:rPr>
              <w:t>废机油桶</w:t>
            </w:r>
          </w:p>
          <w:p w14:paraId="17382B80">
            <w:pPr>
              <w:autoSpaceDE w:val="0"/>
              <w:autoSpaceDN w:val="0"/>
              <w:adjustRightInd w:val="0"/>
              <w:snapToGrid w:val="0"/>
              <w:spacing w:line="360" w:lineRule="auto"/>
              <w:ind w:firstLine="480" w:firstLineChars="200"/>
              <w:rPr>
                <w:bCs/>
                <w:color w:val="auto"/>
                <w:kern w:val="0"/>
                <w:sz w:val="24"/>
              </w:rPr>
            </w:pPr>
            <w:r>
              <w:rPr>
                <w:rFonts w:hint="eastAsia"/>
                <w:bCs/>
                <w:color w:val="auto"/>
                <w:kern w:val="0"/>
                <w:sz w:val="24"/>
              </w:rPr>
              <w:t>本项目</w:t>
            </w:r>
            <w:r>
              <w:rPr>
                <w:bCs/>
                <w:color w:val="auto"/>
                <w:kern w:val="0"/>
                <w:sz w:val="24"/>
              </w:rPr>
              <w:t>使用的机油采用桶装包装，使用后会产生废机油桶约</w:t>
            </w:r>
            <w:r>
              <w:rPr>
                <w:rFonts w:hint="eastAsia"/>
                <w:bCs/>
                <w:color w:val="auto"/>
                <w:kern w:val="0"/>
                <w:sz w:val="24"/>
              </w:rPr>
              <w:t>3</w:t>
            </w:r>
            <w:r>
              <w:rPr>
                <w:bCs/>
                <w:color w:val="auto"/>
                <w:kern w:val="0"/>
                <w:sz w:val="24"/>
              </w:rPr>
              <w:t>个/a，</w:t>
            </w:r>
            <w:r>
              <w:rPr>
                <w:rFonts w:hint="eastAsia"/>
                <w:bCs/>
                <w:color w:val="auto"/>
                <w:kern w:val="0"/>
                <w:sz w:val="24"/>
              </w:rPr>
              <w:t>根据</w:t>
            </w:r>
            <w:r>
              <w:rPr>
                <w:bCs/>
                <w:color w:val="auto"/>
                <w:kern w:val="0"/>
                <w:sz w:val="24"/>
              </w:rPr>
              <w:t>《广州市环境统计危险废物和一般工业固废数据审核指引》（2021年6月），</w:t>
            </w:r>
            <w:r>
              <w:rPr>
                <w:rFonts w:hint="eastAsia"/>
                <w:bCs/>
                <w:color w:val="auto"/>
                <w:kern w:val="0"/>
                <w:sz w:val="24"/>
              </w:rPr>
              <w:t>固体废物不同计量单位换算参考值：参照200L铁桶，</w:t>
            </w:r>
            <w:r>
              <w:rPr>
                <w:bCs/>
                <w:color w:val="auto"/>
                <w:kern w:val="0"/>
                <w:sz w:val="24"/>
              </w:rPr>
              <w:t>空桶重量</w:t>
            </w:r>
            <w:r>
              <w:rPr>
                <w:rFonts w:hint="eastAsia"/>
                <w:bCs/>
                <w:color w:val="auto"/>
                <w:kern w:val="0"/>
                <w:sz w:val="24"/>
              </w:rPr>
              <w:t>20kg/个</w:t>
            </w:r>
            <w:r>
              <w:rPr>
                <w:bCs/>
                <w:color w:val="auto"/>
                <w:kern w:val="0"/>
                <w:sz w:val="24"/>
              </w:rPr>
              <w:t>，</w:t>
            </w:r>
            <w:r>
              <w:rPr>
                <w:rFonts w:hint="eastAsia"/>
                <w:bCs/>
                <w:color w:val="auto"/>
                <w:kern w:val="0"/>
                <w:sz w:val="24"/>
              </w:rPr>
              <w:t>则</w:t>
            </w:r>
            <w:r>
              <w:rPr>
                <w:bCs/>
                <w:color w:val="auto"/>
                <w:kern w:val="0"/>
                <w:sz w:val="24"/>
              </w:rPr>
              <w:t>项目产生的废机油桶约为0.</w:t>
            </w:r>
            <w:r>
              <w:rPr>
                <w:rFonts w:hint="eastAsia"/>
                <w:bCs/>
                <w:color w:val="auto"/>
                <w:kern w:val="0"/>
                <w:sz w:val="24"/>
              </w:rPr>
              <w:t>06</w:t>
            </w:r>
            <w:r>
              <w:rPr>
                <w:bCs/>
                <w:color w:val="auto"/>
                <w:kern w:val="0"/>
                <w:sz w:val="24"/>
              </w:rPr>
              <w:t>t/a</w:t>
            </w:r>
            <w:r>
              <w:rPr>
                <w:rFonts w:hint="eastAsia"/>
                <w:bCs/>
                <w:color w:val="auto"/>
                <w:kern w:val="0"/>
                <w:sz w:val="24"/>
              </w:rPr>
              <w:t>，</w:t>
            </w:r>
            <w:r>
              <w:rPr>
                <w:bCs/>
                <w:color w:val="auto"/>
                <w:kern w:val="0"/>
                <w:sz w:val="24"/>
              </w:rPr>
              <w:t>属于危险废物，</w:t>
            </w:r>
            <w:r>
              <w:rPr>
                <w:rFonts w:hint="eastAsia"/>
                <w:bCs/>
                <w:color w:val="auto"/>
                <w:kern w:val="0"/>
                <w:sz w:val="24"/>
              </w:rPr>
              <w:t>收集后暂存于厂区内的危废暂存间，定期委托有资质单位安全处置</w:t>
            </w:r>
            <w:r>
              <w:rPr>
                <w:bCs/>
                <w:color w:val="auto"/>
                <w:kern w:val="0"/>
                <w:sz w:val="24"/>
              </w:rPr>
              <w:t>。</w:t>
            </w:r>
          </w:p>
          <w:p w14:paraId="17382B81">
            <w:pPr>
              <w:autoSpaceDE w:val="0"/>
              <w:autoSpaceDN w:val="0"/>
              <w:adjustRightInd w:val="0"/>
              <w:snapToGrid w:val="0"/>
              <w:spacing w:line="360" w:lineRule="auto"/>
              <w:ind w:firstLine="480" w:firstLineChars="200"/>
              <w:rPr>
                <w:bCs/>
                <w:color w:val="auto"/>
                <w:kern w:val="0"/>
                <w:sz w:val="24"/>
              </w:rPr>
            </w:pPr>
            <w:r>
              <w:rPr>
                <w:rFonts w:hint="eastAsia"/>
                <w:bCs/>
                <w:color w:val="auto"/>
                <w:kern w:val="0"/>
                <w:sz w:val="24"/>
              </w:rPr>
              <w:t>（14）废弃的含油抹布及劳保用品</w:t>
            </w:r>
          </w:p>
          <w:p w14:paraId="17382B82">
            <w:pPr>
              <w:autoSpaceDE w:val="0"/>
              <w:autoSpaceDN w:val="0"/>
              <w:adjustRightInd w:val="0"/>
              <w:snapToGrid w:val="0"/>
              <w:spacing w:line="360" w:lineRule="auto"/>
              <w:ind w:firstLine="480" w:firstLineChars="200"/>
              <w:rPr>
                <w:bCs/>
                <w:color w:val="auto"/>
                <w:kern w:val="0"/>
                <w:sz w:val="24"/>
              </w:rPr>
            </w:pPr>
            <w:r>
              <w:rPr>
                <w:rFonts w:hint="eastAsia"/>
                <w:bCs/>
                <w:color w:val="auto"/>
                <w:kern w:val="0"/>
                <w:sz w:val="24"/>
              </w:rPr>
              <w:t>本项目设备维护保养时会产生废弃的含油抹布、劳保用品。经估算，废弃的含油抹布、劳保用品产生量约为0.1t/a。因设备养护过程随机产生，且量小不易分类收集，混入生活垃圾，根据《国家危险废物名录》（202</w:t>
            </w:r>
            <w:r>
              <w:rPr>
                <w:rFonts w:hint="eastAsia"/>
                <w:bCs/>
                <w:color w:val="auto"/>
                <w:kern w:val="0"/>
                <w:sz w:val="24"/>
                <w:lang w:val="en-US" w:eastAsia="zh-CN"/>
              </w:rPr>
              <w:t>5</w:t>
            </w:r>
            <w:r>
              <w:rPr>
                <w:rFonts w:hint="eastAsia"/>
                <w:bCs/>
                <w:color w:val="auto"/>
                <w:kern w:val="0"/>
                <w:sz w:val="24"/>
              </w:rPr>
              <w:t>）危险废物豁免管理清单要求废弃的含油抹布、劳保用品未分类收集时全过程不按照危险废物管理，因而拟建项目废弃的含油抹布、劳保手套混入生活垃圾委托环卫清运。</w:t>
            </w:r>
          </w:p>
          <w:p w14:paraId="17382B83">
            <w:pPr>
              <w:adjustRightInd w:val="0"/>
              <w:snapToGrid w:val="0"/>
              <w:spacing w:line="360" w:lineRule="auto"/>
              <w:ind w:firstLine="480" w:firstLineChars="200"/>
              <w:rPr>
                <w:color w:val="auto"/>
                <w:sz w:val="24"/>
              </w:rPr>
            </w:pPr>
            <w:r>
              <w:rPr>
                <w:rFonts w:hint="eastAsia"/>
                <w:color w:val="auto"/>
                <w:sz w:val="24"/>
              </w:rPr>
              <w:t>（15）布袋收集粉尘</w:t>
            </w:r>
          </w:p>
          <w:p w14:paraId="17382B84">
            <w:pPr>
              <w:adjustRightInd w:val="0"/>
              <w:snapToGrid w:val="0"/>
              <w:spacing w:line="360" w:lineRule="auto"/>
              <w:ind w:firstLine="480" w:firstLineChars="200"/>
              <w:rPr>
                <w:color w:val="auto"/>
                <w:sz w:val="24"/>
              </w:rPr>
            </w:pPr>
            <w:r>
              <w:rPr>
                <w:rFonts w:hint="eastAsia"/>
                <w:color w:val="auto"/>
                <w:sz w:val="24"/>
              </w:rPr>
              <w:t>根据废气计算章节，本项目抛丸工序收集的金属粉尘量为0.98t/a、抛光工序收集的金属粉尘量为0.94t/a，合计1.92t/a。</w:t>
            </w:r>
          </w:p>
          <w:p w14:paraId="17382B85">
            <w:pPr>
              <w:autoSpaceDE w:val="0"/>
              <w:autoSpaceDN w:val="0"/>
              <w:adjustRightInd w:val="0"/>
              <w:snapToGrid w:val="0"/>
              <w:spacing w:line="360" w:lineRule="auto"/>
              <w:ind w:firstLine="480" w:firstLineChars="200"/>
              <w:rPr>
                <w:bCs/>
                <w:color w:val="auto"/>
                <w:kern w:val="0"/>
                <w:sz w:val="24"/>
              </w:rPr>
            </w:pPr>
            <w:r>
              <w:rPr>
                <w:rFonts w:hint="eastAsia"/>
                <w:bCs/>
                <w:color w:val="auto"/>
                <w:kern w:val="0"/>
                <w:sz w:val="24"/>
              </w:rPr>
              <w:t>（16）废布袋、废滤筒</w:t>
            </w:r>
          </w:p>
          <w:p w14:paraId="17382B86">
            <w:pPr>
              <w:autoSpaceDE w:val="0"/>
              <w:autoSpaceDN w:val="0"/>
              <w:adjustRightInd w:val="0"/>
              <w:snapToGrid w:val="0"/>
              <w:spacing w:line="360" w:lineRule="auto"/>
              <w:ind w:firstLine="480" w:firstLineChars="200"/>
              <w:rPr>
                <w:bCs/>
                <w:color w:val="auto"/>
                <w:kern w:val="0"/>
                <w:sz w:val="24"/>
              </w:rPr>
            </w:pPr>
            <w:r>
              <w:rPr>
                <w:rFonts w:hint="eastAsia"/>
                <w:bCs/>
                <w:color w:val="auto"/>
                <w:kern w:val="0"/>
                <w:sz w:val="24"/>
              </w:rPr>
              <w:t>本项目废气处理设施（布袋除尘器、脉冲滤筒除尘器等）需要定期维修保养，更换内部除尘布袋、滤筒及滤芯，以保证除尘器可以长期稳定运行。布袋每年更换一次，约产生20条废布袋，每条布袋0.5kg，则每年废布袋产生量为0.01t/a；滤筒每年更换一次，更换量约为100个，每个滤筒2.5kg，则废滤筒产生量为0.25/a，属于一般工业固废，收集后统一外售综合利用。</w:t>
            </w:r>
          </w:p>
          <w:p w14:paraId="17382B87">
            <w:pPr>
              <w:autoSpaceDE w:val="0"/>
              <w:autoSpaceDN w:val="0"/>
              <w:adjustRightInd w:val="0"/>
              <w:snapToGrid w:val="0"/>
              <w:spacing w:line="360" w:lineRule="auto"/>
              <w:ind w:firstLine="480" w:firstLineChars="200"/>
              <w:rPr>
                <w:bCs/>
                <w:color w:val="auto"/>
                <w:kern w:val="0"/>
                <w:sz w:val="24"/>
              </w:rPr>
            </w:pPr>
            <w:r>
              <w:rPr>
                <w:rFonts w:hint="eastAsia"/>
                <w:bCs/>
                <w:color w:val="auto"/>
                <w:kern w:val="0"/>
                <w:sz w:val="24"/>
              </w:rPr>
              <w:t>（17）生活垃圾</w:t>
            </w:r>
          </w:p>
          <w:p w14:paraId="17382B88">
            <w:pPr>
              <w:autoSpaceDE w:val="0"/>
              <w:autoSpaceDN w:val="0"/>
              <w:adjustRightInd w:val="0"/>
              <w:snapToGrid w:val="0"/>
              <w:spacing w:line="360" w:lineRule="auto"/>
              <w:ind w:firstLine="480" w:firstLineChars="200"/>
              <w:rPr>
                <w:bCs/>
                <w:color w:val="auto"/>
                <w:kern w:val="0"/>
                <w:sz w:val="24"/>
              </w:rPr>
            </w:pPr>
            <w:r>
              <w:rPr>
                <w:rFonts w:hint="eastAsia"/>
                <w:bCs/>
                <w:color w:val="auto"/>
                <w:kern w:val="0"/>
                <w:sz w:val="24"/>
              </w:rPr>
              <w:t>本项目共有员工12人，年工作300天，生活垃圾应按每人每天0.5kg计算，则生活垃圾产生量约1.8t/a，由环卫部门统一清运。</w:t>
            </w:r>
          </w:p>
          <w:p w14:paraId="17382B89">
            <w:pPr>
              <w:autoSpaceDE w:val="0"/>
              <w:autoSpaceDN w:val="0"/>
              <w:adjustRightInd w:val="0"/>
              <w:snapToGrid w:val="0"/>
              <w:spacing w:line="360" w:lineRule="auto"/>
              <w:ind w:firstLine="480" w:firstLineChars="200"/>
              <w:rPr>
                <w:bCs/>
                <w:color w:val="auto"/>
                <w:kern w:val="0"/>
                <w:sz w:val="24"/>
              </w:rPr>
            </w:pPr>
            <w:r>
              <w:rPr>
                <w:rFonts w:hint="eastAsia"/>
                <w:bCs/>
                <w:color w:val="auto"/>
                <w:kern w:val="0"/>
                <w:sz w:val="24"/>
              </w:rPr>
              <w:t>（18）废活性炭</w:t>
            </w:r>
          </w:p>
          <w:p w14:paraId="76E8CD4B">
            <w:pPr>
              <w:autoSpaceDE w:val="0"/>
              <w:autoSpaceDN w:val="0"/>
              <w:adjustRightInd w:val="0"/>
              <w:snapToGrid w:val="0"/>
              <w:spacing w:line="360" w:lineRule="auto"/>
              <w:ind w:firstLine="480" w:firstLineChars="200"/>
              <w:rPr>
                <w:rFonts w:hint="default" w:ascii="Times New Roman" w:hAnsi="Times New Roman" w:eastAsia="宋体" w:cs="Times New Roman"/>
                <w:bCs/>
                <w:color w:val="auto"/>
                <w:kern w:val="0"/>
                <w:sz w:val="24"/>
              </w:rPr>
            </w:pPr>
            <w:r>
              <w:rPr>
                <w:rFonts w:hint="default" w:ascii="Times New Roman" w:hAnsi="Times New Roman" w:eastAsia="宋体" w:cs="Times New Roman"/>
                <w:bCs/>
                <w:color w:val="auto"/>
                <w:kern w:val="0"/>
                <w:sz w:val="24"/>
              </w:rPr>
              <w:t>根据《关于印发&lt;2020 年挥发性有机物治理攻坚方案&gt;的通知》（环大气〔2020〕33号）文件要求，废气吸附用活性炭碘值不得低于800毫克/克，根据废气设计单位提供材料，采用的颗粒活性炭碳碘值不低于800mg/g。</w:t>
            </w:r>
          </w:p>
          <w:p w14:paraId="10BBA22E">
            <w:pPr>
              <w:autoSpaceDE w:val="0"/>
              <w:autoSpaceDN w:val="0"/>
              <w:adjustRightInd w:val="0"/>
              <w:snapToGrid w:val="0"/>
              <w:spacing w:line="360" w:lineRule="auto"/>
              <w:ind w:firstLine="480" w:firstLineChars="200"/>
              <w:rPr>
                <w:rFonts w:hint="eastAsia" w:ascii="Times New Roman" w:hAnsi="Times New Roman" w:eastAsia="宋体" w:cs="Times New Roman"/>
                <w:bCs/>
                <w:color w:val="auto"/>
                <w:kern w:val="0"/>
                <w:sz w:val="24"/>
              </w:rPr>
            </w:pPr>
            <w:r>
              <w:rPr>
                <w:rFonts w:hint="eastAsia" w:ascii="Times New Roman" w:hAnsi="Times New Roman" w:eastAsia="宋体" w:cs="Times New Roman"/>
                <w:bCs/>
                <w:color w:val="auto"/>
                <w:kern w:val="0"/>
                <w:sz w:val="24"/>
              </w:rPr>
              <w:t>本项目采用</w:t>
            </w:r>
            <w:r>
              <w:rPr>
                <w:rFonts w:hint="eastAsia" w:ascii="Times New Roman" w:hAnsi="Times New Roman" w:eastAsia="宋体" w:cs="Times New Roman"/>
                <w:bCs/>
                <w:color w:val="auto"/>
                <w:kern w:val="0"/>
                <w:sz w:val="24"/>
                <w:lang w:eastAsia="zh-CN"/>
              </w:rPr>
              <w:t>二级活性炭吸附装置</w:t>
            </w:r>
            <w:r>
              <w:rPr>
                <w:rFonts w:hint="eastAsia" w:ascii="Times New Roman" w:hAnsi="Times New Roman" w:eastAsia="宋体" w:cs="Times New Roman"/>
                <w:bCs/>
                <w:color w:val="auto"/>
                <w:kern w:val="0"/>
                <w:sz w:val="24"/>
              </w:rPr>
              <w:t>对产生的有机废气进行处理，是可行性方案，活性炭吸附装置风量设计为</w:t>
            </w:r>
            <w:r>
              <w:rPr>
                <w:rFonts w:hint="eastAsia" w:ascii="Times New Roman" w:hAnsi="Times New Roman" w:eastAsia="宋体" w:cs="Times New Roman"/>
                <w:bCs/>
                <w:color w:val="auto"/>
                <w:kern w:val="0"/>
                <w:sz w:val="24"/>
                <w:lang w:val="en-US" w:eastAsia="zh-CN"/>
              </w:rPr>
              <w:t>9000</w:t>
            </w:r>
            <w:r>
              <w:rPr>
                <w:rFonts w:hint="eastAsia" w:ascii="Times New Roman" w:hAnsi="Times New Roman" w:eastAsia="宋体" w:cs="Times New Roman"/>
                <w:bCs/>
                <w:color w:val="auto"/>
                <w:kern w:val="0"/>
                <w:sz w:val="24"/>
              </w:rPr>
              <w:t>m</w:t>
            </w:r>
            <w:r>
              <w:rPr>
                <w:rFonts w:hint="eastAsia" w:ascii="Times New Roman" w:hAnsi="Times New Roman" w:eastAsia="宋体" w:cs="Times New Roman"/>
                <w:bCs/>
                <w:color w:val="auto"/>
                <w:kern w:val="0"/>
                <w:sz w:val="24"/>
                <w:vertAlign w:val="superscript"/>
              </w:rPr>
              <w:t>3</w:t>
            </w:r>
            <w:r>
              <w:rPr>
                <w:rFonts w:hint="eastAsia" w:ascii="Times New Roman" w:hAnsi="Times New Roman" w:eastAsia="宋体" w:cs="Times New Roman"/>
                <w:bCs/>
                <w:color w:val="auto"/>
                <w:kern w:val="0"/>
                <w:sz w:val="24"/>
              </w:rPr>
              <w:t>/h，</w:t>
            </w:r>
            <w:r>
              <w:rPr>
                <w:rFonts w:hint="eastAsia" w:ascii="Times New Roman" w:hAnsi="Times New Roman" w:eastAsia="宋体" w:cs="Times New Roman"/>
                <w:bCs/>
                <w:color w:val="auto"/>
                <w:kern w:val="0"/>
                <w:sz w:val="24"/>
                <w:lang w:val="en-US" w:eastAsia="zh-CN"/>
              </w:rPr>
              <w:t>装置</w:t>
            </w:r>
            <w:r>
              <w:rPr>
                <w:rFonts w:hint="eastAsia" w:ascii="Times New Roman" w:hAnsi="Times New Roman" w:eastAsia="宋体" w:cs="Times New Roman"/>
                <w:bCs/>
                <w:color w:val="auto"/>
                <w:kern w:val="0"/>
                <w:sz w:val="24"/>
              </w:rPr>
              <w:t>设计两个活性炭箱，根据《省生态环境厅关于深入开展涉VOCs治理重点工作核查的通知》（苏环办【2022】218号文）</w:t>
            </w:r>
            <w:r>
              <w:rPr>
                <w:rFonts w:hint="eastAsia" w:ascii="Times New Roman" w:hAnsi="Times New Roman" w:eastAsia="宋体" w:cs="Times New Roman"/>
                <w:bCs/>
                <w:color w:val="auto"/>
                <w:kern w:val="0"/>
                <w:sz w:val="24"/>
                <w:lang w:eastAsia="zh-CN"/>
              </w:rPr>
              <w:t>：“采用一次性颗粒状活性炭处理VOCs废气，年活性炭使用量不应低于VOCs产生量的5倍”</w:t>
            </w:r>
            <w:r>
              <w:rPr>
                <w:rFonts w:hint="eastAsia" w:ascii="Times New Roman" w:hAnsi="Times New Roman" w:eastAsia="宋体" w:cs="Times New Roman"/>
                <w:bCs/>
                <w:color w:val="auto"/>
                <w:kern w:val="0"/>
                <w:sz w:val="24"/>
              </w:rPr>
              <w:t>。根据《吸附法工业有机废气治理工程技术规范》（HJ2026-2013）在设计活性炭箱体时，确保吸附箱中气流速度低于1.2m/s。</w:t>
            </w:r>
          </w:p>
          <w:p w14:paraId="17382B8B">
            <w:pPr>
              <w:autoSpaceDE w:val="0"/>
              <w:autoSpaceDN w:val="0"/>
              <w:adjustRightInd w:val="0"/>
              <w:snapToGrid w:val="0"/>
              <w:spacing w:line="360" w:lineRule="auto"/>
              <w:ind w:firstLine="480" w:firstLineChars="200"/>
              <w:rPr>
                <w:rFonts w:hint="eastAsia" w:eastAsia="宋体"/>
                <w:color w:val="auto"/>
                <w:sz w:val="24"/>
                <w:lang w:eastAsia="zh-CN"/>
              </w:rPr>
            </w:pPr>
            <w:r>
              <w:rPr>
                <w:rFonts w:hint="eastAsia" w:ascii="Times New Roman" w:hAnsi="Times New Roman" w:eastAsia="宋体" w:cs="Times New Roman"/>
                <w:bCs/>
                <w:color w:val="auto"/>
                <w:kern w:val="0"/>
                <w:sz w:val="24"/>
              </w:rPr>
              <w:t>根据《省生态环境厅关于将排污单位活性炭使用更换纳入排污许可管理的通知》（苏环办〔2021〕218号）文中《涉活性炭吸附排污单位的排污许可管理要求》参照以下公式计算活性炭更换周期：</w:t>
            </w:r>
            <w:r>
              <w:rPr>
                <w:color w:val="auto"/>
                <w:sz w:val="24"/>
              </w:rPr>
              <w:t>T=m×s÷（c×10</w:t>
            </w:r>
            <w:r>
              <w:rPr>
                <w:color w:val="auto"/>
                <w:sz w:val="24"/>
                <w:vertAlign w:val="superscript"/>
              </w:rPr>
              <w:t>-6</w:t>
            </w:r>
            <w:r>
              <w:rPr>
                <w:color w:val="auto"/>
                <w:sz w:val="24"/>
              </w:rPr>
              <w:t>×Q×t）</w:t>
            </w:r>
            <w:r>
              <w:rPr>
                <w:rFonts w:hint="eastAsia"/>
                <w:color w:val="auto"/>
                <w:sz w:val="24"/>
                <w:lang w:eastAsia="zh-CN"/>
              </w:rPr>
              <w:t>，</w:t>
            </w:r>
          </w:p>
          <w:p w14:paraId="17382B8C">
            <w:pPr>
              <w:adjustRightInd w:val="0"/>
              <w:snapToGrid w:val="0"/>
              <w:spacing w:line="360" w:lineRule="auto"/>
              <w:ind w:firstLine="480" w:firstLineChars="200"/>
              <w:rPr>
                <w:color w:val="auto"/>
                <w:sz w:val="24"/>
              </w:rPr>
            </w:pPr>
            <w:r>
              <w:rPr>
                <w:color w:val="auto"/>
                <w:sz w:val="24"/>
              </w:rPr>
              <w:t>式中：</w:t>
            </w:r>
          </w:p>
          <w:p w14:paraId="17382B8D">
            <w:pPr>
              <w:adjustRightInd w:val="0"/>
              <w:snapToGrid w:val="0"/>
              <w:spacing w:line="360" w:lineRule="auto"/>
              <w:ind w:firstLine="480" w:firstLineChars="200"/>
              <w:rPr>
                <w:color w:val="auto"/>
                <w:sz w:val="24"/>
              </w:rPr>
            </w:pPr>
            <w:r>
              <w:rPr>
                <w:color w:val="auto"/>
                <w:sz w:val="24"/>
              </w:rPr>
              <w:t>T—更换周期，天；</w:t>
            </w:r>
          </w:p>
          <w:p w14:paraId="17382B8E">
            <w:pPr>
              <w:adjustRightInd w:val="0"/>
              <w:snapToGrid w:val="0"/>
              <w:spacing w:line="360" w:lineRule="auto"/>
              <w:ind w:firstLine="480" w:firstLineChars="200"/>
              <w:rPr>
                <w:color w:val="auto"/>
                <w:sz w:val="24"/>
              </w:rPr>
            </w:pPr>
            <w:r>
              <w:rPr>
                <w:rFonts w:hint="eastAsia"/>
                <w:color w:val="auto"/>
                <w:sz w:val="24"/>
              </w:rPr>
              <w:t>m</w:t>
            </w:r>
            <w:r>
              <w:rPr>
                <w:color w:val="auto"/>
                <w:sz w:val="24"/>
              </w:rPr>
              <w:t>—活性炭的用量，kg；</w:t>
            </w:r>
          </w:p>
          <w:p w14:paraId="17382B8F">
            <w:pPr>
              <w:adjustRightInd w:val="0"/>
              <w:snapToGrid w:val="0"/>
              <w:spacing w:line="360" w:lineRule="auto"/>
              <w:ind w:firstLine="480" w:firstLineChars="200"/>
              <w:rPr>
                <w:color w:val="auto"/>
                <w:sz w:val="24"/>
              </w:rPr>
            </w:pPr>
            <w:r>
              <w:rPr>
                <w:color w:val="auto"/>
                <w:sz w:val="24"/>
              </w:rPr>
              <w:t>s—动态吸附量，%；（一般取值</w:t>
            </w:r>
            <w:r>
              <w:rPr>
                <w:rFonts w:hint="eastAsia"/>
                <w:color w:val="auto"/>
                <w:sz w:val="24"/>
              </w:rPr>
              <w:t>2</w:t>
            </w:r>
            <w:r>
              <w:rPr>
                <w:color w:val="auto"/>
                <w:sz w:val="24"/>
              </w:rPr>
              <w:t>0%）</w:t>
            </w:r>
          </w:p>
          <w:p w14:paraId="17382B90">
            <w:pPr>
              <w:adjustRightInd w:val="0"/>
              <w:snapToGrid w:val="0"/>
              <w:spacing w:line="360" w:lineRule="auto"/>
              <w:ind w:firstLine="480" w:firstLineChars="200"/>
              <w:rPr>
                <w:color w:val="auto"/>
                <w:sz w:val="24"/>
              </w:rPr>
            </w:pPr>
            <w:r>
              <w:rPr>
                <w:color w:val="auto"/>
                <w:sz w:val="24"/>
              </w:rPr>
              <w:t>c—活性炭削减的</w:t>
            </w:r>
            <w:r>
              <w:rPr>
                <w:rFonts w:hint="eastAsia"/>
                <w:color w:val="auto"/>
                <w:sz w:val="24"/>
              </w:rPr>
              <w:t>非甲烷总烃</w:t>
            </w:r>
            <w:r>
              <w:rPr>
                <w:color w:val="auto"/>
                <w:sz w:val="24"/>
              </w:rPr>
              <w:t>浓度，mg/m</w:t>
            </w:r>
            <w:r>
              <w:rPr>
                <w:color w:val="auto"/>
                <w:sz w:val="24"/>
                <w:vertAlign w:val="superscript"/>
              </w:rPr>
              <w:t>3</w:t>
            </w:r>
            <w:r>
              <w:rPr>
                <w:color w:val="auto"/>
                <w:sz w:val="24"/>
              </w:rPr>
              <w:t>；</w:t>
            </w:r>
          </w:p>
          <w:p w14:paraId="17382B91">
            <w:pPr>
              <w:adjustRightInd w:val="0"/>
              <w:snapToGrid w:val="0"/>
              <w:spacing w:line="360" w:lineRule="auto"/>
              <w:ind w:firstLine="480" w:firstLineChars="200"/>
              <w:rPr>
                <w:color w:val="auto"/>
                <w:sz w:val="24"/>
              </w:rPr>
            </w:pPr>
            <w:r>
              <w:rPr>
                <w:color w:val="auto"/>
                <w:sz w:val="24"/>
              </w:rPr>
              <w:t>Q—风量，单位m</w:t>
            </w:r>
            <w:r>
              <w:rPr>
                <w:color w:val="auto"/>
                <w:sz w:val="24"/>
                <w:vertAlign w:val="superscript"/>
              </w:rPr>
              <w:t>3</w:t>
            </w:r>
            <w:r>
              <w:rPr>
                <w:color w:val="auto"/>
                <w:sz w:val="24"/>
              </w:rPr>
              <w:t>/h；</w:t>
            </w:r>
          </w:p>
          <w:p w14:paraId="17382B92">
            <w:pPr>
              <w:adjustRightInd w:val="0"/>
              <w:snapToGrid w:val="0"/>
              <w:spacing w:line="360" w:lineRule="auto"/>
              <w:ind w:firstLine="480" w:firstLineChars="200"/>
              <w:rPr>
                <w:color w:val="auto"/>
                <w:sz w:val="24"/>
              </w:rPr>
            </w:pPr>
            <w:r>
              <w:rPr>
                <w:color w:val="auto"/>
                <w:sz w:val="24"/>
              </w:rPr>
              <w:t>t—运行时间，单位h/d。（8h）</w:t>
            </w:r>
          </w:p>
          <w:p w14:paraId="17382B93">
            <w:pPr>
              <w:adjustRightInd w:val="0"/>
              <w:snapToGrid w:val="0"/>
              <w:jc w:val="center"/>
              <w:rPr>
                <w:b/>
                <w:bCs/>
                <w:color w:val="auto"/>
                <w:sz w:val="24"/>
              </w:rPr>
            </w:pPr>
            <w:r>
              <w:rPr>
                <w:b/>
                <w:bCs/>
                <w:color w:val="auto"/>
                <w:sz w:val="24"/>
              </w:rPr>
              <w:t>表4</w:t>
            </w:r>
            <w:r>
              <w:rPr>
                <w:rFonts w:hint="eastAsia"/>
                <w:b/>
                <w:bCs/>
                <w:color w:val="auto"/>
                <w:sz w:val="24"/>
              </w:rPr>
              <w:t xml:space="preserve">-19 </w:t>
            </w:r>
            <w:r>
              <w:rPr>
                <w:b/>
                <w:bCs/>
                <w:color w:val="auto"/>
                <w:sz w:val="24"/>
              </w:rPr>
              <w:t>本项目活性炭更换周期计算结果表</w:t>
            </w:r>
          </w:p>
          <w:tbl>
            <w:tblPr>
              <w:tblStyle w:val="88"/>
              <w:tblW w:w="4998"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668"/>
              <w:gridCol w:w="1143"/>
              <w:gridCol w:w="1170"/>
              <w:gridCol w:w="1386"/>
              <w:gridCol w:w="1058"/>
              <w:gridCol w:w="1021"/>
              <w:gridCol w:w="1011"/>
            </w:tblGrid>
            <w:tr w14:paraId="17382B9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8" w:type="dxa"/>
                  <w:vAlign w:val="center"/>
                </w:tcPr>
                <w:p w14:paraId="17382B94">
                  <w:pPr>
                    <w:widowControl/>
                    <w:jc w:val="center"/>
                    <w:rPr>
                      <w:b/>
                      <w:bCs/>
                      <w:color w:val="auto"/>
                      <w:szCs w:val="21"/>
                    </w:rPr>
                  </w:pPr>
                  <w:r>
                    <w:rPr>
                      <w:b/>
                      <w:bCs/>
                      <w:color w:val="auto"/>
                      <w:szCs w:val="21"/>
                    </w:rPr>
                    <w:t>名称</w:t>
                  </w:r>
                </w:p>
              </w:tc>
              <w:tc>
                <w:tcPr>
                  <w:tcW w:w="1143" w:type="dxa"/>
                  <w:vAlign w:val="center"/>
                </w:tcPr>
                <w:p w14:paraId="17382B95">
                  <w:pPr>
                    <w:widowControl/>
                    <w:jc w:val="center"/>
                    <w:rPr>
                      <w:b/>
                      <w:bCs/>
                      <w:color w:val="auto"/>
                      <w:kern w:val="0"/>
                      <w:szCs w:val="21"/>
                      <w:lang w:bidi="ar"/>
                    </w:rPr>
                  </w:pPr>
                  <w:r>
                    <w:rPr>
                      <w:b/>
                      <w:bCs/>
                      <w:color w:val="auto"/>
                      <w:kern w:val="0"/>
                      <w:szCs w:val="21"/>
                      <w:lang w:bidi="ar"/>
                    </w:rPr>
                    <w:t>活性炭用量（kg）</w:t>
                  </w:r>
                </w:p>
              </w:tc>
              <w:tc>
                <w:tcPr>
                  <w:tcW w:w="1170" w:type="dxa"/>
                  <w:vAlign w:val="center"/>
                </w:tcPr>
                <w:p w14:paraId="17382B96">
                  <w:pPr>
                    <w:widowControl/>
                    <w:jc w:val="center"/>
                    <w:rPr>
                      <w:b/>
                      <w:bCs/>
                      <w:color w:val="auto"/>
                      <w:szCs w:val="21"/>
                    </w:rPr>
                  </w:pPr>
                  <w:r>
                    <w:rPr>
                      <w:b/>
                      <w:bCs/>
                      <w:color w:val="auto"/>
                      <w:kern w:val="0"/>
                      <w:szCs w:val="21"/>
                      <w:lang w:bidi="ar"/>
                    </w:rPr>
                    <w:t>动态吸附量（%）</w:t>
                  </w:r>
                </w:p>
              </w:tc>
              <w:tc>
                <w:tcPr>
                  <w:tcW w:w="1386" w:type="dxa"/>
                  <w:vAlign w:val="center"/>
                </w:tcPr>
                <w:p w14:paraId="17382B97">
                  <w:pPr>
                    <w:widowControl/>
                    <w:jc w:val="center"/>
                    <w:rPr>
                      <w:b/>
                      <w:bCs/>
                      <w:color w:val="auto"/>
                      <w:szCs w:val="21"/>
                    </w:rPr>
                  </w:pPr>
                  <w:r>
                    <w:rPr>
                      <w:b/>
                      <w:bCs/>
                      <w:color w:val="auto"/>
                      <w:kern w:val="0"/>
                      <w:szCs w:val="21"/>
                      <w:lang w:bidi="ar"/>
                    </w:rPr>
                    <w:t>活性炭削减</w:t>
                  </w:r>
                  <w:r>
                    <w:rPr>
                      <w:rFonts w:hint="eastAsia"/>
                      <w:b/>
                      <w:bCs/>
                      <w:color w:val="auto"/>
                      <w:kern w:val="0"/>
                      <w:szCs w:val="21"/>
                      <w:lang w:bidi="ar"/>
                    </w:rPr>
                    <w:t>非甲烷总烃</w:t>
                  </w:r>
                  <w:r>
                    <w:rPr>
                      <w:b/>
                      <w:bCs/>
                      <w:color w:val="auto"/>
                      <w:kern w:val="0"/>
                      <w:szCs w:val="21"/>
                      <w:lang w:bidi="ar"/>
                    </w:rPr>
                    <w:t>浓度（mg/m</w:t>
                  </w:r>
                  <w:r>
                    <w:rPr>
                      <w:b/>
                      <w:bCs/>
                      <w:color w:val="auto"/>
                      <w:kern w:val="0"/>
                      <w:szCs w:val="21"/>
                      <w:vertAlign w:val="superscript"/>
                      <w:lang w:bidi="ar"/>
                    </w:rPr>
                    <w:t>3</w:t>
                  </w:r>
                  <w:r>
                    <w:rPr>
                      <w:b/>
                      <w:bCs/>
                      <w:color w:val="auto"/>
                      <w:kern w:val="0"/>
                      <w:szCs w:val="21"/>
                      <w:lang w:bidi="ar"/>
                    </w:rPr>
                    <w:t>）</w:t>
                  </w:r>
                </w:p>
              </w:tc>
              <w:tc>
                <w:tcPr>
                  <w:tcW w:w="1058" w:type="dxa"/>
                  <w:vAlign w:val="center"/>
                </w:tcPr>
                <w:p w14:paraId="17382B98">
                  <w:pPr>
                    <w:widowControl/>
                    <w:jc w:val="center"/>
                    <w:rPr>
                      <w:b/>
                      <w:bCs/>
                      <w:color w:val="auto"/>
                      <w:szCs w:val="21"/>
                    </w:rPr>
                  </w:pPr>
                  <w:r>
                    <w:rPr>
                      <w:b/>
                      <w:bCs/>
                      <w:color w:val="auto"/>
                      <w:kern w:val="0"/>
                      <w:szCs w:val="21"/>
                      <w:lang w:bidi="ar"/>
                    </w:rPr>
                    <w:t>风量（m</w:t>
                  </w:r>
                  <w:r>
                    <w:rPr>
                      <w:b/>
                      <w:bCs/>
                      <w:color w:val="auto"/>
                      <w:kern w:val="0"/>
                      <w:szCs w:val="21"/>
                      <w:vertAlign w:val="superscript"/>
                      <w:lang w:bidi="ar"/>
                    </w:rPr>
                    <w:t>3</w:t>
                  </w:r>
                  <w:r>
                    <w:rPr>
                      <w:b/>
                      <w:bCs/>
                      <w:color w:val="auto"/>
                      <w:kern w:val="0"/>
                      <w:szCs w:val="21"/>
                      <w:lang w:bidi="ar"/>
                    </w:rPr>
                    <w:t>/h）</w:t>
                  </w:r>
                </w:p>
              </w:tc>
              <w:tc>
                <w:tcPr>
                  <w:tcW w:w="1021" w:type="dxa"/>
                  <w:vAlign w:val="center"/>
                </w:tcPr>
                <w:p w14:paraId="17382B99">
                  <w:pPr>
                    <w:widowControl/>
                    <w:jc w:val="center"/>
                    <w:rPr>
                      <w:b/>
                      <w:bCs/>
                      <w:color w:val="auto"/>
                      <w:szCs w:val="21"/>
                    </w:rPr>
                  </w:pPr>
                  <w:r>
                    <w:rPr>
                      <w:b/>
                      <w:bCs/>
                      <w:color w:val="auto"/>
                      <w:kern w:val="0"/>
                      <w:szCs w:val="21"/>
                      <w:lang w:bidi="ar"/>
                    </w:rPr>
                    <w:t>运行时间（h/d）</w:t>
                  </w:r>
                </w:p>
              </w:tc>
              <w:tc>
                <w:tcPr>
                  <w:tcW w:w="1011" w:type="dxa"/>
                  <w:vAlign w:val="center"/>
                </w:tcPr>
                <w:p w14:paraId="17382B9A">
                  <w:pPr>
                    <w:widowControl/>
                    <w:jc w:val="center"/>
                    <w:rPr>
                      <w:color w:val="auto"/>
                      <w:szCs w:val="21"/>
                    </w:rPr>
                  </w:pPr>
                  <w:r>
                    <w:rPr>
                      <w:b/>
                      <w:bCs/>
                      <w:color w:val="auto"/>
                      <w:kern w:val="0"/>
                      <w:szCs w:val="21"/>
                      <w:lang w:bidi="ar"/>
                    </w:rPr>
                    <w:t>更换周期</w:t>
                  </w:r>
                </w:p>
                <w:p w14:paraId="17382B9B">
                  <w:pPr>
                    <w:widowControl/>
                    <w:jc w:val="center"/>
                    <w:rPr>
                      <w:b/>
                      <w:bCs/>
                      <w:color w:val="auto"/>
                      <w:szCs w:val="21"/>
                    </w:rPr>
                  </w:pPr>
                  <w:r>
                    <w:rPr>
                      <w:b/>
                      <w:bCs/>
                      <w:color w:val="auto"/>
                      <w:kern w:val="0"/>
                      <w:szCs w:val="21"/>
                      <w:lang w:bidi="ar"/>
                    </w:rPr>
                    <w:t>（天）</w:t>
                  </w:r>
                </w:p>
              </w:tc>
            </w:tr>
            <w:tr w14:paraId="17382BA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668" w:type="dxa"/>
                  <w:vAlign w:val="center"/>
                </w:tcPr>
                <w:p w14:paraId="17382B9D">
                  <w:pPr>
                    <w:widowControl/>
                    <w:jc w:val="center"/>
                    <w:rPr>
                      <w:b/>
                      <w:bCs/>
                      <w:color w:val="auto"/>
                      <w:szCs w:val="21"/>
                    </w:rPr>
                  </w:pPr>
                  <w:r>
                    <w:rPr>
                      <w:rFonts w:hint="eastAsia"/>
                      <w:color w:val="auto"/>
                      <w:kern w:val="0"/>
                      <w:szCs w:val="21"/>
                      <w:lang w:bidi="ar"/>
                    </w:rPr>
                    <w:t>DA001装置</w:t>
                  </w:r>
                </w:p>
              </w:tc>
              <w:tc>
                <w:tcPr>
                  <w:tcW w:w="1143" w:type="dxa"/>
                  <w:vAlign w:val="center"/>
                </w:tcPr>
                <w:p w14:paraId="17382B9E">
                  <w:pPr>
                    <w:widowControl/>
                    <w:jc w:val="center"/>
                    <w:rPr>
                      <w:color w:val="auto"/>
                      <w:kern w:val="0"/>
                      <w:szCs w:val="21"/>
                      <w:lang w:bidi="ar"/>
                    </w:rPr>
                  </w:pPr>
                  <w:r>
                    <w:rPr>
                      <w:rFonts w:hint="eastAsia"/>
                      <w:color w:val="auto"/>
                      <w:kern w:val="0"/>
                      <w:szCs w:val="21"/>
                      <w:lang w:bidi="ar"/>
                    </w:rPr>
                    <w:t>800</w:t>
                  </w:r>
                </w:p>
              </w:tc>
              <w:tc>
                <w:tcPr>
                  <w:tcW w:w="1170" w:type="dxa"/>
                  <w:vAlign w:val="center"/>
                </w:tcPr>
                <w:p w14:paraId="17382B9F">
                  <w:pPr>
                    <w:widowControl/>
                    <w:jc w:val="center"/>
                    <w:rPr>
                      <w:color w:val="auto"/>
                      <w:kern w:val="0"/>
                      <w:szCs w:val="21"/>
                      <w:lang w:bidi="ar"/>
                    </w:rPr>
                  </w:pPr>
                  <w:r>
                    <w:rPr>
                      <w:rFonts w:hint="eastAsia"/>
                      <w:color w:val="auto"/>
                      <w:kern w:val="0"/>
                      <w:szCs w:val="21"/>
                      <w:lang w:bidi="ar"/>
                    </w:rPr>
                    <w:t>20</w:t>
                  </w:r>
                </w:p>
              </w:tc>
              <w:tc>
                <w:tcPr>
                  <w:tcW w:w="1386" w:type="dxa"/>
                  <w:vAlign w:val="center"/>
                </w:tcPr>
                <w:p w14:paraId="17382BA0">
                  <w:pPr>
                    <w:widowControl/>
                    <w:jc w:val="center"/>
                    <w:rPr>
                      <w:rFonts w:hint="default" w:eastAsia="宋体"/>
                      <w:color w:val="auto"/>
                      <w:kern w:val="0"/>
                      <w:szCs w:val="21"/>
                      <w:lang w:val="en-US" w:eastAsia="zh-CN" w:bidi="ar"/>
                    </w:rPr>
                  </w:pPr>
                  <w:r>
                    <w:rPr>
                      <w:rFonts w:hint="eastAsia"/>
                      <w:color w:val="auto"/>
                      <w:kern w:val="0"/>
                      <w:szCs w:val="21"/>
                      <w:lang w:val="en-US" w:eastAsia="zh-CN" w:bidi="ar"/>
                    </w:rPr>
                    <w:t>7.6356</w:t>
                  </w:r>
                </w:p>
              </w:tc>
              <w:tc>
                <w:tcPr>
                  <w:tcW w:w="1058" w:type="dxa"/>
                  <w:vAlign w:val="center"/>
                </w:tcPr>
                <w:p w14:paraId="17382BA1">
                  <w:pPr>
                    <w:widowControl/>
                    <w:jc w:val="center"/>
                    <w:rPr>
                      <w:color w:val="auto"/>
                      <w:kern w:val="0"/>
                      <w:szCs w:val="21"/>
                      <w:lang w:bidi="ar"/>
                    </w:rPr>
                  </w:pPr>
                  <w:r>
                    <w:rPr>
                      <w:rFonts w:hint="eastAsia"/>
                      <w:color w:val="auto"/>
                      <w:kern w:val="0"/>
                      <w:szCs w:val="21"/>
                      <w:lang w:bidi="ar"/>
                    </w:rPr>
                    <w:t>9000</w:t>
                  </w:r>
                </w:p>
              </w:tc>
              <w:tc>
                <w:tcPr>
                  <w:tcW w:w="1021" w:type="dxa"/>
                  <w:vAlign w:val="center"/>
                </w:tcPr>
                <w:p w14:paraId="17382BA2">
                  <w:pPr>
                    <w:widowControl/>
                    <w:jc w:val="center"/>
                    <w:rPr>
                      <w:color w:val="auto"/>
                      <w:kern w:val="0"/>
                      <w:szCs w:val="21"/>
                      <w:lang w:bidi="ar"/>
                    </w:rPr>
                  </w:pPr>
                  <w:r>
                    <w:rPr>
                      <w:rFonts w:hint="eastAsia"/>
                      <w:color w:val="auto"/>
                      <w:kern w:val="0"/>
                      <w:szCs w:val="21"/>
                      <w:lang w:bidi="ar"/>
                    </w:rPr>
                    <w:t>8</w:t>
                  </w:r>
                </w:p>
              </w:tc>
              <w:tc>
                <w:tcPr>
                  <w:tcW w:w="1011" w:type="dxa"/>
                  <w:vAlign w:val="center"/>
                </w:tcPr>
                <w:p w14:paraId="17382BA3">
                  <w:pPr>
                    <w:widowControl/>
                    <w:jc w:val="center"/>
                    <w:rPr>
                      <w:rFonts w:hint="default" w:eastAsia="宋体"/>
                      <w:color w:val="auto"/>
                      <w:kern w:val="0"/>
                      <w:szCs w:val="21"/>
                      <w:lang w:val="en-US" w:eastAsia="zh-CN" w:bidi="ar"/>
                    </w:rPr>
                  </w:pPr>
                  <w:r>
                    <w:rPr>
                      <w:rFonts w:hint="eastAsia"/>
                      <w:color w:val="auto"/>
                      <w:kern w:val="0"/>
                      <w:szCs w:val="21"/>
                      <w:lang w:val="en-US" w:eastAsia="zh-CN" w:bidi="ar"/>
                    </w:rPr>
                    <w:t>291</w:t>
                  </w:r>
                </w:p>
              </w:tc>
            </w:tr>
          </w:tbl>
          <w:p w14:paraId="17382BA5">
            <w:pPr>
              <w:autoSpaceDE w:val="0"/>
              <w:autoSpaceDN w:val="0"/>
              <w:adjustRightInd w:val="0"/>
              <w:snapToGrid w:val="0"/>
              <w:spacing w:line="360" w:lineRule="auto"/>
              <w:ind w:firstLine="480" w:firstLineChars="200"/>
              <w:rPr>
                <w:bCs/>
                <w:color w:val="auto"/>
                <w:kern w:val="0"/>
                <w:sz w:val="24"/>
              </w:rPr>
            </w:pPr>
            <w:r>
              <w:rPr>
                <w:color w:val="auto"/>
                <w:sz w:val="24"/>
              </w:rPr>
              <w:t>经计算，项目</w:t>
            </w:r>
            <w:r>
              <w:rPr>
                <w:rFonts w:hint="eastAsia"/>
                <w:color w:val="auto"/>
                <w:sz w:val="24"/>
              </w:rPr>
              <w:t>DA001装置</w:t>
            </w:r>
            <w:r>
              <w:rPr>
                <w:color w:val="auto"/>
                <w:sz w:val="24"/>
              </w:rPr>
              <w:t>活性炭理论更换周期为</w:t>
            </w:r>
            <w:r>
              <w:rPr>
                <w:rFonts w:hint="eastAsia"/>
                <w:color w:val="auto"/>
                <w:sz w:val="24"/>
                <w:lang w:val="en-US" w:eastAsia="zh-CN"/>
              </w:rPr>
              <w:t>291</w:t>
            </w:r>
            <w:r>
              <w:rPr>
                <w:color w:val="auto"/>
                <w:sz w:val="24"/>
              </w:rPr>
              <w:t>d，</w:t>
            </w:r>
            <w:r>
              <w:rPr>
                <w:rFonts w:hint="eastAsia"/>
                <w:color w:val="auto"/>
                <w:sz w:val="24"/>
              </w:rPr>
              <w:t>共产生废活性炭</w:t>
            </w:r>
            <w:r>
              <w:rPr>
                <w:rFonts w:hint="eastAsia"/>
                <w:color w:val="auto"/>
                <w:sz w:val="24"/>
                <w:lang w:val="en-US" w:eastAsia="zh-CN"/>
              </w:rPr>
              <w:t>1.1685</w:t>
            </w:r>
            <w:r>
              <w:rPr>
                <w:rFonts w:hint="eastAsia"/>
                <w:color w:val="auto"/>
                <w:sz w:val="24"/>
              </w:rPr>
              <w:t>t/a（DA001装置更换量</w:t>
            </w:r>
            <w:r>
              <w:rPr>
                <w:rFonts w:hint="eastAsia"/>
                <w:color w:val="auto"/>
                <w:sz w:val="24"/>
                <w:lang w:val="en-US" w:eastAsia="zh-CN"/>
              </w:rPr>
              <w:t>1.0035</w:t>
            </w:r>
            <w:r>
              <w:rPr>
                <w:rFonts w:hint="eastAsia"/>
                <w:color w:val="auto"/>
                <w:sz w:val="24"/>
              </w:rPr>
              <w:t>t/a+非甲烷总烃去除量</w:t>
            </w:r>
            <w:r>
              <w:rPr>
                <w:rFonts w:hint="eastAsia"/>
                <w:color w:val="auto"/>
                <w:sz w:val="24"/>
                <w:lang w:val="en-US" w:eastAsia="zh-CN"/>
              </w:rPr>
              <w:t>0.165</w:t>
            </w:r>
            <w:r>
              <w:rPr>
                <w:rFonts w:hint="eastAsia"/>
                <w:color w:val="auto"/>
                <w:sz w:val="24"/>
              </w:rPr>
              <w:t>t/a），</w:t>
            </w:r>
            <w:r>
              <w:rPr>
                <w:bCs/>
                <w:color w:val="auto"/>
                <w:kern w:val="0"/>
                <w:sz w:val="24"/>
              </w:rPr>
              <w:t>属于危险废物，</w:t>
            </w:r>
            <w:r>
              <w:rPr>
                <w:rFonts w:hint="eastAsia"/>
                <w:bCs/>
                <w:color w:val="auto"/>
                <w:kern w:val="0"/>
                <w:sz w:val="24"/>
              </w:rPr>
              <w:t>收集后暂存于厂区内的危废暂存间，定期委托有资质单位安全处置</w:t>
            </w:r>
            <w:r>
              <w:rPr>
                <w:bCs/>
                <w:color w:val="auto"/>
                <w:kern w:val="0"/>
                <w:sz w:val="24"/>
              </w:rPr>
              <w:t>。</w:t>
            </w:r>
          </w:p>
          <w:p w14:paraId="2DD2B810">
            <w:pPr>
              <w:autoSpaceDE w:val="0"/>
              <w:autoSpaceDN w:val="0"/>
              <w:adjustRightInd w:val="0"/>
              <w:snapToGrid w:val="0"/>
              <w:spacing w:line="360" w:lineRule="auto"/>
              <w:ind w:firstLine="480" w:firstLineChars="200"/>
              <w:rPr>
                <w:rFonts w:hint="eastAsia" w:ascii="Times New Roman" w:hAnsi="Times New Roman" w:eastAsia="宋体" w:cs="Times New Roman"/>
                <w:bCs/>
                <w:color w:val="auto"/>
                <w:kern w:val="0"/>
                <w:sz w:val="24"/>
                <w:lang w:val="en-US" w:eastAsia="zh-CN"/>
              </w:rPr>
            </w:pPr>
            <w:r>
              <w:rPr>
                <w:rFonts w:hint="eastAsia" w:ascii="Times New Roman" w:hAnsi="Times New Roman" w:eastAsia="宋体" w:cs="Times New Roman"/>
                <w:bCs/>
                <w:color w:val="auto"/>
                <w:kern w:val="0"/>
                <w:sz w:val="24"/>
                <w:lang w:eastAsia="zh-CN"/>
              </w:rPr>
              <w:t>（</w:t>
            </w:r>
            <w:r>
              <w:rPr>
                <w:rFonts w:hint="eastAsia" w:ascii="Times New Roman" w:hAnsi="Times New Roman" w:eastAsia="宋体" w:cs="Times New Roman"/>
                <w:bCs/>
                <w:color w:val="auto"/>
                <w:kern w:val="0"/>
                <w:sz w:val="24"/>
                <w:lang w:val="en-US" w:eastAsia="zh-CN"/>
              </w:rPr>
              <w:t>19</w:t>
            </w:r>
            <w:r>
              <w:rPr>
                <w:rFonts w:hint="eastAsia" w:ascii="Times New Roman" w:hAnsi="Times New Roman" w:eastAsia="宋体" w:cs="Times New Roman"/>
                <w:bCs/>
                <w:color w:val="auto"/>
                <w:kern w:val="0"/>
                <w:sz w:val="24"/>
                <w:lang w:eastAsia="zh-CN"/>
              </w:rPr>
              <w:t>）</w:t>
            </w:r>
            <w:r>
              <w:rPr>
                <w:rFonts w:hint="eastAsia" w:ascii="Times New Roman" w:hAnsi="Times New Roman" w:eastAsia="宋体" w:cs="Times New Roman"/>
                <w:bCs/>
                <w:color w:val="auto"/>
                <w:kern w:val="0"/>
                <w:sz w:val="24"/>
                <w:lang w:val="en-US" w:eastAsia="zh-CN"/>
              </w:rPr>
              <w:t>不合格品</w:t>
            </w:r>
          </w:p>
          <w:p w14:paraId="625FD8AC">
            <w:pPr>
              <w:adjustRightInd w:val="0"/>
              <w:snapToGrid w:val="0"/>
              <w:spacing w:line="360" w:lineRule="auto"/>
              <w:ind w:firstLine="480" w:firstLineChars="200"/>
              <w:jc w:val="left"/>
              <w:rPr>
                <w:color w:val="auto"/>
                <w:sz w:val="24"/>
                <w:szCs w:val="21"/>
              </w:rPr>
            </w:pPr>
            <w:r>
              <w:rPr>
                <w:color w:val="auto"/>
                <w:sz w:val="24"/>
                <w:szCs w:val="21"/>
              </w:rPr>
              <w:t>本项目</w:t>
            </w:r>
            <w:r>
              <w:rPr>
                <w:rFonts w:hint="eastAsia"/>
                <w:color w:val="auto"/>
                <w:sz w:val="24"/>
                <w:szCs w:val="21"/>
                <w:lang w:val="en-US" w:eastAsia="zh-CN"/>
              </w:rPr>
              <w:t>检验</w:t>
            </w:r>
            <w:r>
              <w:rPr>
                <w:rFonts w:hint="eastAsia"/>
                <w:color w:val="auto"/>
                <w:sz w:val="24"/>
                <w:szCs w:val="21"/>
              </w:rPr>
              <w:t>过程中</w:t>
            </w:r>
            <w:r>
              <w:rPr>
                <w:rFonts w:hint="eastAsia"/>
                <w:color w:val="auto"/>
                <w:sz w:val="24"/>
                <w:szCs w:val="21"/>
                <w:lang w:val="en-US" w:eastAsia="zh-CN"/>
              </w:rPr>
              <w:t>会</w:t>
            </w:r>
            <w:r>
              <w:rPr>
                <w:rFonts w:hint="eastAsia"/>
                <w:color w:val="auto"/>
                <w:sz w:val="24"/>
                <w:szCs w:val="21"/>
              </w:rPr>
              <w:t>产生不合格品</w:t>
            </w:r>
            <w:r>
              <w:rPr>
                <w:color w:val="auto"/>
                <w:sz w:val="24"/>
                <w:szCs w:val="21"/>
              </w:rPr>
              <w:t>，根据企业提供数据</w:t>
            </w:r>
            <w:r>
              <w:rPr>
                <w:rFonts w:hint="eastAsia"/>
                <w:color w:val="auto"/>
                <w:sz w:val="24"/>
                <w:szCs w:val="21"/>
              </w:rPr>
              <w:t>，不合格品</w:t>
            </w:r>
            <w:r>
              <w:rPr>
                <w:color w:val="auto"/>
                <w:sz w:val="24"/>
                <w:szCs w:val="21"/>
              </w:rPr>
              <w:t>的产生量约为</w:t>
            </w:r>
            <w:r>
              <w:rPr>
                <w:rFonts w:hint="eastAsia"/>
                <w:color w:val="auto"/>
                <w:sz w:val="24"/>
                <w:szCs w:val="21"/>
                <w:lang w:val="en-US" w:eastAsia="zh-CN"/>
              </w:rPr>
              <w:t>1.5</w:t>
            </w:r>
            <w:r>
              <w:rPr>
                <w:color w:val="auto"/>
                <w:sz w:val="24"/>
                <w:szCs w:val="21"/>
              </w:rPr>
              <w:t>t/a，属于一般工业固废</w:t>
            </w:r>
            <w:r>
              <w:rPr>
                <w:rFonts w:hint="eastAsia"/>
                <w:color w:val="auto"/>
                <w:sz w:val="24"/>
                <w:szCs w:val="21"/>
                <w:lang w:val="en-US" w:eastAsia="zh-CN"/>
              </w:rPr>
              <w:t>废物</w:t>
            </w:r>
            <w:r>
              <w:rPr>
                <w:color w:val="auto"/>
                <w:sz w:val="24"/>
                <w:szCs w:val="21"/>
              </w:rPr>
              <w:t>。</w:t>
            </w:r>
          </w:p>
          <w:p w14:paraId="17382BA6">
            <w:pPr>
              <w:autoSpaceDE w:val="0"/>
              <w:autoSpaceDN w:val="0"/>
              <w:adjustRightInd w:val="0"/>
              <w:snapToGrid w:val="0"/>
              <w:spacing w:line="360" w:lineRule="auto"/>
              <w:ind w:firstLine="480" w:firstLineChars="200"/>
              <w:rPr>
                <w:bCs/>
                <w:color w:val="auto"/>
                <w:kern w:val="0"/>
                <w:sz w:val="24"/>
              </w:rPr>
            </w:pPr>
            <w:r>
              <w:rPr>
                <w:rFonts w:hint="eastAsia"/>
                <w:bCs/>
                <w:color w:val="auto"/>
                <w:kern w:val="0"/>
                <w:sz w:val="24"/>
              </w:rPr>
              <w:t>根据《中华人民共和国固体废物污染环境防治法》、《固体废物鉴别标准通则》（GB34330-2017），对建设项目产生的物质依据产生来源、利用和处置过程鉴别是否属于固体废物。固体废物属性判断见表4-20，项目固体废物污染源源强核算结果及利用处置方式详见表4-21。</w:t>
            </w:r>
          </w:p>
          <w:p w14:paraId="17382BA7">
            <w:pPr>
              <w:adjustRightInd w:val="0"/>
              <w:snapToGrid w:val="0"/>
              <w:jc w:val="center"/>
              <w:rPr>
                <w:b/>
                <w:bCs/>
                <w:color w:val="auto"/>
                <w:sz w:val="24"/>
              </w:rPr>
            </w:pPr>
            <w:r>
              <w:rPr>
                <w:b/>
                <w:bCs/>
                <w:color w:val="auto"/>
                <w:sz w:val="24"/>
              </w:rPr>
              <w:t>表</w:t>
            </w:r>
            <w:r>
              <w:rPr>
                <w:rFonts w:hint="eastAsia"/>
                <w:b/>
                <w:bCs/>
                <w:color w:val="auto"/>
                <w:sz w:val="24"/>
              </w:rPr>
              <w:t>4-20 本</w:t>
            </w:r>
            <w:r>
              <w:rPr>
                <w:b/>
                <w:bCs/>
                <w:color w:val="auto"/>
                <w:sz w:val="24"/>
              </w:rPr>
              <w:t>项目固体废物判定表</w:t>
            </w:r>
          </w:p>
          <w:tbl>
            <w:tblPr>
              <w:tblStyle w:val="88"/>
              <w:tblW w:w="4997"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370"/>
              <w:gridCol w:w="1613"/>
              <w:gridCol w:w="955"/>
              <w:gridCol w:w="543"/>
              <w:gridCol w:w="1449"/>
              <w:gridCol w:w="697"/>
              <w:gridCol w:w="729"/>
              <w:gridCol w:w="686"/>
              <w:gridCol w:w="636"/>
              <w:gridCol w:w="776"/>
            </w:tblGrid>
            <w:tr w14:paraId="17382BA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Merge w:val="restart"/>
                  <w:vAlign w:val="center"/>
                </w:tcPr>
                <w:p w14:paraId="17382BA8">
                  <w:pPr>
                    <w:adjustRightInd w:val="0"/>
                    <w:snapToGrid w:val="0"/>
                    <w:jc w:val="center"/>
                    <w:rPr>
                      <w:b/>
                      <w:bCs/>
                      <w:color w:val="auto"/>
                      <w:szCs w:val="21"/>
                    </w:rPr>
                  </w:pPr>
                  <w:r>
                    <w:rPr>
                      <w:b/>
                      <w:bCs/>
                      <w:color w:val="auto"/>
                      <w:szCs w:val="21"/>
                    </w:rPr>
                    <w:t>序号</w:t>
                  </w:r>
                </w:p>
              </w:tc>
              <w:tc>
                <w:tcPr>
                  <w:tcW w:w="953" w:type="pct"/>
                  <w:vMerge w:val="restart"/>
                  <w:vAlign w:val="center"/>
                </w:tcPr>
                <w:p w14:paraId="17382BA9">
                  <w:pPr>
                    <w:adjustRightInd w:val="0"/>
                    <w:snapToGrid w:val="0"/>
                    <w:jc w:val="center"/>
                    <w:rPr>
                      <w:b/>
                      <w:bCs/>
                      <w:color w:val="auto"/>
                      <w:szCs w:val="21"/>
                    </w:rPr>
                  </w:pPr>
                  <w:r>
                    <w:rPr>
                      <w:b/>
                      <w:bCs/>
                      <w:color w:val="auto"/>
                      <w:szCs w:val="21"/>
                    </w:rPr>
                    <w:t>污染物名称</w:t>
                  </w:r>
                </w:p>
              </w:tc>
              <w:tc>
                <w:tcPr>
                  <w:tcW w:w="564" w:type="pct"/>
                  <w:vMerge w:val="restart"/>
                  <w:vAlign w:val="center"/>
                </w:tcPr>
                <w:p w14:paraId="17382BAA">
                  <w:pPr>
                    <w:adjustRightInd w:val="0"/>
                    <w:snapToGrid w:val="0"/>
                    <w:jc w:val="center"/>
                    <w:rPr>
                      <w:b/>
                      <w:bCs/>
                      <w:color w:val="auto"/>
                      <w:szCs w:val="21"/>
                    </w:rPr>
                  </w:pPr>
                  <w:r>
                    <w:rPr>
                      <w:b/>
                      <w:bCs/>
                      <w:color w:val="auto"/>
                      <w:szCs w:val="21"/>
                    </w:rPr>
                    <w:t>产生</w:t>
                  </w:r>
                </w:p>
                <w:p w14:paraId="17382BAB">
                  <w:pPr>
                    <w:adjustRightInd w:val="0"/>
                    <w:snapToGrid w:val="0"/>
                    <w:jc w:val="center"/>
                    <w:rPr>
                      <w:b/>
                      <w:bCs/>
                      <w:color w:val="auto"/>
                      <w:szCs w:val="21"/>
                    </w:rPr>
                  </w:pPr>
                  <w:r>
                    <w:rPr>
                      <w:b/>
                      <w:bCs/>
                      <w:color w:val="auto"/>
                      <w:szCs w:val="21"/>
                    </w:rPr>
                    <w:t>工序</w:t>
                  </w:r>
                </w:p>
              </w:tc>
              <w:tc>
                <w:tcPr>
                  <w:tcW w:w="321" w:type="pct"/>
                  <w:vMerge w:val="restart"/>
                  <w:vAlign w:val="center"/>
                </w:tcPr>
                <w:p w14:paraId="17382BAC">
                  <w:pPr>
                    <w:adjustRightInd w:val="0"/>
                    <w:snapToGrid w:val="0"/>
                    <w:jc w:val="center"/>
                    <w:rPr>
                      <w:b/>
                      <w:bCs/>
                      <w:color w:val="auto"/>
                      <w:szCs w:val="21"/>
                    </w:rPr>
                  </w:pPr>
                  <w:r>
                    <w:rPr>
                      <w:b/>
                      <w:bCs/>
                      <w:color w:val="auto"/>
                      <w:szCs w:val="21"/>
                    </w:rPr>
                    <w:t>形态</w:t>
                  </w:r>
                </w:p>
              </w:tc>
              <w:tc>
                <w:tcPr>
                  <w:tcW w:w="856" w:type="pct"/>
                  <w:vMerge w:val="restart"/>
                  <w:vAlign w:val="center"/>
                </w:tcPr>
                <w:p w14:paraId="17382BAD">
                  <w:pPr>
                    <w:adjustRightInd w:val="0"/>
                    <w:snapToGrid w:val="0"/>
                    <w:jc w:val="center"/>
                    <w:rPr>
                      <w:b/>
                      <w:bCs/>
                      <w:color w:val="auto"/>
                      <w:szCs w:val="21"/>
                    </w:rPr>
                  </w:pPr>
                  <w:r>
                    <w:rPr>
                      <w:b/>
                      <w:bCs/>
                      <w:color w:val="auto"/>
                      <w:szCs w:val="21"/>
                    </w:rPr>
                    <w:t>主要成分</w:t>
                  </w:r>
                </w:p>
              </w:tc>
              <w:tc>
                <w:tcPr>
                  <w:tcW w:w="2084" w:type="pct"/>
                  <w:gridSpan w:val="5"/>
                  <w:vAlign w:val="center"/>
                </w:tcPr>
                <w:p w14:paraId="17382BAE">
                  <w:pPr>
                    <w:adjustRightInd w:val="0"/>
                    <w:snapToGrid w:val="0"/>
                    <w:jc w:val="center"/>
                    <w:rPr>
                      <w:b/>
                      <w:bCs/>
                      <w:color w:val="auto"/>
                      <w:szCs w:val="21"/>
                    </w:rPr>
                  </w:pPr>
                  <w:r>
                    <w:rPr>
                      <w:b/>
                      <w:bCs/>
                      <w:color w:val="auto"/>
                      <w:szCs w:val="21"/>
                    </w:rPr>
                    <w:t>种类判断</w:t>
                  </w:r>
                </w:p>
              </w:tc>
            </w:tr>
            <w:tr w14:paraId="17382BB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Merge w:val="continue"/>
                  <w:vAlign w:val="center"/>
                </w:tcPr>
                <w:p w14:paraId="17382BB0">
                  <w:pPr>
                    <w:adjustRightInd w:val="0"/>
                    <w:snapToGrid w:val="0"/>
                    <w:jc w:val="center"/>
                    <w:rPr>
                      <w:b/>
                      <w:bCs/>
                      <w:color w:val="auto"/>
                      <w:szCs w:val="21"/>
                    </w:rPr>
                  </w:pPr>
                </w:p>
              </w:tc>
              <w:tc>
                <w:tcPr>
                  <w:tcW w:w="953" w:type="pct"/>
                  <w:vMerge w:val="continue"/>
                  <w:vAlign w:val="center"/>
                </w:tcPr>
                <w:p w14:paraId="17382BB1">
                  <w:pPr>
                    <w:adjustRightInd w:val="0"/>
                    <w:snapToGrid w:val="0"/>
                    <w:jc w:val="center"/>
                    <w:rPr>
                      <w:b/>
                      <w:bCs/>
                      <w:color w:val="auto"/>
                      <w:szCs w:val="21"/>
                    </w:rPr>
                  </w:pPr>
                </w:p>
              </w:tc>
              <w:tc>
                <w:tcPr>
                  <w:tcW w:w="564" w:type="pct"/>
                  <w:vMerge w:val="continue"/>
                  <w:vAlign w:val="center"/>
                </w:tcPr>
                <w:p w14:paraId="17382BB2">
                  <w:pPr>
                    <w:adjustRightInd w:val="0"/>
                    <w:snapToGrid w:val="0"/>
                    <w:jc w:val="center"/>
                    <w:rPr>
                      <w:b/>
                      <w:bCs/>
                      <w:color w:val="auto"/>
                      <w:szCs w:val="21"/>
                    </w:rPr>
                  </w:pPr>
                </w:p>
              </w:tc>
              <w:tc>
                <w:tcPr>
                  <w:tcW w:w="321" w:type="pct"/>
                  <w:vMerge w:val="continue"/>
                  <w:vAlign w:val="center"/>
                </w:tcPr>
                <w:p w14:paraId="17382BB3">
                  <w:pPr>
                    <w:adjustRightInd w:val="0"/>
                    <w:snapToGrid w:val="0"/>
                    <w:jc w:val="center"/>
                    <w:rPr>
                      <w:b/>
                      <w:bCs/>
                      <w:color w:val="auto"/>
                      <w:szCs w:val="21"/>
                    </w:rPr>
                  </w:pPr>
                </w:p>
              </w:tc>
              <w:tc>
                <w:tcPr>
                  <w:tcW w:w="856" w:type="pct"/>
                  <w:vMerge w:val="continue"/>
                  <w:vAlign w:val="center"/>
                </w:tcPr>
                <w:p w14:paraId="17382BB4">
                  <w:pPr>
                    <w:adjustRightInd w:val="0"/>
                    <w:snapToGrid w:val="0"/>
                    <w:jc w:val="center"/>
                    <w:rPr>
                      <w:b/>
                      <w:bCs/>
                      <w:color w:val="auto"/>
                      <w:szCs w:val="21"/>
                    </w:rPr>
                  </w:pPr>
                </w:p>
              </w:tc>
              <w:tc>
                <w:tcPr>
                  <w:tcW w:w="412" w:type="pct"/>
                  <w:vAlign w:val="center"/>
                </w:tcPr>
                <w:p w14:paraId="17382BB5">
                  <w:pPr>
                    <w:adjustRightInd w:val="0"/>
                    <w:snapToGrid w:val="0"/>
                    <w:jc w:val="center"/>
                    <w:rPr>
                      <w:b/>
                      <w:bCs/>
                      <w:color w:val="auto"/>
                      <w:szCs w:val="21"/>
                    </w:rPr>
                  </w:pPr>
                  <w:r>
                    <w:rPr>
                      <w:b/>
                      <w:bCs/>
                      <w:color w:val="auto"/>
                      <w:szCs w:val="21"/>
                    </w:rPr>
                    <w:t>丧失使</w:t>
                  </w:r>
                </w:p>
                <w:p w14:paraId="17382BB6">
                  <w:pPr>
                    <w:adjustRightInd w:val="0"/>
                    <w:snapToGrid w:val="0"/>
                    <w:jc w:val="center"/>
                    <w:rPr>
                      <w:b/>
                      <w:bCs/>
                      <w:color w:val="auto"/>
                      <w:szCs w:val="21"/>
                    </w:rPr>
                  </w:pPr>
                  <w:r>
                    <w:rPr>
                      <w:b/>
                      <w:bCs/>
                      <w:color w:val="auto"/>
                      <w:szCs w:val="21"/>
                    </w:rPr>
                    <w:t>用价值</w:t>
                  </w:r>
                </w:p>
              </w:tc>
              <w:tc>
                <w:tcPr>
                  <w:tcW w:w="431" w:type="pct"/>
                  <w:vAlign w:val="center"/>
                </w:tcPr>
                <w:p w14:paraId="17382BB7">
                  <w:pPr>
                    <w:adjustRightInd w:val="0"/>
                    <w:snapToGrid w:val="0"/>
                    <w:jc w:val="center"/>
                    <w:rPr>
                      <w:b/>
                      <w:bCs/>
                      <w:color w:val="auto"/>
                      <w:szCs w:val="21"/>
                    </w:rPr>
                  </w:pPr>
                  <w:r>
                    <w:rPr>
                      <w:b/>
                      <w:bCs/>
                      <w:color w:val="auto"/>
                      <w:szCs w:val="21"/>
                    </w:rPr>
                    <w:t>副产物</w:t>
                  </w:r>
                </w:p>
              </w:tc>
              <w:tc>
                <w:tcPr>
                  <w:tcW w:w="405" w:type="pct"/>
                  <w:vAlign w:val="center"/>
                </w:tcPr>
                <w:p w14:paraId="17382BB8">
                  <w:pPr>
                    <w:adjustRightInd w:val="0"/>
                    <w:snapToGrid w:val="0"/>
                    <w:jc w:val="center"/>
                    <w:rPr>
                      <w:b/>
                      <w:bCs/>
                      <w:color w:val="auto"/>
                      <w:szCs w:val="21"/>
                    </w:rPr>
                  </w:pPr>
                  <w:r>
                    <w:rPr>
                      <w:b/>
                      <w:bCs/>
                      <w:color w:val="auto"/>
                      <w:szCs w:val="21"/>
                    </w:rPr>
                    <w:t>环境治理产物</w:t>
                  </w:r>
                </w:p>
              </w:tc>
              <w:tc>
                <w:tcPr>
                  <w:tcW w:w="376" w:type="pct"/>
                  <w:vAlign w:val="center"/>
                </w:tcPr>
                <w:p w14:paraId="17382BB9">
                  <w:pPr>
                    <w:adjustRightInd w:val="0"/>
                    <w:snapToGrid w:val="0"/>
                    <w:jc w:val="center"/>
                    <w:rPr>
                      <w:b/>
                      <w:bCs/>
                      <w:color w:val="auto"/>
                      <w:szCs w:val="21"/>
                    </w:rPr>
                  </w:pPr>
                  <w:r>
                    <w:rPr>
                      <w:b/>
                      <w:bCs/>
                      <w:color w:val="auto"/>
                      <w:szCs w:val="21"/>
                    </w:rPr>
                    <w:t>其他</w:t>
                  </w:r>
                </w:p>
              </w:tc>
              <w:tc>
                <w:tcPr>
                  <w:tcW w:w="458" w:type="pct"/>
                  <w:vAlign w:val="center"/>
                </w:tcPr>
                <w:p w14:paraId="17382BBA">
                  <w:pPr>
                    <w:adjustRightInd w:val="0"/>
                    <w:snapToGrid w:val="0"/>
                    <w:jc w:val="center"/>
                    <w:rPr>
                      <w:b/>
                      <w:bCs/>
                      <w:color w:val="auto"/>
                      <w:szCs w:val="21"/>
                    </w:rPr>
                  </w:pPr>
                  <w:r>
                    <w:rPr>
                      <w:b/>
                      <w:bCs/>
                      <w:color w:val="auto"/>
                      <w:szCs w:val="21"/>
                    </w:rPr>
                    <w:t>判定</w:t>
                  </w:r>
                </w:p>
                <w:p w14:paraId="17382BBB">
                  <w:pPr>
                    <w:adjustRightInd w:val="0"/>
                    <w:snapToGrid w:val="0"/>
                    <w:jc w:val="center"/>
                    <w:rPr>
                      <w:b/>
                      <w:bCs/>
                      <w:color w:val="auto"/>
                      <w:szCs w:val="21"/>
                    </w:rPr>
                  </w:pPr>
                  <w:r>
                    <w:rPr>
                      <w:b/>
                      <w:bCs/>
                      <w:color w:val="auto"/>
                      <w:szCs w:val="21"/>
                    </w:rPr>
                    <w:t>依据</w:t>
                  </w:r>
                </w:p>
              </w:tc>
            </w:tr>
            <w:tr w14:paraId="17382BC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BBD">
                  <w:pPr>
                    <w:adjustRightInd w:val="0"/>
                    <w:snapToGrid w:val="0"/>
                    <w:jc w:val="center"/>
                    <w:rPr>
                      <w:color w:val="auto"/>
                      <w:szCs w:val="21"/>
                    </w:rPr>
                  </w:pPr>
                  <w:r>
                    <w:rPr>
                      <w:rFonts w:hint="eastAsia"/>
                      <w:color w:val="auto"/>
                      <w:szCs w:val="21"/>
                    </w:rPr>
                    <w:t>1</w:t>
                  </w:r>
                </w:p>
              </w:tc>
              <w:tc>
                <w:tcPr>
                  <w:tcW w:w="953" w:type="pct"/>
                  <w:vAlign w:val="center"/>
                </w:tcPr>
                <w:p w14:paraId="17382BBE">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一般废包装材料</w:t>
                  </w:r>
                </w:p>
              </w:tc>
              <w:tc>
                <w:tcPr>
                  <w:tcW w:w="564" w:type="pct"/>
                  <w:vAlign w:val="center"/>
                </w:tcPr>
                <w:p w14:paraId="17382BBF">
                  <w:pPr>
                    <w:adjustRightInd w:val="0"/>
                    <w:snapToGrid w:val="0"/>
                    <w:jc w:val="center"/>
                    <w:rPr>
                      <w:color w:val="auto"/>
                      <w:szCs w:val="21"/>
                    </w:rPr>
                  </w:pPr>
                  <w:r>
                    <w:rPr>
                      <w:rFonts w:hint="eastAsia"/>
                      <w:color w:val="auto"/>
                      <w:szCs w:val="21"/>
                    </w:rPr>
                    <w:t>原料包装</w:t>
                  </w:r>
                </w:p>
              </w:tc>
              <w:tc>
                <w:tcPr>
                  <w:tcW w:w="321" w:type="pct"/>
                  <w:vAlign w:val="center"/>
                </w:tcPr>
                <w:p w14:paraId="17382BC0">
                  <w:pPr>
                    <w:adjustRightInd w:val="0"/>
                    <w:snapToGrid w:val="0"/>
                    <w:jc w:val="center"/>
                    <w:rPr>
                      <w:color w:val="auto"/>
                      <w:szCs w:val="21"/>
                    </w:rPr>
                  </w:pPr>
                  <w:r>
                    <w:rPr>
                      <w:rFonts w:hint="eastAsia"/>
                      <w:color w:val="auto"/>
                      <w:szCs w:val="21"/>
                    </w:rPr>
                    <w:t>固</w:t>
                  </w:r>
                </w:p>
              </w:tc>
              <w:tc>
                <w:tcPr>
                  <w:tcW w:w="856" w:type="pct"/>
                  <w:vAlign w:val="center"/>
                </w:tcPr>
                <w:p w14:paraId="17382BC1">
                  <w:pPr>
                    <w:adjustRightInd w:val="0"/>
                    <w:snapToGrid w:val="0"/>
                    <w:jc w:val="center"/>
                    <w:rPr>
                      <w:color w:val="auto"/>
                      <w:szCs w:val="21"/>
                    </w:rPr>
                  </w:pPr>
                  <w:r>
                    <w:rPr>
                      <w:rFonts w:hint="eastAsia"/>
                      <w:color w:val="auto"/>
                      <w:szCs w:val="21"/>
                    </w:rPr>
                    <w:t>塑料袋</w:t>
                  </w:r>
                </w:p>
              </w:tc>
              <w:tc>
                <w:tcPr>
                  <w:tcW w:w="412" w:type="pct"/>
                  <w:vAlign w:val="center"/>
                </w:tcPr>
                <w:p w14:paraId="17382BC2">
                  <w:pPr>
                    <w:adjustRightInd w:val="0"/>
                    <w:snapToGrid w:val="0"/>
                    <w:jc w:val="center"/>
                    <w:rPr>
                      <w:color w:val="auto"/>
                      <w:szCs w:val="21"/>
                    </w:rPr>
                  </w:pPr>
                  <w:r>
                    <w:rPr>
                      <w:color w:val="auto"/>
                      <w:szCs w:val="21"/>
                    </w:rPr>
                    <w:t>√</w:t>
                  </w:r>
                </w:p>
              </w:tc>
              <w:tc>
                <w:tcPr>
                  <w:tcW w:w="431" w:type="pct"/>
                  <w:vAlign w:val="center"/>
                </w:tcPr>
                <w:p w14:paraId="17382BC3">
                  <w:pPr>
                    <w:adjustRightInd w:val="0"/>
                    <w:snapToGrid w:val="0"/>
                    <w:jc w:val="center"/>
                    <w:rPr>
                      <w:color w:val="auto"/>
                      <w:szCs w:val="21"/>
                    </w:rPr>
                  </w:pPr>
                </w:p>
              </w:tc>
              <w:tc>
                <w:tcPr>
                  <w:tcW w:w="405" w:type="pct"/>
                  <w:vAlign w:val="center"/>
                </w:tcPr>
                <w:p w14:paraId="17382BC4">
                  <w:pPr>
                    <w:adjustRightInd w:val="0"/>
                    <w:snapToGrid w:val="0"/>
                    <w:jc w:val="center"/>
                    <w:rPr>
                      <w:color w:val="auto"/>
                      <w:szCs w:val="21"/>
                    </w:rPr>
                  </w:pPr>
                </w:p>
              </w:tc>
              <w:tc>
                <w:tcPr>
                  <w:tcW w:w="376" w:type="pct"/>
                  <w:vAlign w:val="center"/>
                </w:tcPr>
                <w:p w14:paraId="17382BC5">
                  <w:pPr>
                    <w:adjustRightInd w:val="0"/>
                    <w:snapToGrid w:val="0"/>
                    <w:jc w:val="center"/>
                    <w:rPr>
                      <w:color w:val="auto"/>
                      <w:szCs w:val="21"/>
                    </w:rPr>
                  </w:pPr>
                </w:p>
              </w:tc>
              <w:tc>
                <w:tcPr>
                  <w:tcW w:w="458" w:type="pct"/>
                  <w:vMerge w:val="restart"/>
                  <w:vAlign w:val="center"/>
                </w:tcPr>
                <w:p w14:paraId="17382BC6">
                  <w:pPr>
                    <w:autoSpaceDE w:val="0"/>
                    <w:autoSpaceDN w:val="0"/>
                    <w:adjustRightInd w:val="0"/>
                    <w:snapToGrid w:val="0"/>
                    <w:jc w:val="center"/>
                    <w:rPr>
                      <w:color w:val="auto"/>
                      <w:szCs w:val="21"/>
                    </w:rPr>
                  </w:pPr>
                  <w:r>
                    <w:rPr>
                      <w:color w:val="auto"/>
                      <w:szCs w:val="21"/>
                    </w:rPr>
                    <w:t>固体废物鉴别标准通则</w:t>
                  </w:r>
                </w:p>
              </w:tc>
            </w:tr>
            <w:tr w14:paraId="17382BD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BC8">
                  <w:pPr>
                    <w:adjustRightInd w:val="0"/>
                    <w:snapToGrid w:val="0"/>
                    <w:jc w:val="center"/>
                    <w:rPr>
                      <w:rFonts w:cs="宋体"/>
                      <w:color w:val="auto"/>
                      <w:szCs w:val="21"/>
                    </w:rPr>
                  </w:pPr>
                  <w:r>
                    <w:rPr>
                      <w:rFonts w:hint="eastAsia" w:cs="宋体"/>
                      <w:color w:val="auto"/>
                      <w:szCs w:val="21"/>
                    </w:rPr>
                    <w:t>2</w:t>
                  </w:r>
                </w:p>
              </w:tc>
              <w:tc>
                <w:tcPr>
                  <w:tcW w:w="953" w:type="pct"/>
                  <w:vAlign w:val="center"/>
                </w:tcPr>
                <w:p w14:paraId="17382BC9">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不饱和聚酯树脂、固化剂、塑粉等废包装桶</w:t>
                  </w:r>
                </w:p>
              </w:tc>
              <w:tc>
                <w:tcPr>
                  <w:tcW w:w="564" w:type="pct"/>
                  <w:vAlign w:val="center"/>
                </w:tcPr>
                <w:p w14:paraId="17382BCA">
                  <w:pPr>
                    <w:adjustRightInd w:val="0"/>
                    <w:snapToGrid w:val="0"/>
                    <w:jc w:val="center"/>
                    <w:rPr>
                      <w:rFonts w:cs="宋体"/>
                      <w:color w:val="auto"/>
                      <w:szCs w:val="21"/>
                    </w:rPr>
                  </w:pPr>
                  <w:r>
                    <w:rPr>
                      <w:rFonts w:hint="eastAsia" w:cs="宋体"/>
                      <w:color w:val="auto"/>
                      <w:szCs w:val="21"/>
                    </w:rPr>
                    <w:t>原料包装</w:t>
                  </w:r>
                </w:p>
              </w:tc>
              <w:tc>
                <w:tcPr>
                  <w:tcW w:w="321" w:type="pct"/>
                  <w:vAlign w:val="center"/>
                </w:tcPr>
                <w:p w14:paraId="17382BCB">
                  <w:pPr>
                    <w:adjustRightInd w:val="0"/>
                    <w:snapToGrid w:val="0"/>
                    <w:jc w:val="center"/>
                    <w:rPr>
                      <w:rFonts w:cs="宋体"/>
                      <w:color w:val="auto"/>
                      <w:szCs w:val="21"/>
                    </w:rPr>
                  </w:pPr>
                  <w:r>
                    <w:rPr>
                      <w:rFonts w:hint="eastAsia" w:cs="宋体"/>
                      <w:color w:val="auto"/>
                      <w:szCs w:val="21"/>
                    </w:rPr>
                    <w:t>固</w:t>
                  </w:r>
                </w:p>
              </w:tc>
              <w:tc>
                <w:tcPr>
                  <w:tcW w:w="856" w:type="pct"/>
                  <w:vAlign w:val="center"/>
                </w:tcPr>
                <w:p w14:paraId="17382BCC">
                  <w:pPr>
                    <w:adjustRightInd w:val="0"/>
                    <w:snapToGrid w:val="0"/>
                    <w:jc w:val="center"/>
                    <w:rPr>
                      <w:rFonts w:cs="宋体"/>
                      <w:color w:val="auto"/>
                      <w:szCs w:val="21"/>
                    </w:rPr>
                  </w:pPr>
                  <w:r>
                    <w:rPr>
                      <w:rFonts w:hint="eastAsia" w:cs="宋体"/>
                      <w:color w:val="auto"/>
                      <w:szCs w:val="21"/>
                    </w:rPr>
                    <w:t>包装桶、树脂等</w:t>
                  </w:r>
                </w:p>
              </w:tc>
              <w:tc>
                <w:tcPr>
                  <w:tcW w:w="412" w:type="pct"/>
                  <w:vAlign w:val="center"/>
                </w:tcPr>
                <w:p w14:paraId="17382BCD">
                  <w:pPr>
                    <w:adjustRightInd w:val="0"/>
                    <w:snapToGrid w:val="0"/>
                    <w:jc w:val="center"/>
                    <w:rPr>
                      <w:rFonts w:cs="宋体"/>
                      <w:color w:val="auto"/>
                      <w:szCs w:val="21"/>
                    </w:rPr>
                  </w:pPr>
                  <w:r>
                    <w:rPr>
                      <w:rFonts w:hint="eastAsia" w:cs="宋体"/>
                      <w:color w:val="auto"/>
                      <w:szCs w:val="21"/>
                    </w:rPr>
                    <w:t>√</w:t>
                  </w:r>
                </w:p>
              </w:tc>
              <w:tc>
                <w:tcPr>
                  <w:tcW w:w="431" w:type="pct"/>
                  <w:vAlign w:val="center"/>
                </w:tcPr>
                <w:p w14:paraId="17382BCE">
                  <w:pPr>
                    <w:adjustRightInd w:val="0"/>
                    <w:snapToGrid w:val="0"/>
                    <w:jc w:val="center"/>
                    <w:rPr>
                      <w:rFonts w:cs="宋体"/>
                      <w:color w:val="auto"/>
                      <w:szCs w:val="21"/>
                    </w:rPr>
                  </w:pPr>
                </w:p>
              </w:tc>
              <w:tc>
                <w:tcPr>
                  <w:tcW w:w="405" w:type="pct"/>
                  <w:vAlign w:val="center"/>
                </w:tcPr>
                <w:p w14:paraId="17382BCF">
                  <w:pPr>
                    <w:adjustRightInd w:val="0"/>
                    <w:snapToGrid w:val="0"/>
                    <w:jc w:val="center"/>
                    <w:rPr>
                      <w:rFonts w:cs="宋体"/>
                      <w:color w:val="auto"/>
                      <w:szCs w:val="21"/>
                    </w:rPr>
                  </w:pPr>
                </w:p>
              </w:tc>
              <w:tc>
                <w:tcPr>
                  <w:tcW w:w="376" w:type="pct"/>
                  <w:vAlign w:val="center"/>
                </w:tcPr>
                <w:p w14:paraId="17382BD0">
                  <w:pPr>
                    <w:adjustRightInd w:val="0"/>
                    <w:snapToGrid w:val="0"/>
                    <w:jc w:val="center"/>
                    <w:rPr>
                      <w:rFonts w:cs="宋体"/>
                      <w:color w:val="auto"/>
                      <w:szCs w:val="21"/>
                    </w:rPr>
                  </w:pPr>
                </w:p>
              </w:tc>
              <w:tc>
                <w:tcPr>
                  <w:tcW w:w="458" w:type="pct"/>
                  <w:vMerge w:val="continue"/>
                  <w:vAlign w:val="center"/>
                </w:tcPr>
                <w:p w14:paraId="17382BD1">
                  <w:pPr>
                    <w:adjustRightInd w:val="0"/>
                    <w:snapToGrid w:val="0"/>
                    <w:jc w:val="center"/>
                    <w:rPr>
                      <w:color w:val="auto"/>
                      <w:szCs w:val="21"/>
                    </w:rPr>
                  </w:pPr>
                </w:p>
              </w:tc>
            </w:tr>
            <w:tr w14:paraId="17382BD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BD3">
                  <w:pPr>
                    <w:adjustRightInd w:val="0"/>
                    <w:snapToGrid w:val="0"/>
                    <w:jc w:val="center"/>
                    <w:rPr>
                      <w:rFonts w:cs="宋体"/>
                      <w:color w:val="auto"/>
                      <w:szCs w:val="21"/>
                    </w:rPr>
                  </w:pPr>
                  <w:r>
                    <w:rPr>
                      <w:rFonts w:hint="eastAsia" w:cs="宋体"/>
                      <w:color w:val="auto"/>
                      <w:szCs w:val="21"/>
                    </w:rPr>
                    <w:t>3</w:t>
                  </w:r>
                </w:p>
              </w:tc>
              <w:tc>
                <w:tcPr>
                  <w:tcW w:w="953" w:type="pct"/>
                  <w:vAlign w:val="center"/>
                </w:tcPr>
                <w:p w14:paraId="17382BD4">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切割废边角料</w:t>
                  </w:r>
                </w:p>
              </w:tc>
              <w:tc>
                <w:tcPr>
                  <w:tcW w:w="564" w:type="pct"/>
                  <w:vAlign w:val="center"/>
                </w:tcPr>
                <w:p w14:paraId="17382BD5">
                  <w:pPr>
                    <w:adjustRightInd w:val="0"/>
                    <w:snapToGrid w:val="0"/>
                    <w:jc w:val="center"/>
                    <w:rPr>
                      <w:rFonts w:cs="宋体"/>
                      <w:color w:val="auto"/>
                      <w:szCs w:val="21"/>
                    </w:rPr>
                  </w:pPr>
                  <w:r>
                    <w:rPr>
                      <w:rFonts w:hint="eastAsia" w:cs="宋体"/>
                      <w:color w:val="auto"/>
                      <w:szCs w:val="21"/>
                    </w:rPr>
                    <w:t>切割</w:t>
                  </w:r>
                </w:p>
              </w:tc>
              <w:tc>
                <w:tcPr>
                  <w:tcW w:w="321" w:type="pct"/>
                  <w:vAlign w:val="center"/>
                </w:tcPr>
                <w:p w14:paraId="17382BD6">
                  <w:pPr>
                    <w:adjustRightInd w:val="0"/>
                    <w:snapToGrid w:val="0"/>
                    <w:jc w:val="center"/>
                    <w:rPr>
                      <w:rFonts w:cs="宋体"/>
                      <w:color w:val="auto"/>
                      <w:szCs w:val="21"/>
                    </w:rPr>
                  </w:pPr>
                  <w:r>
                    <w:rPr>
                      <w:rFonts w:hint="eastAsia" w:cs="宋体"/>
                      <w:color w:val="auto"/>
                      <w:szCs w:val="21"/>
                    </w:rPr>
                    <w:t>固</w:t>
                  </w:r>
                </w:p>
              </w:tc>
              <w:tc>
                <w:tcPr>
                  <w:tcW w:w="856" w:type="pct"/>
                  <w:vAlign w:val="center"/>
                </w:tcPr>
                <w:p w14:paraId="17382BD7">
                  <w:pPr>
                    <w:adjustRightInd w:val="0"/>
                    <w:snapToGrid w:val="0"/>
                    <w:jc w:val="center"/>
                    <w:rPr>
                      <w:rFonts w:cs="宋体"/>
                      <w:color w:val="auto"/>
                      <w:szCs w:val="21"/>
                    </w:rPr>
                  </w:pPr>
                  <w:r>
                    <w:rPr>
                      <w:rFonts w:hint="eastAsia" w:cs="宋体"/>
                      <w:color w:val="auto"/>
                      <w:szCs w:val="21"/>
                    </w:rPr>
                    <w:t>废纤维</w:t>
                  </w:r>
                </w:p>
              </w:tc>
              <w:tc>
                <w:tcPr>
                  <w:tcW w:w="412" w:type="pct"/>
                  <w:vAlign w:val="center"/>
                </w:tcPr>
                <w:p w14:paraId="17382BD8">
                  <w:pPr>
                    <w:adjustRightInd w:val="0"/>
                    <w:snapToGrid w:val="0"/>
                    <w:jc w:val="center"/>
                    <w:rPr>
                      <w:rFonts w:cs="宋体"/>
                      <w:color w:val="auto"/>
                      <w:szCs w:val="21"/>
                    </w:rPr>
                  </w:pPr>
                  <w:r>
                    <w:rPr>
                      <w:rFonts w:hint="eastAsia" w:cs="宋体"/>
                      <w:color w:val="auto"/>
                      <w:szCs w:val="21"/>
                    </w:rPr>
                    <w:t>√</w:t>
                  </w:r>
                </w:p>
              </w:tc>
              <w:tc>
                <w:tcPr>
                  <w:tcW w:w="431" w:type="pct"/>
                  <w:vAlign w:val="center"/>
                </w:tcPr>
                <w:p w14:paraId="17382BD9">
                  <w:pPr>
                    <w:adjustRightInd w:val="0"/>
                    <w:snapToGrid w:val="0"/>
                    <w:jc w:val="center"/>
                    <w:rPr>
                      <w:rFonts w:cs="宋体"/>
                      <w:color w:val="auto"/>
                      <w:szCs w:val="21"/>
                    </w:rPr>
                  </w:pPr>
                </w:p>
              </w:tc>
              <w:tc>
                <w:tcPr>
                  <w:tcW w:w="405" w:type="pct"/>
                  <w:vAlign w:val="center"/>
                </w:tcPr>
                <w:p w14:paraId="17382BDA">
                  <w:pPr>
                    <w:adjustRightInd w:val="0"/>
                    <w:snapToGrid w:val="0"/>
                    <w:jc w:val="center"/>
                    <w:rPr>
                      <w:rFonts w:cs="宋体"/>
                      <w:color w:val="auto"/>
                      <w:szCs w:val="21"/>
                    </w:rPr>
                  </w:pPr>
                </w:p>
              </w:tc>
              <w:tc>
                <w:tcPr>
                  <w:tcW w:w="376" w:type="pct"/>
                  <w:vAlign w:val="center"/>
                </w:tcPr>
                <w:p w14:paraId="17382BDB">
                  <w:pPr>
                    <w:adjustRightInd w:val="0"/>
                    <w:snapToGrid w:val="0"/>
                    <w:jc w:val="center"/>
                    <w:rPr>
                      <w:rFonts w:cs="宋体"/>
                      <w:color w:val="auto"/>
                      <w:szCs w:val="21"/>
                    </w:rPr>
                  </w:pPr>
                </w:p>
              </w:tc>
              <w:tc>
                <w:tcPr>
                  <w:tcW w:w="458" w:type="pct"/>
                  <w:vMerge w:val="continue"/>
                  <w:vAlign w:val="center"/>
                </w:tcPr>
                <w:p w14:paraId="17382BDC">
                  <w:pPr>
                    <w:adjustRightInd w:val="0"/>
                    <w:snapToGrid w:val="0"/>
                    <w:jc w:val="center"/>
                    <w:rPr>
                      <w:color w:val="auto"/>
                      <w:szCs w:val="21"/>
                    </w:rPr>
                  </w:pPr>
                </w:p>
              </w:tc>
            </w:tr>
            <w:tr w14:paraId="17382BE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BDE">
                  <w:pPr>
                    <w:adjustRightInd w:val="0"/>
                    <w:snapToGrid w:val="0"/>
                    <w:jc w:val="center"/>
                    <w:rPr>
                      <w:rFonts w:cs="宋体"/>
                      <w:color w:val="auto"/>
                      <w:szCs w:val="21"/>
                    </w:rPr>
                  </w:pPr>
                  <w:r>
                    <w:rPr>
                      <w:rFonts w:hint="eastAsia" w:cs="宋体"/>
                      <w:color w:val="auto"/>
                      <w:szCs w:val="21"/>
                    </w:rPr>
                    <w:t>4</w:t>
                  </w:r>
                </w:p>
              </w:tc>
              <w:tc>
                <w:tcPr>
                  <w:tcW w:w="953" w:type="pct"/>
                  <w:vAlign w:val="center"/>
                </w:tcPr>
                <w:p w14:paraId="17382BDF">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切割沉淀沉渣</w:t>
                  </w:r>
                </w:p>
              </w:tc>
              <w:tc>
                <w:tcPr>
                  <w:tcW w:w="564" w:type="pct"/>
                  <w:vAlign w:val="center"/>
                </w:tcPr>
                <w:p w14:paraId="17382BE0">
                  <w:pPr>
                    <w:adjustRightInd w:val="0"/>
                    <w:snapToGrid w:val="0"/>
                    <w:jc w:val="center"/>
                    <w:rPr>
                      <w:rFonts w:cs="宋体"/>
                      <w:color w:val="auto"/>
                      <w:szCs w:val="21"/>
                    </w:rPr>
                  </w:pPr>
                  <w:r>
                    <w:rPr>
                      <w:rFonts w:hint="eastAsia" w:cs="宋体"/>
                      <w:color w:val="auto"/>
                      <w:szCs w:val="21"/>
                    </w:rPr>
                    <w:t>切割</w:t>
                  </w:r>
                </w:p>
              </w:tc>
              <w:tc>
                <w:tcPr>
                  <w:tcW w:w="321" w:type="pct"/>
                  <w:vAlign w:val="center"/>
                </w:tcPr>
                <w:p w14:paraId="17382BE1">
                  <w:pPr>
                    <w:adjustRightInd w:val="0"/>
                    <w:snapToGrid w:val="0"/>
                    <w:jc w:val="center"/>
                    <w:rPr>
                      <w:rFonts w:cs="宋体"/>
                      <w:color w:val="auto"/>
                      <w:szCs w:val="21"/>
                    </w:rPr>
                  </w:pPr>
                  <w:r>
                    <w:rPr>
                      <w:rFonts w:hint="eastAsia" w:cs="宋体"/>
                      <w:color w:val="auto"/>
                      <w:szCs w:val="21"/>
                    </w:rPr>
                    <w:t>固</w:t>
                  </w:r>
                </w:p>
              </w:tc>
              <w:tc>
                <w:tcPr>
                  <w:tcW w:w="856" w:type="pct"/>
                  <w:vAlign w:val="center"/>
                </w:tcPr>
                <w:p w14:paraId="17382BE2">
                  <w:pPr>
                    <w:adjustRightInd w:val="0"/>
                    <w:snapToGrid w:val="0"/>
                    <w:jc w:val="center"/>
                    <w:rPr>
                      <w:rFonts w:cs="宋体"/>
                      <w:color w:val="auto"/>
                      <w:szCs w:val="21"/>
                    </w:rPr>
                  </w:pPr>
                  <w:r>
                    <w:rPr>
                      <w:rFonts w:hint="eastAsia" w:cs="宋体"/>
                      <w:color w:val="auto"/>
                      <w:szCs w:val="21"/>
                    </w:rPr>
                    <w:t>废树脂屑</w:t>
                  </w:r>
                </w:p>
              </w:tc>
              <w:tc>
                <w:tcPr>
                  <w:tcW w:w="412" w:type="pct"/>
                  <w:vAlign w:val="center"/>
                </w:tcPr>
                <w:p w14:paraId="17382BE3">
                  <w:pPr>
                    <w:adjustRightInd w:val="0"/>
                    <w:snapToGrid w:val="0"/>
                    <w:jc w:val="center"/>
                    <w:rPr>
                      <w:rFonts w:cs="宋体"/>
                      <w:color w:val="auto"/>
                      <w:szCs w:val="21"/>
                    </w:rPr>
                  </w:pPr>
                  <w:r>
                    <w:rPr>
                      <w:rFonts w:hint="eastAsia" w:cs="宋体"/>
                      <w:color w:val="auto"/>
                      <w:szCs w:val="21"/>
                    </w:rPr>
                    <w:t>√</w:t>
                  </w:r>
                </w:p>
              </w:tc>
              <w:tc>
                <w:tcPr>
                  <w:tcW w:w="431" w:type="pct"/>
                  <w:vAlign w:val="center"/>
                </w:tcPr>
                <w:p w14:paraId="17382BE4">
                  <w:pPr>
                    <w:adjustRightInd w:val="0"/>
                    <w:snapToGrid w:val="0"/>
                    <w:jc w:val="center"/>
                    <w:rPr>
                      <w:rFonts w:cs="宋体"/>
                      <w:color w:val="auto"/>
                      <w:szCs w:val="21"/>
                    </w:rPr>
                  </w:pPr>
                </w:p>
              </w:tc>
              <w:tc>
                <w:tcPr>
                  <w:tcW w:w="405" w:type="pct"/>
                  <w:vAlign w:val="center"/>
                </w:tcPr>
                <w:p w14:paraId="17382BE5">
                  <w:pPr>
                    <w:adjustRightInd w:val="0"/>
                    <w:snapToGrid w:val="0"/>
                    <w:jc w:val="center"/>
                    <w:rPr>
                      <w:rFonts w:cs="宋体"/>
                      <w:color w:val="auto"/>
                      <w:szCs w:val="21"/>
                    </w:rPr>
                  </w:pPr>
                </w:p>
              </w:tc>
              <w:tc>
                <w:tcPr>
                  <w:tcW w:w="376" w:type="pct"/>
                  <w:vAlign w:val="center"/>
                </w:tcPr>
                <w:p w14:paraId="17382BE6">
                  <w:pPr>
                    <w:adjustRightInd w:val="0"/>
                    <w:snapToGrid w:val="0"/>
                    <w:jc w:val="center"/>
                    <w:rPr>
                      <w:rFonts w:cs="宋体"/>
                      <w:color w:val="auto"/>
                      <w:szCs w:val="21"/>
                    </w:rPr>
                  </w:pPr>
                </w:p>
              </w:tc>
              <w:tc>
                <w:tcPr>
                  <w:tcW w:w="458" w:type="pct"/>
                  <w:vMerge w:val="continue"/>
                  <w:vAlign w:val="center"/>
                </w:tcPr>
                <w:p w14:paraId="17382BE7">
                  <w:pPr>
                    <w:adjustRightInd w:val="0"/>
                    <w:snapToGrid w:val="0"/>
                    <w:jc w:val="center"/>
                    <w:rPr>
                      <w:color w:val="auto"/>
                      <w:szCs w:val="21"/>
                    </w:rPr>
                  </w:pPr>
                </w:p>
              </w:tc>
            </w:tr>
            <w:tr w14:paraId="17382BF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BE9">
                  <w:pPr>
                    <w:adjustRightInd w:val="0"/>
                    <w:snapToGrid w:val="0"/>
                    <w:jc w:val="center"/>
                    <w:rPr>
                      <w:rFonts w:cs="宋体"/>
                      <w:color w:val="auto"/>
                      <w:szCs w:val="21"/>
                    </w:rPr>
                  </w:pPr>
                  <w:r>
                    <w:rPr>
                      <w:rFonts w:hint="eastAsia" w:cs="宋体"/>
                      <w:color w:val="auto"/>
                      <w:szCs w:val="21"/>
                    </w:rPr>
                    <w:t>5</w:t>
                  </w:r>
                </w:p>
              </w:tc>
              <w:tc>
                <w:tcPr>
                  <w:tcW w:w="953" w:type="pct"/>
                  <w:vAlign w:val="center"/>
                </w:tcPr>
                <w:p w14:paraId="17382BEA">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注塑废边角料</w:t>
                  </w:r>
                </w:p>
              </w:tc>
              <w:tc>
                <w:tcPr>
                  <w:tcW w:w="564" w:type="pct"/>
                  <w:vAlign w:val="center"/>
                </w:tcPr>
                <w:p w14:paraId="17382BEB">
                  <w:pPr>
                    <w:adjustRightInd w:val="0"/>
                    <w:snapToGrid w:val="0"/>
                    <w:jc w:val="center"/>
                    <w:rPr>
                      <w:rFonts w:cs="宋体"/>
                      <w:color w:val="auto"/>
                      <w:szCs w:val="21"/>
                    </w:rPr>
                  </w:pPr>
                  <w:r>
                    <w:rPr>
                      <w:rFonts w:hint="eastAsia" w:cs="宋体"/>
                      <w:color w:val="auto"/>
                      <w:szCs w:val="21"/>
                    </w:rPr>
                    <w:t>注塑</w:t>
                  </w:r>
                </w:p>
              </w:tc>
              <w:tc>
                <w:tcPr>
                  <w:tcW w:w="321" w:type="pct"/>
                  <w:vAlign w:val="center"/>
                </w:tcPr>
                <w:p w14:paraId="17382BEC">
                  <w:pPr>
                    <w:adjustRightInd w:val="0"/>
                    <w:snapToGrid w:val="0"/>
                    <w:jc w:val="center"/>
                    <w:rPr>
                      <w:rFonts w:cs="宋体"/>
                      <w:color w:val="auto"/>
                      <w:szCs w:val="21"/>
                    </w:rPr>
                  </w:pPr>
                  <w:r>
                    <w:rPr>
                      <w:rFonts w:hint="eastAsia" w:cs="宋体"/>
                      <w:color w:val="auto"/>
                      <w:szCs w:val="21"/>
                    </w:rPr>
                    <w:t>固</w:t>
                  </w:r>
                </w:p>
              </w:tc>
              <w:tc>
                <w:tcPr>
                  <w:tcW w:w="856" w:type="pct"/>
                  <w:vAlign w:val="center"/>
                </w:tcPr>
                <w:p w14:paraId="17382BED">
                  <w:pPr>
                    <w:adjustRightInd w:val="0"/>
                    <w:snapToGrid w:val="0"/>
                    <w:jc w:val="center"/>
                    <w:rPr>
                      <w:rFonts w:cs="宋体"/>
                      <w:color w:val="auto"/>
                      <w:szCs w:val="21"/>
                    </w:rPr>
                  </w:pPr>
                  <w:r>
                    <w:rPr>
                      <w:rFonts w:hint="eastAsia" w:cs="宋体"/>
                      <w:color w:val="auto"/>
                      <w:szCs w:val="21"/>
                    </w:rPr>
                    <w:t>塑料</w:t>
                  </w:r>
                </w:p>
              </w:tc>
              <w:tc>
                <w:tcPr>
                  <w:tcW w:w="412" w:type="pct"/>
                  <w:vAlign w:val="center"/>
                </w:tcPr>
                <w:p w14:paraId="17382BEE">
                  <w:pPr>
                    <w:adjustRightInd w:val="0"/>
                    <w:snapToGrid w:val="0"/>
                    <w:jc w:val="center"/>
                    <w:rPr>
                      <w:rFonts w:cs="宋体"/>
                      <w:color w:val="auto"/>
                      <w:szCs w:val="21"/>
                    </w:rPr>
                  </w:pPr>
                  <w:r>
                    <w:rPr>
                      <w:rFonts w:hint="eastAsia" w:cs="宋体"/>
                      <w:color w:val="auto"/>
                      <w:szCs w:val="21"/>
                    </w:rPr>
                    <w:t>√</w:t>
                  </w:r>
                </w:p>
              </w:tc>
              <w:tc>
                <w:tcPr>
                  <w:tcW w:w="431" w:type="pct"/>
                  <w:vAlign w:val="center"/>
                </w:tcPr>
                <w:p w14:paraId="17382BEF">
                  <w:pPr>
                    <w:adjustRightInd w:val="0"/>
                    <w:snapToGrid w:val="0"/>
                    <w:jc w:val="center"/>
                    <w:rPr>
                      <w:rFonts w:cs="宋体"/>
                      <w:color w:val="auto"/>
                      <w:szCs w:val="21"/>
                    </w:rPr>
                  </w:pPr>
                </w:p>
              </w:tc>
              <w:tc>
                <w:tcPr>
                  <w:tcW w:w="405" w:type="pct"/>
                  <w:vAlign w:val="center"/>
                </w:tcPr>
                <w:p w14:paraId="17382BF0">
                  <w:pPr>
                    <w:adjustRightInd w:val="0"/>
                    <w:snapToGrid w:val="0"/>
                    <w:jc w:val="center"/>
                    <w:rPr>
                      <w:rFonts w:cs="宋体"/>
                      <w:color w:val="auto"/>
                      <w:szCs w:val="21"/>
                    </w:rPr>
                  </w:pPr>
                </w:p>
              </w:tc>
              <w:tc>
                <w:tcPr>
                  <w:tcW w:w="376" w:type="pct"/>
                  <w:vAlign w:val="center"/>
                </w:tcPr>
                <w:p w14:paraId="17382BF1">
                  <w:pPr>
                    <w:adjustRightInd w:val="0"/>
                    <w:snapToGrid w:val="0"/>
                    <w:jc w:val="center"/>
                    <w:rPr>
                      <w:rFonts w:cs="宋体"/>
                      <w:color w:val="auto"/>
                      <w:szCs w:val="21"/>
                    </w:rPr>
                  </w:pPr>
                </w:p>
              </w:tc>
              <w:tc>
                <w:tcPr>
                  <w:tcW w:w="458" w:type="pct"/>
                  <w:vMerge w:val="continue"/>
                  <w:vAlign w:val="center"/>
                </w:tcPr>
                <w:p w14:paraId="17382BF2">
                  <w:pPr>
                    <w:adjustRightInd w:val="0"/>
                    <w:snapToGrid w:val="0"/>
                    <w:jc w:val="center"/>
                    <w:rPr>
                      <w:color w:val="auto"/>
                      <w:szCs w:val="21"/>
                    </w:rPr>
                  </w:pPr>
                </w:p>
              </w:tc>
            </w:tr>
            <w:tr w14:paraId="17382BF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BF4">
                  <w:pPr>
                    <w:adjustRightInd w:val="0"/>
                    <w:snapToGrid w:val="0"/>
                    <w:jc w:val="center"/>
                    <w:rPr>
                      <w:rFonts w:cs="宋体"/>
                      <w:color w:val="auto"/>
                      <w:szCs w:val="21"/>
                    </w:rPr>
                  </w:pPr>
                  <w:r>
                    <w:rPr>
                      <w:rFonts w:hint="eastAsia" w:cs="宋体"/>
                      <w:color w:val="auto"/>
                      <w:szCs w:val="21"/>
                    </w:rPr>
                    <w:t>6</w:t>
                  </w:r>
                </w:p>
              </w:tc>
              <w:tc>
                <w:tcPr>
                  <w:tcW w:w="953" w:type="pct"/>
                  <w:vAlign w:val="center"/>
                </w:tcPr>
                <w:p w14:paraId="17382BF5">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热处理沉淀沉渣</w:t>
                  </w:r>
                </w:p>
              </w:tc>
              <w:tc>
                <w:tcPr>
                  <w:tcW w:w="564" w:type="pct"/>
                  <w:vAlign w:val="center"/>
                </w:tcPr>
                <w:p w14:paraId="17382BF6">
                  <w:pPr>
                    <w:adjustRightInd w:val="0"/>
                    <w:snapToGrid w:val="0"/>
                    <w:jc w:val="center"/>
                    <w:rPr>
                      <w:rFonts w:cs="宋体"/>
                      <w:color w:val="auto"/>
                      <w:szCs w:val="21"/>
                    </w:rPr>
                  </w:pPr>
                  <w:r>
                    <w:rPr>
                      <w:rFonts w:hint="eastAsia" w:cs="宋体"/>
                      <w:color w:val="auto"/>
                      <w:szCs w:val="21"/>
                    </w:rPr>
                    <w:t>热处理</w:t>
                  </w:r>
                </w:p>
              </w:tc>
              <w:tc>
                <w:tcPr>
                  <w:tcW w:w="321" w:type="pct"/>
                  <w:vAlign w:val="center"/>
                </w:tcPr>
                <w:p w14:paraId="17382BF7">
                  <w:pPr>
                    <w:adjustRightInd w:val="0"/>
                    <w:snapToGrid w:val="0"/>
                    <w:jc w:val="center"/>
                    <w:rPr>
                      <w:rFonts w:cs="宋体"/>
                      <w:color w:val="auto"/>
                      <w:szCs w:val="21"/>
                    </w:rPr>
                  </w:pPr>
                  <w:r>
                    <w:rPr>
                      <w:rFonts w:hint="eastAsia" w:cs="宋体"/>
                      <w:color w:val="auto"/>
                      <w:szCs w:val="21"/>
                    </w:rPr>
                    <w:t>固</w:t>
                  </w:r>
                </w:p>
              </w:tc>
              <w:tc>
                <w:tcPr>
                  <w:tcW w:w="856" w:type="pct"/>
                  <w:vAlign w:val="center"/>
                </w:tcPr>
                <w:p w14:paraId="17382BF8">
                  <w:pPr>
                    <w:adjustRightInd w:val="0"/>
                    <w:snapToGrid w:val="0"/>
                    <w:jc w:val="center"/>
                    <w:rPr>
                      <w:rFonts w:cs="宋体"/>
                      <w:color w:val="auto"/>
                      <w:szCs w:val="21"/>
                    </w:rPr>
                  </w:pPr>
                  <w:r>
                    <w:rPr>
                      <w:rFonts w:hint="eastAsia" w:cs="宋体"/>
                      <w:color w:val="auto"/>
                      <w:szCs w:val="21"/>
                    </w:rPr>
                    <w:t>金属</w:t>
                  </w:r>
                </w:p>
              </w:tc>
              <w:tc>
                <w:tcPr>
                  <w:tcW w:w="412" w:type="pct"/>
                  <w:vAlign w:val="center"/>
                </w:tcPr>
                <w:p w14:paraId="17382BF9">
                  <w:pPr>
                    <w:adjustRightInd w:val="0"/>
                    <w:snapToGrid w:val="0"/>
                    <w:jc w:val="center"/>
                    <w:rPr>
                      <w:rFonts w:cs="宋体"/>
                      <w:color w:val="auto"/>
                      <w:szCs w:val="21"/>
                    </w:rPr>
                  </w:pPr>
                  <w:r>
                    <w:rPr>
                      <w:rFonts w:hint="eastAsia" w:cs="宋体"/>
                      <w:color w:val="auto"/>
                      <w:szCs w:val="21"/>
                    </w:rPr>
                    <w:t>√</w:t>
                  </w:r>
                </w:p>
              </w:tc>
              <w:tc>
                <w:tcPr>
                  <w:tcW w:w="431" w:type="pct"/>
                  <w:vAlign w:val="center"/>
                </w:tcPr>
                <w:p w14:paraId="17382BFA">
                  <w:pPr>
                    <w:adjustRightInd w:val="0"/>
                    <w:snapToGrid w:val="0"/>
                    <w:jc w:val="center"/>
                    <w:rPr>
                      <w:rFonts w:cs="宋体"/>
                      <w:color w:val="auto"/>
                      <w:szCs w:val="21"/>
                    </w:rPr>
                  </w:pPr>
                </w:p>
              </w:tc>
              <w:tc>
                <w:tcPr>
                  <w:tcW w:w="405" w:type="pct"/>
                  <w:vAlign w:val="center"/>
                </w:tcPr>
                <w:p w14:paraId="17382BFB">
                  <w:pPr>
                    <w:adjustRightInd w:val="0"/>
                    <w:snapToGrid w:val="0"/>
                    <w:jc w:val="center"/>
                    <w:rPr>
                      <w:rFonts w:cs="宋体"/>
                      <w:color w:val="auto"/>
                      <w:szCs w:val="21"/>
                    </w:rPr>
                  </w:pPr>
                </w:p>
              </w:tc>
              <w:tc>
                <w:tcPr>
                  <w:tcW w:w="376" w:type="pct"/>
                  <w:vAlign w:val="center"/>
                </w:tcPr>
                <w:p w14:paraId="17382BFC">
                  <w:pPr>
                    <w:adjustRightInd w:val="0"/>
                    <w:snapToGrid w:val="0"/>
                    <w:jc w:val="center"/>
                    <w:rPr>
                      <w:rFonts w:cs="宋体"/>
                      <w:color w:val="auto"/>
                      <w:szCs w:val="21"/>
                    </w:rPr>
                  </w:pPr>
                </w:p>
              </w:tc>
              <w:tc>
                <w:tcPr>
                  <w:tcW w:w="458" w:type="pct"/>
                  <w:vMerge w:val="continue"/>
                  <w:vAlign w:val="center"/>
                </w:tcPr>
                <w:p w14:paraId="17382BFD">
                  <w:pPr>
                    <w:adjustRightInd w:val="0"/>
                    <w:snapToGrid w:val="0"/>
                    <w:jc w:val="center"/>
                    <w:rPr>
                      <w:color w:val="auto"/>
                      <w:szCs w:val="21"/>
                    </w:rPr>
                  </w:pPr>
                </w:p>
              </w:tc>
            </w:tr>
            <w:tr w14:paraId="17382C0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BFF">
                  <w:pPr>
                    <w:adjustRightInd w:val="0"/>
                    <w:snapToGrid w:val="0"/>
                    <w:jc w:val="center"/>
                    <w:rPr>
                      <w:rFonts w:cs="宋体"/>
                      <w:color w:val="auto"/>
                      <w:szCs w:val="21"/>
                    </w:rPr>
                  </w:pPr>
                  <w:r>
                    <w:rPr>
                      <w:rFonts w:hint="eastAsia" w:cs="宋体"/>
                      <w:color w:val="auto"/>
                      <w:szCs w:val="21"/>
                    </w:rPr>
                    <w:t>7</w:t>
                  </w:r>
                </w:p>
              </w:tc>
              <w:tc>
                <w:tcPr>
                  <w:tcW w:w="953" w:type="pct"/>
                  <w:vAlign w:val="center"/>
                </w:tcPr>
                <w:p w14:paraId="17382C00">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废钢丸</w:t>
                  </w:r>
                </w:p>
              </w:tc>
              <w:tc>
                <w:tcPr>
                  <w:tcW w:w="564" w:type="pct"/>
                  <w:vAlign w:val="center"/>
                </w:tcPr>
                <w:p w14:paraId="17382C01">
                  <w:pPr>
                    <w:adjustRightInd w:val="0"/>
                    <w:snapToGrid w:val="0"/>
                    <w:jc w:val="center"/>
                    <w:rPr>
                      <w:rFonts w:cs="宋体"/>
                      <w:color w:val="auto"/>
                      <w:szCs w:val="21"/>
                    </w:rPr>
                  </w:pPr>
                  <w:r>
                    <w:rPr>
                      <w:rFonts w:hint="eastAsia" w:cs="宋体"/>
                      <w:color w:val="auto"/>
                      <w:szCs w:val="21"/>
                    </w:rPr>
                    <w:t>除锈</w:t>
                  </w:r>
                </w:p>
              </w:tc>
              <w:tc>
                <w:tcPr>
                  <w:tcW w:w="321" w:type="pct"/>
                  <w:vAlign w:val="center"/>
                </w:tcPr>
                <w:p w14:paraId="17382C02">
                  <w:pPr>
                    <w:adjustRightInd w:val="0"/>
                    <w:snapToGrid w:val="0"/>
                    <w:jc w:val="center"/>
                    <w:rPr>
                      <w:rFonts w:cs="宋体"/>
                      <w:color w:val="auto"/>
                      <w:szCs w:val="21"/>
                    </w:rPr>
                  </w:pPr>
                  <w:r>
                    <w:rPr>
                      <w:rFonts w:hint="eastAsia" w:cs="宋体"/>
                      <w:color w:val="auto"/>
                      <w:szCs w:val="21"/>
                    </w:rPr>
                    <w:t>固</w:t>
                  </w:r>
                </w:p>
              </w:tc>
              <w:tc>
                <w:tcPr>
                  <w:tcW w:w="856" w:type="pct"/>
                  <w:vAlign w:val="center"/>
                </w:tcPr>
                <w:p w14:paraId="17382C03">
                  <w:pPr>
                    <w:adjustRightInd w:val="0"/>
                    <w:snapToGrid w:val="0"/>
                    <w:jc w:val="center"/>
                    <w:rPr>
                      <w:rFonts w:cs="宋体"/>
                      <w:color w:val="auto"/>
                      <w:szCs w:val="21"/>
                    </w:rPr>
                  </w:pPr>
                  <w:r>
                    <w:rPr>
                      <w:rFonts w:hint="eastAsia" w:cs="宋体"/>
                      <w:color w:val="auto"/>
                      <w:szCs w:val="21"/>
                    </w:rPr>
                    <w:t>钢丸</w:t>
                  </w:r>
                </w:p>
              </w:tc>
              <w:tc>
                <w:tcPr>
                  <w:tcW w:w="412" w:type="pct"/>
                  <w:vAlign w:val="center"/>
                </w:tcPr>
                <w:p w14:paraId="17382C04">
                  <w:pPr>
                    <w:adjustRightInd w:val="0"/>
                    <w:snapToGrid w:val="0"/>
                    <w:jc w:val="center"/>
                    <w:rPr>
                      <w:rFonts w:cs="宋体"/>
                      <w:color w:val="auto"/>
                      <w:szCs w:val="21"/>
                    </w:rPr>
                  </w:pPr>
                  <w:r>
                    <w:rPr>
                      <w:rFonts w:hint="eastAsia" w:cs="宋体"/>
                      <w:color w:val="auto"/>
                      <w:szCs w:val="21"/>
                    </w:rPr>
                    <w:t>√</w:t>
                  </w:r>
                </w:p>
              </w:tc>
              <w:tc>
                <w:tcPr>
                  <w:tcW w:w="431" w:type="pct"/>
                  <w:vAlign w:val="center"/>
                </w:tcPr>
                <w:p w14:paraId="17382C05">
                  <w:pPr>
                    <w:adjustRightInd w:val="0"/>
                    <w:snapToGrid w:val="0"/>
                    <w:jc w:val="center"/>
                    <w:rPr>
                      <w:rFonts w:cs="宋体"/>
                      <w:color w:val="auto"/>
                      <w:szCs w:val="21"/>
                    </w:rPr>
                  </w:pPr>
                </w:p>
              </w:tc>
              <w:tc>
                <w:tcPr>
                  <w:tcW w:w="405" w:type="pct"/>
                  <w:vAlign w:val="center"/>
                </w:tcPr>
                <w:p w14:paraId="17382C06">
                  <w:pPr>
                    <w:adjustRightInd w:val="0"/>
                    <w:snapToGrid w:val="0"/>
                    <w:jc w:val="center"/>
                    <w:rPr>
                      <w:rFonts w:cs="宋体"/>
                      <w:color w:val="auto"/>
                      <w:szCs w:val="21"/>
                    </w:rPr>
                  </w:pPr>
                </w:p>
              </w:tc>
              <w:tc>
                <w:tcPr>
                  <w:tcW w:w="376" w:type="pct"/>
                  <w:vAlign w:val="center"/>
                </w:tcPr>
                <w:p w14:paraId="17382C07">
                  <w:pPr>
                    <w:adjustRightInd w:val="0"/>
                    <w:snapToGrid w:val="0"/>
                    <w:jc w:val="center"/>
                    <w:rPr>
                      <w:rFonts w:cs="宋体"/>
                      <w:color w:val="auto"/>
                      <w:szCs w:val="21"/>
                    </w:rPr>
                  </w:pPr>
                </w:p>
              </w:tc>
              <w:tc>
                <w:tcPr>
                  <w:tcW w:w="458" w:type="pct"/>
                  <w:vMerge w:val="continue"/>
                  <w:vAlign w:val="center"/>
                </w:tcPr>
                <w:p w14:paraId="17382C08">
                  <w:pPr>
                    <w:adjustRightInd w:val="0"/>
                    <w:snapToGrid w:val="0"/>
                    <w:jc w:val="center"/>
                    <w:rPr>
                      <w:color w:val="auto"/>
                      <w:szCs w:val="21"/>
                    </w:rPr>
                  </w:pPr>
                </w:p>
              </w:tc>
            </w:tr>
            <w:tr w14:paraId="17382C1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C0A">
                  <w:pPr>
                    <w:adjustRightInd w:val="0"/>
                    <w:snapToGrid w:val="0"/>
                    <w:jc w:val="center"/>
                    <w:rPr>
                      <w:rFonts w:cs="宋体"/>
                      <w:color w:val="auto"/>
                      <w:szCs w:val="21"/>
                    </w:rPr>
                  </w:pPr>
                  <w:r>
                    <w:rPr>
                      <w:rFonts w:hint="eastAsia" w:cs="宋体"/>
                      <w:color w:val="auto"/>
                      <w:szCs w:val="21"/>
                    </w:rPr>
                    <w:t>8</w:t>
                  </w:r>
                </w:p>
              </w:tc>
              <w:tc>
                <w:tcPr>
                  <w:tcW w:w="953" w:type="pct"/>
                  <w:vAlign w:val="center"/>
                </w:tcPr>
                <w:p w14:paraId="17382C0B">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清洗沉淀沉渣</w:t>
                  </w:r>
                </w:p>
              </w:tc>
              <w:tc>
                <w:tcPr>
                  <w:tcW w:w="564" w:type="pct"/>
                  <w:vAlign w:val="center"/>
                </w:tcPr>
                <w:p w14:paraId="17382C0C">
                  <w:pPr>
                    <w:adjustRightInd w:val="0"/>
                    <w:snapToGrid w:val="0"/>
                    <w:jc w:val="center"/>
                    <w:rPr>
                      <w:rFonts w:cs="宋体"/>
                      <w:color w:val="auto"/>
                      <w:szCs w:val="21"/>
                    </w:rPr>
                  </w:pPr>
                  <w:r>
                    <w:rPr>
                      <w:rFonts w:hint="eastAsia" w:cs="宋体"/>
                      <w:color w:val="auto"/>
                      <w:szCs w:val="21"/>
                    </w:rPr>
                    <w:t>清洗</w:t>
                  </w:r>
                </w:p>
              </w:tc>
              <w:tc>
                <w:tcPr>
                  <w:tcW w:w="321" w:type="pct"/>
                  <w:vAlign w:val="center"/>
                </w:tcPr>
                <w:p w14:paraId="17382C0D">
                  <w:pPr>
                    <w:adjustRightInd w:val="0"/>
                    <w:snapToGrid w:val="0"/>
                    <w:jc w:val="center"/>
                    <w:rPr>
                      <w:rFonts w:cs="宋体"/>
                      <w:color w:val="auto"/>
                      <w:szCs w:val="21"/>
                    </w:rPr>
                  </w:pPr>
                  <w:r>
                    <w:rPr>
                      <w:rFonts w:hint="eastAsia" w:cs="宋体"/>
                      <w:color w:val="auto"/>
                      <w:szCs w:val="21"/>
                    </w:rPr>
                    <w:t>固</w:t>
                  </w:r>
                </w:p>
              </w:tc>
              <w:tc>
                <w:tcPr>
                  <w:tcW w:w="856" w:type="pct"/>
                  <w:vAlign w:val="center"/>
                </w:tcPr>
                <w:p w14:paraId="17382C0E">
                  <w:pPr>
                    <w:adjustRightInd w:val="0"/>
                    <w:snapToGrid w:val="0"/>
                    <w:jc w:val="center"/>
                    <w:rPr>
                      <w:rFonts w:cs="宋体"/>
                      <w:color w:val="auto"/>
                      <w:szCs w:val="21"/>
                    </w:rPr>
                  </w:pPr>
                  <w:r>
                    <w:rPr>
                      <w:rFonts w:hint="eastAsia" w:cs="宋体"/>
                      <w:color w:val="auto"/>
                      <w:szCs w:val="21"/>
                    </w:rPr>
                    <w:t>金属</w:t>
                  </w:r>
                </w:p>
              </w:tc>
              <w:tc>
                <w:tcPr>
                  <w:tcW w:w="412" w:type="pct"/>
                  <w:vAlign w:val="center"/>
                </w:tcPr>
                <w:p w14:paraId="17382C0F">
                  <w:pPr>
                    <w:adjustRightInd w:val="0"/>
                    <w:snapToGrid w:val="0"/>
                    <w:jc w:val="center"/>
                    <w:rPr>
                      <w:rFonts w:cs="宋体"/>
                      <w:color w:val="auto"/>
                      <w:szCs w:val="21"/>
                    </w:rPr>
                  </w:pPr>
                  <w:r>
                    <w:rPr>
                      <w:rFonts w:hint="eastAsia" w:cs="宋体"/>
                      <w:color w:val="auto"/>
                      <w:szCs w:val="21"/>
                    </w:rPr>
                    <w:t>√</w:t>
                  </w:r>
                </w:p>
              </w:tc>
              <w:tc>
                <w:tcPr>
                  <w:tcW w:w="431" w:type="pct"/>
                  <w:vAlign w:val="center"/>
                </w:tcPr>
                <w:p w14:paraId="17382C10">
                  <w:pPr>
                    <w:adjustRightInd w:val="0"/>
                    <w:snapToGrid w:val="0"/>
                    <w:jc w:val="center"/>
                    <w:rPr>
                      <w:rFonts w:cs="宋体"/>
                      <w:color w:val="auto"/>
                      <w:szCs w:val="21"/>
                    </w:rPr>
                  </w:pPr>
                </w:p>
              </w:tc>
              <w:tc>
                <w:tcPr>
                  <w:tcW w:w="405" w:type="pct"/>
                  <w:vAlign w:val="center"/>
                </w:tcPr>
                <w:p w14:paraId="17382C11">
                  <w:pPr>
                    <w:adjustRightInd w:val="0"/>
                    <w:snapToGrid w:val="0"/>
                    <w:jc w:val="center"/>
                    <w:rPr>
                      <w:rFonts w:cs="宋体"/>
                      <w:color w:val="auto"/>
                      <w:szCs w:val="21"/>
                    </w:rPr>
                  </w:pPr>
                </w:p>
              </w:tc>
              <w:tc>
                <w:tcPr>
                  <w:tcW w:w="376" w:type="pct"/>
                  <w:vAlign w:val="center"/>
                </w:tcPr>
                <w:p w14:paraId="17382C12">
                  <w:pPr>
                    <w:adjustRightInd w:val="0"/>
                    <w:snapToGrid w:val="0"/>
                    <w:jc w:val="center"/>
                    <w:rPr>
                      <w:rFonts w:cs="宋体"/>
                      <w:color w:val="auto"/>
                      <w:szCs w:val="21"/>
                    </w:rPr>
                  </w:pPr>
                </w:p>
              </w:tc>
              <w:tc>
                <w:tcPr>
                  <w:tcW w:w="458" w:type="pct"/>
                  <w:vMerge w:val="continue"/>
                  <w:vAlign w:val="center"/>
                </w:tcPr>
                <w:p w14:paraId="17382C13">
                  <w:pPr>
                    <w:adjustRightInd w:val="0"/>
                    <w:snapToGrid w:val="0"/>
                    <w:jc w:val="center"/>
                    <w:rPr>
                      <w:color w:val="auto"/>
                      <w:szCs w:val="21"/>
                    </w:rPr>
                  </w:pPr>
                </w:p>
              </w:tc>
            </w:tr>
            <w:tr w14:paraId="17382C1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397" w:hRule="atLeast"/>
                <w:jc w:val="center"/>
              </w:trPr>
              <w:tc>
                <w:tcPr>
                  <w:tcW w:w="218" w:type="pct"/>
                  <w:vAlign w:val="center"/>
                </w:tcPr>
                <w:p w14:paraId="17382C15">
                  <w:pPr>
                    <w:adjustRightInd w:val="0"/>
                    <w:snapToGrid w:val="0"/>
                    <w:jc w:val="center"/>
                    <w:rPr>
                      <w:rFonts w:cs="宋体"/>
                      <w:color w:val="auto"/>
                      <w:szCs w:val="21"/>
                    </w:rPr>
                  </w:pPr>
                  <w:r>
                    <w:rPr>
                      <w:rFonts w:hint="eastAsia" w:cs="宋体"/>
                      <w:color w:val="auto"/>
                      <w:szCs w:val="21"/>
                    </w:rPr>
                    <w:t>9</w:t>
                  </w:r>
                </w:p>
              </w:tc>
              <w:tc>
                <w:tcPr>
                  <w:tcW w:w="953" w:type="pct"/>
                  <w:vAlign w:val="center"/>
                </w:tcPr>
                <w:p w14:paraId="17382C16">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废防锈油</w:t>
                  </w:r>
                </w:p>
              </w:tc>
              <w:tc>
                <w:tcPr>
                  <w:tcW w:w="564" w:type="pct"/>
                  <w:vAlign w:val="center"/>
                </w:tcPr>
                <w:p w14:paraId="17382C17">
                  <w:pPr>
                    <w:adjustRightInd w:val="0"/>
                    <w:snapToGrid w:val="0"/>
                    <w:jc w:val="center"/>
                    <w:rPr>
                      <w:rFonts w:cs="宋体"/>
                      <w:color w:val="auto"/>
                      <w:szCs w:val="21"/>
                    </w:rPr>
                  </w:pPr>
                  <w:r>
                    <w:rPr>
                      <w:rFonts w:hint="eastAsia" w:cs="宋体"/>
                      <w:color w:val="auto"/>
                      <w:szCs w:val="21"/>
                    </w:rPr>
                    <w:t>涂油</w:t>
                  </w:r>
                </w:p>
              </w:tc>
              <w:tc>
                <w:tcPr>
                  <w:tcW w:w="321" w:type="pct"/>
                  <w:vAlign w:val="center"/>
                </w:tcPr>
                <w:p w14:paraId="17382C18">
                  <w:pPr>
                    <w:adjustRightInd w:val="0"/>
                    <w:snapToGrid w:val="0"/>
                    <w:jc w:val="center"/>
                    <w:rPr>
                      <w:rFonts w:cs="宋体"/>
                      <w:color w:val="auto"/>
                      <w:szCs w:val="21"/>
                    </w:rPr>
                  </w:pPr>
                  <w:r>
                    <w:rPr>
                      <w:rFonts w:hint="eastAsia" w:cs="宋体"/>
                      <w:color w:val="auto"/>
                      <w:szCs w:val="21"/>
                    </w:rPr>
                    <w:t>液</w:t>
                  </w:r>
                </w:p>
              </w:tc>
              <w:tc>
                <w:tcPr>
                  <w:tcW w:w="856" w:type="pct"/>
                  <w:vAlign w:val="center"/>
                </w:tcPr>
                <w:p w14:paraId="17382C19">
                  <w:pPr>
                    <w:adjustRightInd w:val="0"/>
                    <w:snapToGrid w:val="0"/>
                    <w:jc w:val="center"/>
                    <w:rPr>
                      <w:rFonts w:cs="宋体"/>
                      <w:color w:val="auto"/>
                      <w:szCs w:val="21"/>
                    </w:rPr>
                  </w:pPr>
                  <w:r>
                    <w:rPr>
                      <w:rFonts w:hint="eastAsia" w:cs="宋体"/>
                      <w:color w:val="auto"/>
                      <w:szCs w:val="21"/>
                    </w:rPr>
                    <w:t>矿物油</w:t>
                  </w:r>
                </w:p>
              </w:tc>
              <w:tc>
                <w:tcPr>
                  <w:tcW w:w="412" w:type="pct"/>
                  <w:vAlign w:val="center"/>
                </w:tcPr>
                <w:p w14:paraId="17382C1A">
                  <w:pPr>
                    <w:adjustRightInd w:val="0"/>
                    <w:snapToGrid w:val="0"/>
                    <w:jc w:val="center"/>
                    <w:rPr>
                      <w:rFonts w:cs="宋体"/>
                      <w:color w:val="auto"/>
                      <w:szCs w:val="21"/>
                    </w:rPr>
                  </w:pPr>
                  <w:r>
                    <w:rPr>
                      <w:rFonts w:hint="eastAsia" w:cs="宋体"/>
                      <w:color w:val="auto"/>
                      <w:szCs w:val="21"/>
                    </w:rPr>
                    <w:t>√</w:t>
                  </w:r>
                </w:p>
              </w:tc>
              <w:tc>
                <w:tcPr>
                  <w:tcW w:w="431" w:type="pct"/>
                  <w:vAlign w:val="center"/>
                </w:tcPr>
                <w:p w14:paraId="17382C1B">
                  <w:pPr>
                    <w:adjustRightInd w:val="0"/>
                    <w:snapToGrid w:val="0"/>
                    <w:jc w:val="center"/>
                    <w:rPr>
                      <w:rFonts w:cs="宋体"/>
                      <w:color w:val="auto"/>
                      <w:szCs w:val="21"/>
                    </w:rPr>
                  </w:pPr>
                </w:p>
              </w:tc>
              <w:tc>
                <w:tcPr>
                  <w:tcW w:w="405" w:type="pct"/>
                  <w:vAlign w:val="center"/>
                </w:tcPr>
                <w:p w14:paraId="17382C1C">
                  <w:pPr>
                    <w:adjustRightInd w:val="0"/>
                    <w:snapToGrid w:val="0"/>
                    <w:jc w:val="center"/>
                    <w:rPr>
                      <w:rFonts w:cs="宋体"/>
                      <w:color w:val="auto"/>
                      <w:szCs w:val="21"/>
                    </w:rPr>
                  </w:pPr>
                </w:p>
              </w:tc>
              <w:tc>
                <w:tcPr>
                  <w:tcW w:w="376" w:type="pct"/>
                  <w:vAlign w:val="center"/>
                </w:tcPr>
                <w:p w14:paraId="17382C1D">
                  <w:pPr>
                    <w:adjustRightInd w:val="0"/>
                    <w:snapToGrid w:val="0"/>
                    <w:jc w:val="center"/>
                    <w:rPr>
                      <w:rFonts w:cs="宋体"/>
                      <w:color w:val="auto"/>
                      <w:szCs w:val="21"/>
                    </w:rPr>
                  </w:pPr>
                </w:p>
              </w:tc>
              <w:tc>
                <w:tcPr>
                  <w:tcW w:w="458" w:type="pct"/>
                  <w:vMerge w:val="continue"/>
                  <w:vAlign w:val="center"/>
                </w:tcPr>
                <w:p w14:paraId="17382C1E">
                  <w:pPr>
                    <w:adjustRightInd w:val="0"/>
                    <w:snapToGrid w:val="0"/>
                    <w:jc w:val="center"/>
                    <w:rPr>
                      <w:color w:val="auto"/>
                      <w:szCs w:val="21"/>
                    </w:rPr>
                  </w:pPr>
                </w:p>
              </w:tc>
            </w:tr>
            <w:tr w14:paraId="17382C2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C20">
                  <w:pPr>
                    <w:adjustRightInd w:val="0"/>
                    <w:snapToGrid w:val="0"/>
                    <w:jc w:val="center"/>
                    <w:rPr>
                      <w:rFonts w:cs="宋体"/>
                      <w:color w:val="auto"/>
                      <w:szCs w:val="21"/>
                    </w:rPr>
                  </w:pPr>
                  <w:r>
                    <w:rPr>
                      <w:rFonts w:hint="eastAsia" w:cs="宋体"/>
                      <w:color w:val="auto"/>
                      <w:szCs w:val="21"/>
                    </w:rPr>
                    <w:t>10</w:t>
                  </w:r>
                </w:p>
              </w:tc>
              <w:tc>
                <w:tcPr>
                  <w:tcW w:w="953" w:type="pct"/>
                  <w:vAlign w:val="center"/>
                </w:tcPr>
                <w:p w14:paraId="17382C21">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废防锈油包装桶</w:t>
                  </w:r>
                </w:p>
              </w:tc>
              <w:tc>
                <w:tcPr>
                  <w:tcW w:w="564" w:type="pct"/>
                  <w:vAlign w:val="center"/>
                </w:tcPr>
                <w:p w14:paraId="17382C22">
                  <w:pPr>
                    <w:adjustRightInd w:val="0"/>
                    <w:snapToGrid w:val="0"/>
                    <w:jc w:val="center"/>
                    <w:rPr>
                      <w:rFonts w:cs="宋体"/>
                      <w:color w:val="auto"/>
                      <w:szCs w:val="21"/>
                    </w:rPr>
                  </w:pPr>
                  <w:r>
                    <w:rPr>
                      <w:rFonts w:hint="eastAsia" w:cs="宋体"/>
                      <w:color w:val="auto"/>
                      <w:szCs w:val="21"/>
                    </w:rPr>
                    <w:t>涂油</w:t>
                  </w:r>
                </w:p>
              </w:tc>
              <w:tc>
                <w:tcPr>
                  <w:tcW w:w="321" w:type="pct"/>
                  <w:vAlign w:val="center"/>
                </w:tcPr>
                <w:p w14:paraId="17382C23">
                  <w:pPr>
                    <w:adjustRightInd w:val="0"/>
                    <w:snapToGrid w:val="0"/>
                    <w:jc w:val="center"/>
                    <w:rPr>
                      <w:rFonts w:cs="宋体"/>
                      <w:color w:val="auto"/>
                      <w:szCs w:val="21"/>
                    </w:rPr>
                  </w:pPr>
                  <w:r>
                    <w:rPr>
                      <w:rFonts w:hint="eastAsia" w:cs="宋体"/>
                      <w:color w:val="auto"/>
                      <w:szCs w:val="21"/>
                    </w:rPr>
                    <w:t>固</w:t>
                  </w:r>
                </w:p>
              </w:tc>
              <w:tc>
                <w:tcPr>
                  <w:tcW w:w="856" w:type="pct"/>
                  <w:vAlign w:val="center"/>
                </w:tcPr>
                <w:p w14:paraId="17382C24">
                  <w:pPr>
                    <w:adjustRightInd w:val="0"/>
                    <w:snapToGrid w:val="0"/>
                    <w:jc w:val="center"/>
                    <w:rPr>
                      <w:rFonts w:cs="宋体"/>
                      <w:color w:val="auto"/>
                      <w:szCs w:val="21"/>
                    </w:rPr>
                  </w:pPr>
                  <w:r>
                    <w:rPr>
                      <w:rFonts w:hint="eastAsia" w:cs="宋体"/>
                      <w:color w:val="auto"/>
                      <w:szCs w:val="21"/>
                    </w:rPr>
                    <w:t>矿物油</w:t>
                  </w:r>
                </w:p>
              </w:tc>
              <w:tc>
                <w:tcPr>
                  <w:tcW w:w="412" w:type="pct"/>
                  <w:vAlign w:val="center"/>
                </w:tcPr>
                <w:p w14:paraId="17382C25">
                  <w:pPr>
                    <w:adjustRightInd w:val="0"/>
                    <w:snapToGrid w:val="0"/>
                    <w:jc w:val="center"/>
                    <w:rPr>
                      <w:rFonts w:cs="宋体"/>
                      <w:color w:val="auto"/>
                      <w:szCs w:val="21"/>
                    </w:rPr>
                  </w:pPr>
                  <w:r>
                    <w:rPr>
                      <w:rFonts w:hint="eastAsia" w:cs="宋体"/>
                      <w:color w:val="auto"/>
                      <w:szCs w:val="21"/>
                    </w:rPr>
                    <w:t>√</w:t>
                  </w:r>
                </w:p>
              </w:tc>
              <w:tc>
                <w:tcPr>
                  <w:tcW w:w="431" w:type="pct"/>
                  <w:vAlign w:val="center"/>
                </w:tcPr>
                <w:p w14:paraId="17382C26">
                  <w:pPr>
                    <w:adjustRightInd w:val="0"/>
                    <w:snapToGrid w:val="0"/>
                    <w:jc w:val="center"/>
                    <w:rPr>
                      <w:rFonts w:cs="宋体"/>
                      <w:color w:val="auto"/>
                      <w:szCs w:val="21"/>
                    </w:rPr>
                  </w:pPr>
                </w:p>
              </w:tc>
              <w:tc>
                <w:tcPr>
                  <w:tcW w:w="405" w:type="pct"/>
                  <w:vAlign w:val="center"/>
                </w:tcPr>
                <w:p w14:paraId="17382C27">
                  <w:pPr>
                    <w:adjustRightInd w:val="0"/>
                    <w:snapToGrid w:val="0"/>
                    <w:jc w:val="center"/>
                    <w:rPr>
                      <w:rFonts w:cs="宋体"/>
                      <w:color w:val="auto"/>
                      <w:szCs w:val="21"/>
                    </w:rPr>
                  </w:pPr>
                </w:p>
              </w:tc>
              <w:tc>
                <w:tcPr>
                  <w:tcW w:w="376" w:type="pct"/>
                  <w:vAlign w:val="center"/>
                </w:tcPr>
                <w:p w14:paraId="17382C28">
                  <w:pPr>
                    <w:adjustRightInd w:val="0"/>
                    <w:snapToGrid w:val="0"/>
                    <w:jc w:val="center"/>
                    <w:rPr>
                      <w:rFonts w:cs="宋体"/>
                      <w:color w:val="auto"/>
                      <w:szCs w:val="21"/>
                    </w:rPr>
                  </w:pPr>
                </w:p>
              </w:tc>
              <w:tc>
                <w:tcPr>
                  <w:tcW w:w="458" w:type="pct"/>
                  <w:vMerge w:val="continue"/>
                  <w:vAlign w:val="center"/>
                </w:tcPr>
                <w:p w14:paraId="17382C29">
                  <w:pPr>
                    <w:adjustRightInd w:val="0"/>
                    <w:snapToGrid w:val="0"/>
                    <w:jc w:val="center"/>
                    <w:rPr>
                      <w:color w:val="auto"/>
                      <w:szCs w:val="21"/>
                    </w:rPr>
                  </w:pPr>
                </w:p>
              </w:tc>
            </w:tr>
            <w:tr w14:paraId="17382C3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C2B">
                  <w:pPr>
                    <w:adjustRightInd w:val="0"/>
                    <w:snapToGrid w:val="0"/>
                    <w:jc w:val="center"/>
                    <w:rPr>
                      <w:rFonts w:cs="宋体"/>
                      <w:color w:val="auto"/>
                      <w:szCs w:val="21"/>
                    </w:rPr>
                  </w:pPr>
                  <w:r>
                    <w:rPr>
                      <w:rFonts w:hint="eastAsia" w:cs="宋体"/>
                      <w:color w:val="auto"/>
                      <w:szCs w:val="21"/>
                    </w:rPr>
                    <w:t>11</w:t>
                  </w:r>
                </w:p>
              </w:tc>
              <w:tc>
                <w:tcPr>
                  <w:tcW w:w="953" w:type="pct"/>
                  <w:vAlign w:val="center"/>
                </w:tcPr>
                <w:p w14:paraId="17382C2C">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化粪池污泥</w:t>
                  </w:r>
                </w:p>
              </w:tc>
              <w:tc>
                <w:tcPr>
                  <w:tcW w:w="564" w:type="pct"/>
                  <w:vAlign w:val="center"/>
                </w:tcPr>
                <w:p w14:paraId="17382C2D">
                  <w:pPr>
                    <w:adjustRightInd w:val="0"/>
                    <w:snapToGrid w:val="0"/>
                    <w:jc w:val="center"/>
                    <w:rPr>
                      <w:rFonts w:cs="宋体"/>
                      <w:color w:val="auto"/>
                      <w:szCs w:val="21"/>
                    </w:rPr>
                  </w:pPr>
                  <w:r>
                    <w:rPr>
                      <w:rFonts w:hint="eastAsia" w:cs="宋体"/>
                      <w:color w:val="auto"/>
                      <w:szCs w:val="21"/>
                    </w:rPr>
                    <w:t>废水处理</w:t>
                  </w:r>
                </w:p>
              </w:tc>
              <w:tc>
                <w:tcPr>
                  <w:tcW w:w="321" w:type="pct"/>
                  <w:shd w:val="clear" w:color="auto" w:fill="auto"/>
                  <w:vAlign w:val="center"/>
                </w:tcPr>
                <w:p w14:paraId="17382C2E">
                  <w:pPr>
                    <w:adjustRightInd w:val="0"/>
                    <w:snapToGrid w:val="0"/>
                    <w:jc w:val="center"/>
                    <w:rPr>
                      <w:color w:val="auto"/>
                      <w:szCs w:val="21"/>
                    </w:rPr>
                  </w:pPr>
                  <w:r>
                    <w:rPr>
                      <w:rFonts w:hint="eastAsia"/>
                      <w:color w:val="auto"/>
                      <w:szCs w:val="21"/>
                    </w:rPr>
                    <w:t>固</w:t>
                  </w:r>
                </w:p>
              </w:tc>
              <w:tc>
                <w:tcPr>
                  <w:tcW w:w="856" w:type="pct"/>
                  <w:shd w:val="clear" w:color="auto" w:fill="auto"/>
                  <w:vAlign w:val="center"/>
                </w:tcPr>
                <w:p w14:paraId="17382C2F">
                  <w:pPr>
                    <w:adjustRightInd w:val="0"/>
                    <w:snapToGrid w:val="0"/>
                    <w:jc w:val="center"/>
                    <w:rPr>
                      <w:color w:val="auto"/>
                      <w:szCs w:val="21"/>
                    </w:rPr>
                  </w:pPr>
                  <w:r>
                    <w:rPr>
                      <w:rFonts w:hint="eastAsia"/>
                      <w:color w:val="auto"/>
                      <w:szCs w:val="21"/>
                    </w:rPr>
                    <w:t>矿物油、微生物、水</w:t>
                  </w:r>
                </w:p>
              </w:tc>
              <w:tc>
                <w:tcPr>
                  <w:tcW w:w="412" w:type="pct"/>
                  <w:vAlign w:val="center"/>
                </w:tcPr>
                <w:p w14:paraId="17382C30">
                  <w:pPr>
                    <w:adjustRightInd w:val="0"/>
                    <w:snapToGrid w:val="0"/>
                    <w:jc w:val="center"/>
                    <w:rPr>
                      <w:rFonts w:cs="宋体"/>
                      <w:color w:val="auto"/>
                      <w:szCs w:val="21"/>
                    </w:rPr>
                  </w:pPr>
                </w:p>
              </w:tc>
              <w:tc>
                <w:tcPr>
                  <w:tcW w:w="431" w:type="pct"/>
                  <w:vAlign w:val="center"/>
                </w:tcPr>
                <w:p w14:paraId="17382C31">
                  <w:pPr>
                    <w:adjustRightInd w:val="0"/>
                    <w:snapToGrid w:val="0"/>
                    <w:jc w:val="center"/>
                    <w:rPr>
                      <w:rFonts w:cs="宋体"/>
                      <w:color w:val="auto"/>
                      <w:szCs w:val="21"/>
                    </w:rPr>
                  </w:pPr>
                </w:p>
              </w:tc>
              <w:tc>
                <w:tcPr>
                  <w:tcW w:w="405" w:type="pct"/>
                  <w:vAlign w:val="center"/>
                </w:tcPr>
                <w:p w14:paraId="17382C32">
                  <w:pPr>
                    <w:adjustRightInd w:val="0"/>
                    <w:snapToGrid w:val="0"/>
                    <w:jc w:val="center"/>
                    <w:rPr>
                      <w:rFonts w:cs="宋体"/>
                      <w:color w:val="auto"/>
                      <w:szCs w:val="21"/>
                    </w:rPr>
                  </w:pPr>
                  <w:r>
                    <w:rPr>
                      <w:color w:val="auto"/>
                      <w:szCs w:val="21"/>
                    </w:rPr>
                    <w:t>√</w:t>
                  </w:r>
                </w:p>
              </w:tc>
              <w:tc>
                <w:tcPr>
                  <w:tcW w:w="376" w:type="pct"/>
                  <w:vAlign w:val="center"/>
                </w:tcPr>
                <w:p w14:paraId="17382C33">
                  <w:pPr>
                    <w:adjustRightInd w:val="0"/>
                    <w:snapToGrid w:val="0"/>
                    <w:jc w:val="center"/>
                    <w:rPr>
                      <w:rFonts w:cs="宋体"/>
                      <w:color w:val="auto"/>
                      <w:szCs w:val="21"/>
                    </w:rPr>
                  </w:pPr>
                </w:p>
              </w:tc>
              <w:tc>
                <w:tcPr>
                  <w:tcW w:w="458" w:type="pct"/>
                  <w:vMerge w:val="continue"/>
                  <w:vAlign w:val="center"/>
                </w:tcPr>
                <w:p w14:paraId="17382C34">
                  <w:pPr>
                    <w:adjustRightInd w:val="0"/>
                    <w:snapToGrid w:val="0"/>
                    <w:jc w:val="center"/>
                    <w:rPr>
                      <w:color w:val="auto"/>
                      <w:szCs w:val="21"/>
                    </w:rPr>
                  </w:pPr>
                </w:p>
              </w:tc>
            </w:tr>
            <w:tr w14:paraId="17382C4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C36">
                  <w:pPr>
                    <w:adjustRightInd w:val="0"/>
                    <w:snapToGrid w:val="0"/>
                    <w:jc w:val="center"/>
                    <w:rPr>
                      <w:rFonts w:cs="宋体"/>
                      <w:color w:val="auto"/>
                      <w:szCs w:val="21"/>
                    </w:rPr>
                  </w:pPr>
                  <w:r>
                    <w:rPr>
                      <w:rFonts w:hint="eastAsia" w:cs="宋体"/>
                      <w:color w:val="auto"/>
                      <w:szCs w:val="21"/>
                    </w:rPr>
                    <w:t>12</w:t>
                  </w:r>
                </w:p>
              </w:tc>
              <w:tc>
                <w:tcPr>
                  <w:tcW w:w="953" w:type="pct"/>
                  <w:vAlign w:val="center"/>
                </w:tcPr>
                <w:p w14:paraId="17382C37">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废机油</w:t>
                  </w:r>
                </w:p>
              </w:tc>
              <w:tc>
                <w:tcPr>
                  <w:tcW w:w="564" w:type="pct"/>
                  <w:vAlign w:val="center"/>
                </w:tcPr>
                <w:p w14:paraId="17382C38">
                  <w:pPr>
                    <w:adjustRightInd w:val="0"/>
                    <w:snapToGrid w:val="0"/>
                    <w:jc w:val="center"/>
                    <w:rPr>
                      <w:rFonts w:cs="宋体"/>
                      <w:color w:val="auto"/>
                      <w:szCs w:val="21"/>
                    </w:rPr>
                  </w:pPr>
                  <w:r>
                    <w:rPr>
                      <w:rFonts w:hint="eastAsia" w:cs="宋体"/>
                      <w:color w:val="auto"/>
                      <w:szCs w:val="21"/>
                    </w:rPr>
                    <w:t>设备维护</w:t>
                  </w:r>
                </w:p>
              </w:tc>
              <w:tc>
                <w:tcPr>
                  <w:tcW w:w="321" w:type="pct"/>
                  <w:vAlign w:val="center"/>
                </w:tcPr>
                <w:p w14:paraId="17382C39">
                  <w:pPr>
                    <w:adjustRightInd w:val="0"/>
                    <w:snapToGrid w:val="0"/>
                    <w:jc w:val="center"/>
                    <w:rPr>
                      <w:rFonts w:cs="宋体"/>
                      <w:color w:val="auto"/>
                      <w:szCs w:val="21"/>
                    </w:rPr>
                  </w:pPr>
                  <w:r>
                    <w:rPr>
                      <w:rFonts w:hint="eastAsia" w:cs="宋体"/>
                      <w:color w:val="auto"/>
                      <w:szCs w:val="21"/>
                    </w:rPr>
                    <w:t>液</w:t>
                  </w:r>
                </w:p>
              </w:tc>
              <w:tc>
                <w:tcPr>
                  <w:tcW w:w="856" w:type="pct"/>
                  <w:shd w:val="clear" w:color="auto" w:fill="auto"/>
                  <w:vAlign w:val="center"/>
                </w:tcPr>
                <w:p w14:paraId="17382C3A">
                  <w:pPr>
                    <w:adjustRightInd w:val="0"/>
                    <w:snapToGrid w:val="0"/>
                    <w:jc w:val="center"/>
                    <w:rPr>
                      <w:color w:val="auto"/>
                      <w:szCs w:val="21"/>
                    </w:rPr>
                  </w:pPr>
                  <w:r>
                    <w:rPr>
                      <w:rFonts w:hint="eastAsia"/>
                      <w:color w:val="auto"/>
                      <w:szCs w:val="21"/>
                    </w:rPr>
                    <w:t>机油</w:t>
                  </w:r>
                </w:p>
              </w:tc>
              <w:tc>
                <w:tcPr>
                  <w:tcW w:w="412" w:type="pct"/>
                  <w:shd w:val="clear" w:color="auto" w:fill="auto"/>
                  <w:vAlign w:val="center"/>
                </w:tcPr>
                <w:p w14:paraId="17382C3B">
                  <w:pPr>
                    <w:adjustRightInd w:val="0"/>
                    <w:snapToGrid w:val="0"/>
                    <w:jc w:val="center"/>
                    <w:rPr>
                      <w:color w:val="auto"/>
                      <w:szCs w:val="21"/>
                    </w:rPr>
                  </w:pPr>
                  <w:r>
                    <w:rPr>
                      <w:rFonts w:hint="eastAsia" w:cs="宋体"/>
                      <w:color w:val="auto"/>
                      <w:szCs w:val="21"/>
                    </w:rPr>
                    <w:t>√</w:t>
                  </w:r>
                </w:p>
              </w:tc>
              <w:tc>
                <w:tcPr>
                  <w:tcW w:w="431" w:type="pct"/>
                  <w:vAlign w:val="center"/>
                </w:tcPr>
                <w:p w14:paraId="17382C3C">
                  <w:pPr>
                    <w:adjustRightInd w:val="0"/>
                    <w:snapToGrid w:val="0"/>
                    <w:jc w:val="center"/>
                    <w:rPr>
                      <w:rFonts w:cs="宋体"/>
                      <w:color w:val="auto"/>
                      <w:szCs w:val="21"/>
                    </w:rPr>
                  </w:pPr>
                </w:p>
              </w:tc>
              <w:tc>
                <w:tcPr>
                  <w:tcW w:w="405" w:type="pct"/>
                  <w:vAlign w:val="center"/>
                </w:tcPr>
                <w:p w14:paraId="17382C3D">
                  <w:pPr>
                    <w:adjustRightInd w:val="0"/>
                    <w:snapToGrid w:val="0"/>
                    <w:jc w:val="center"/>
                    <w:rPr>
                      <w:rFonts w:cs="宋体"/>
                      <w:color w:val="auto"/>
                      <w:szCs w:val="21"/>
                    </w:rPr>
                  </w:pPr>
                </w:p>
              </w:tc>
              <w:tc>
                <w:tcPr>
                  <w:tcW w:w="376" w:type="pct"/>
                  <w:vAlign w:val="center"/>
                </w:tcPr>
                <w:p w14:paraId="17382C3E">
                  <w:pPr>
                    <w:adjustRightInd w:val="0"/>
                    <w:snapToGrid w:val="0"/>
                    <w:jc w:val="center"/>
                    <w:rPr>
                      <w:rFonts w:cs="宋体"/>
                      <w:color w:val="auto"/>
                      <w:szCs w:val="21"/>
                    </w:rPr>
                  </w:pPr>
                </w:p>
              </w:tc>
              <w:tc>
                <w:tcPr>
                  <w:tcW w:w="458" w:type="pct"/>
                  <w:vMerge w:val="continue"/>
                  <w:vAlign w:val="center"/>
                </w:tcPr>
                <w:p w14:paraId="17382C3F">
                  <w:pPr>
                    <w:adjustRightInd w:val="0"/>
                    <w:snapToGrid w:val="0"/>
                    <w:jc w:val="center"/>
                    <w:rPr>
                      <w:color w:val="auto"/>
                      <w:szCs w:val="21"/>
                    </w:rPr>
                  </w:pPr>
                </w:p>
              </w:tc>
            </w:tr>
            <w:tr w14:paraId="17382C4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C41">
                  <w:pPr>
                    <w:adjustRightInd w:val="0"/>
                    <w:snapToGrid w:val="0"/>
                    <w:jc w:val="center"/>
                    <w:rPr>
                      <w:rFonts w:cs="宋体"/>
                      <w:color w:val="auto"/>
                      <w:szCs w:val="21"/>
                    </w:rPr>
                  </w:pPr>
                  <w:r>
                    <w:rPr>
                      <w:rFonts w:hint="eastAsia" w:cs="宋体"/>
                      <w:color w:val="auto"/>
                      <w:szCs w:val="21"/>
                    </w:rPr>
                    <w:t>13</w:t>
                  </w:r>
                </w:p>
              </w:tc>
              <w:tc>
                <w:tcPr>
                  <w:tcW w:w="953" w:type="pct"/>
                  <w:vAlign w:val="center"/>
                </w:tcPr>
                <w:p w14:paraId="17382C42">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废机油桶</w:t>
                  </w:r>
                </w:p>
              </w:tc>
              <w:tc>
                <w:tcPr>
                  <w:tcW w:w="564" w:type="pct"/>
                  <w:vAlign w:val="center"/>
                </w:tcPr>
                <w:p w14:paraId="17382C43">
                  <w:pPr>
                    <w:adjustRightInd w:val="0"/>
                    <w:snapToGrid w:val="0"/>
                    <w:jc w:val="center"/>
                    <w:rPr>
                      <w:rFonts w:cs="宋体"/>
                      <w:color w:val="auto"/>
                      <w:szCs w:val="21"/>
                    </w:rPr>
                  </w:pPr>
                  <w:r>
                    <w:rPr>
                      <w:rFonts w:hint="eastAsia" w:cs="宋体"/>
                      <w:color w:val="auto"/>
                      <w:szCs w:val="21"/>
                    </w:rPr>
                    <w:t>机油使用</w:t>
                  </w:r>
                </w:p>
              </w:tc>
              <w:tc>
                <w:tcPr>
                  <w:tcW w:w="321" w:type="pct"/>
                  <w:vAlign w:val="center"/>
                </w:tcPr>
                <w:p w14:paraId="17382C44">
                  <w:pPr>
                    <w:adjustRightInd w:val="0"/>
                    <w:snapToGrid w:val="0"/>
                    <w:jc w:val="center"/>
                    <w:rPr>
                      <w:rFonts w:cs="宋体"/>
                      <w:color w:val="auto"/>
                      <w:szCs w:val="21"/>
                    </w:rPr>
                  </w:pPr>
                  <w:r>
                    <w:rPr>
                      <w:rFonts w:hint="eastAsia" w:cs="宋体"/>
                      <w:color w:val="auto"/>
                      <w:szCs w:val="21"/>
                    </w:rPr>
                    <w:t>固</w:t>
                  </w:r>
                </w:p>
              </w:tc>
              <w:tc>
                <w:tcPr>
                  <w:tcW w:w="856" w:type="pct"/>
                  <w:vAlign w:val="center"/>
                </w:tcPr>
                <w:p w14:paraId="17382C45">
                  <w:pPr>
                    <w:adjustRightInd w:val="0"/>
                    <w:snapToGrid w:val="0"/>
                    <w:jc w:val="center"/>
                    <w:rPr>
                      <w:rFonts w:cs="宋体"/>
                      <w:color w:val="auto"/>
                      <w:szCs w:val="21"/>
                    </w:rPr>
                  </w:pPr>
                  <w:r>
                    <w:rPr>
                      <w:rFonts w:hint="eastAsia" w:cs="宋体"/>
                      <w:color w:val="auto"/>
                      <w:szCs w:val="21"/>
                    </w:rPr>
                    <w:t>机油</w:t>
                  </w:r>
                </w:p>
              </w:tc>
              <w:tc>
                <w:tcPr>
                  <w:tcW w:w="412" w:type="pct"/>
                  <w:vAlign w:val="center"/>
                </w:tcPr>
                <w:p w14:paraId="17382C46">
                  <w:pPr>
                    <w:adjustRightInd w:val="0"/>
                    <w:snapToGrid w:val="0"/>
                    <w:jc w:val="center"/>
                    <w:rPr>
                      <w:rFonts w:cs="宋体"/>
                      <w:color w:val="auto"/>
                      <w:szCs w:val="21"/>
                    </w:rPr>
                  </w:pPr>
                  <w:r>
                    <w:rPr>
                      <w:rFonts w:hint="eastAsia" w:cs="宋体"/>
                      <w:color w:val="auto"/>
                      <w:szCs w:val="21"/>
                    </w:rPr>
                    <w:t>√</w:t>
                  </w:r>
                </w:p>
              </w:tc>
              <w:tc>
                <w:tcPr>
                  <w:tcW w:w="431" w:type="pct"/>
                  <w:vAlign w:val="center"/>
                </w:tcPr>
                <w:p w14:paraId="17382C47">
                  <w:pPr>
                    <w:adjustRightInd w:val="0"/>
                    <w:snapToGrid w:val="0"/>
                    <w:jc w:val="center"/>
                    <w:rPr>
                      <w:rFonts w:cs="宋体"/>
                      <w:color w:val="auto"/>
                      <w:szCs w:val="21"/>
                    </w:rPr>
                  </w:pPr>
                </w:p>
              </w:tc>
              <w:tc>
                <w:tcPr>
                  <w:tcW w:w="405" w:type="pct"/>
                  <w:vAlign w:val="center"/>
                </w:tcPr>
                <w:p w14:paraId="17382C48">
                  <w:pPr>
                    <w:adjustRightInd w:val="0"/>
                    <w:snapToGrid w:val="0"/>
                    <w:jc w:val="center"/>
                    <w:rPr>
                      <w:rFonts w:cs="宋体"/>
                      <w:color w:val="auto"/>
                      <w:szCs w:val="21"/>
                    </w:rPr>
                  </w:pPr>
                </w:p>
              </w:tc>
              <w:tc>
                <w:tcPr>
                  <w:tcW w:w="376" w:type="pct"/>
                  <w:vAlign w:val="center"/>
                </w:tcPr>
                <w:p w14:paraId="17382C49">
                  <w:pPr>
                    <w:adjustRightInd w:val="0"/>
                    <w:snapToGrid w:val="0"/>
                    <w:jc w:val="center"/>
                    <w:rPr>
                      <w:rFonts w:cs="宋体"/>
                      <w:color w:val="auto"/>
                      <w:szCs w:val="21"/>
                    </w:rPr>
                  </w:pPr>
                </w:p>
              </w:tc>
              <w:tc>
                <w:tcPr>
                  <w:tcW w:w="458" w:type="pct"/>
                  <w:vMerge w:val="continue"/>
                  <w:vAlign w:val="center"/>
                </w:tcPr>
                <w:p w14:paraId="17382C4A">
                  <w:pPr>
                    <w:adjustRightInd w:val="0"/>
                    <w:snapToGrid w:val="0"/>
                    <w:jc w:val="center"/>
                    <w:rPr>
                      <w:color w:val="auto"/>
                      <w:szCs w:val="21"/>
                    </w:rPr>
                  </w:pPr>
                </w:p>
              </w:tc>
            </w:tr>
            <w:tr w14:paraId="17382C5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C4C">
                  <w:pPr>
                    <w:adjustRightInd w:val="0"/>
                    <w:snapToGrid w:val="0"/>
                    <w:jc w:val="center"/>
                    <w:rPr>
                      <w:rFonts w:cs="宋体"/>
                      <w:color w:val="auto"/>
                      <w:szCs w:val="21"/>
                    </w:rPr>
                  </w:pPr>
                  <w:r>
                    <w:rPr>
                      <w:rFonts w:hint="eastAsia" w:cs="宋体"/>
                      <w:color w:val="auto"/>
                      <w:szCs w:val="21"/>
                    </w:rPr>
                    <w:t>14</w:t>
                  </w:r>
                </w:p>
              </w:tc>
              <w:tc>
                <w:tcPr>
                  <w:tcW w:w="953" w:type="pct"/>
                  <w:shd w:val="clear" w:color="auto" w:fill="auto"/>
                  <w:vAlign w:val="center"/>
                </w:tcPr>
                <w:p w14:paraId="17382C4D">
                  <w:pPr>
                    <w:pStyle w:val="107"/>
                    <w:spacing w:line="240" w:lineRule="auto"/>
                    <w:ind w:firstLine="0" w:firstLineChars="0"/>
                    <w:jc w:val="center"/>
                    <w:rPr>
                      <w:rFonts w:ascii="Times New Roman" w:hAnsi="Times New Roman"/>
                      <w:b w:val="0"/>
                      <w:color w:val="auto"/>
                      <w:sz w:val="21"/>
                      <w:szCs w:val="21"/>
                    </w:rPr>
                  </w:pPr>
                  <w:r>
                    <w:rPr>
                      <w:rFonts w:ascii="Times New Roman" w:hAnsi="Times New Roman"/>
                      <w:b w:val="0"/>
                      <w:bCs/>
                      <w:color w:val="auto"/>
                      <w:sz w:val="21"/>
                      <w:szCs w:val="21"/>
                    </w:rPr>
                    <w:t>废弃的含油抹布、劳保用品</w:t>
                  </w:r>
                </w:p>
              </w:tc>
              <w:tc>
                <w:tcPr>
                  <w:tcW w:w="564" w:type="pct"/>
                  <w:shd w:val="clear" w:color="auto" w:fill="auto"/>
                  <w:vAlign w:val="center"/>
                </w:tcPr>
                <w:p w14:paraId="17382C4E">
                  <w:pPr>
                    <w:adjustRightInd w:val="0"/>
                    <w:snapToGrid w:val="0"/>
                    <w:jc w:val="center"/>
                    <w:rPr>
                      <w:color w:val="auto"/>
                      <w:szCs w:val="21"/>
                    </w:rPr>
                  </w:pPr>
                  <w:r>
                    <w:rPr>
                      <w:rFonts w:hint="eastAsia"/>
                      <w:color w:val="auto"/>
                      <w:szCs w:val="21"/>
                    </w:rPr>
                    <w:t>设备维护</w:t>
                  </w:r>
                </w:p>
              </w:tc>
              <w:tc>
                <w:tcPr>
                  <w:tcW w:w="321" w:type="pct"/>
                  <w:shd w:val="clear" w:color="auto" w:fill="auto"/>
                  <w:vAlign w:val="center"/>
                </w:tcPr>
                <w:p w14:paraId="17382C4F">
                  <w:pPr>
                    <w:adjustRightInd w:val="0"/>
                    <w:snapToGrid w:val="0"/>
                    <w:jc w:val="center"/>
                    <w:rPr>
                      <w:color w:val="auto"/>
                      <w:szCs w:val="21"/>
                    </w:rPr>
                  </w:pPr>
                  <w:r>
                    <w:rPr>
                      <w:rFonts w:hint="eastAsia"/>
                      <w:color w:val="auto"/>
                      <w:szCs w:val="21"/>
                    </w:rPr>
                    <w:t>固</w:t>
                  </w:r>
                </w:p>
              </w:tc>
              <w:tc>
                <w:tcPr>
                  <w:tcW w:w="856" w:type="pct"/>
                  <w:shd w:val="clear" w:color="auto" w:fill="auto"/>
                  <w:vAlign w:val="center"/>
                </w:tcPr>
                <w:p w14:paraId="17382C50">
                  <w:pPr>
                    <w:adjustRightInd w:val="0"/>
                    <w:snapToGrid w:val="0"/>
                    <w:jc w:val="center"/>
                    <w:rPr>
                      <w:color w:val="auto"/>
                      <w:szCs w:val="21"/>
                    </w:rPr>
                  </w:pPr>
                  <w:r>
                    <w:rPr>
                      <w:rFonts w:hint="eastAsia"/>
                      <w:color w:val="auto"/>
                      <w:szCs w:val="21"/>
                    </w:rPr>
                    <w:t>布、矿物油</w:t>
                  </w:r>
                </w:p>
              </w:tc>
              <w:tc>
                <w:tcPr>
                  <w:tcW w:w="412" w:type="pct"/>
                  <w:shd w:val="clear" w:color="auto" w:fill="auto"/>
                  <w:vAlign w:val="center"/>
                </w:tcPr>
                <w:p w14:paraId="17382C51">
                  <w:pPr>
                    <w:adjustRightInd w:val="0"/>
                    <w:snapToGrid w:val="0"/>
                    <w:jc w:val="center"/>
                    <w:rPr>
                      <w:color w:val="auto"/>
                      <w:szCs w:val="21"/>
                    </w:rPr>
                  </w:pPr>
                  <w:r>
                    <w:rPr>
                      <w:color w:val="auto"/>
                      <w:szCs w:val="21"/>
                    </w:rPr>
                    <w:t>√</w:t>
                  </w:r>
                </w:p>
              </w:tc>
              <w:tc>
                <w:tcPr>
                  <w:tcW w:w="431" w:type="pct"/>
                  <w:vAlign w:val="center"/>
                </w:tcPr>
                <w:p w14:paraId="17382C52">
                  <w:pPr>
                    <w:adjustRightInd w:val="0"/>
                    <w:snapToGrid w:val="0"/>
                    <w:jc w:val="center"/>
                    <w:rPr>
                      <w:rFonts w:cs="宋体"/>
                      <w:color w:val="auto"/>
                      <w:szCs w:val="21"/>
                    </w:rPr>
                  </w:pPr>
                </w:p>
              </w:tc>
              <w:tc>
                <w:tcPr>
                  <w:tcW w:w="405" w:type="pct"/>
                  <w:vAlign w:val="center"/>
                </w:tcPr>
                <w:p w14:paraId="17382C53">
                  <w:pPr>
                    <w:adjustRightInd w:val="0"/>
                    <w:snapToGrid w:val="0"/>
                    <w:jc w:val="center"/>
                    <w:rPr>
                      <w:rFonts w:cs="宋体"/>
                      <w:color w:val="auto"/>
                      <w:szCs w:val="21"/>
                    </w:rPr>
                  </w:pPr>
                </w:p>
              </w:tc>
              <w:tc>
                <w:tcPr>
                  <w:tcW w:w="376" w:type="pct"/>
                  <w:vAlign w:val="center"/>
                </w:tcPr>
                <w:p w14:paraId="17382C54">
                  <w:pPr>
                    <w:adjustRightInd w:val="0"/>
                    <w:snapToGrid w:val="0"/>
                    <w:jc w:val="center"/>
                    <w:rPr>
                      <w:rFonts w:cs="宋体"/>
                      <w:color w:val="auto"/>
                      <w:szCs w:val="21"/>
                    </w:rPr>
                  </w:pPr>
                </w:p>
              </w:tc>
              <w:tc>
                <w:tcPr>
                  <w:tcW w:w="458" w:type="pct"/>
                  <w:vMerge w:val="continue"/>
                  <w:vAlign w:val="center"/>
                </w:tcPr>
                <w:p w14:paraId="17382C55">
                  <w:pPr>
                    <w:adjustRightInd w:val="0"/>
                    <w:snapToGrid w:val="0"/>
                    <w:jc w:val="center"/>
                    <w:rPr>
                      <w:color w:val="auto"/>
                      <w:szCs w:val="21"/>
                    </w:rPr>
                  </w:pPr>
                </w:p>
              </w:tc>
            </w:tr>
            <w:tr w14:paraId="17382C6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C57">
                  <w:pPr>
                    <w:adjustRightInd w:val="0"/>
                    <w:snapToGrid w:val="0"/>
                    <w:jc w:val="center"/>
                    <w:rPr>
                      <w:rFonts w:cs="宋体"/>
                      <w:color w:val="auto"/>
                      <w:szCs w:val="21"/>
                    </w:rPr>
                  </w:pPr>
                  <w:r>
                    <w:rPr>
                      <w:rFonts w:hint="eastAsia" w:cs="宋体"/>
                      <w:color w:val="auto"/>
                      <w:szCs w:val="21"/>
                    </w:rPr>
                    <w:t>15</w:t>
                  </w:r>
                </w:p>
              </w:tc>
              <w:tc>
                <w:tcPr>
                  <w:tcW w:w="953" w:type="pct"/>
                  <w:vAlign w:val="center"/>
                </w:tcPr>
                <w:p w14:paraId="17382C58">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布袋收集粉尘</w:t>
                  </w:r>
                </w:p>
              </w:tc>
              <w:tc>
                <w:tcPr>
                  <w:tcW w:w="564" w:type="pct"/>
                  <w:vAlign w:val="center"/>
                </w:tcPr>
                <w:p w14:paraId="17382C59">
                  <w:pPr>
                    <w:adjustRightInd w:val="0"/>
                    <w:snapToGrid w:val="0"/>
                    <w:jc w:val="center"/>
                    <w:rPr>
                      <w:rFonts w:cs="宋体"/>
                      <w:color w:val="auto"/>
                      <w:szCs w:val="21"/>
                    </w:rPr>
                  </w:pPr>
                  <w:r>
                    <w:rPr>
                      <w:rFonts w:hint="eastAsia" w:cs="宋体"/>
                      <w:color w:val="auto"/>
                      <w:szCs w:val="21"/>
                    </w:rPr>
                    <w:t>废气治理</w:t>
                  </w:r>
                </w:p>
              </w:tc>
              <w:tc>
                <w:tcPr>
                  <w:tcW w:w="321" w:type="pct"/>
                  <w:vAlign w:val="center"/>
                </w:tcPr>
                <w:p w14:paraId="17382C5A">
                  <w:pPr>
                    <w:adjustRightInd w:val="0"/>
                    <w:snapToGrid w:val="0"/>
                    <w:jc w:val="center"/>
                    <w:rPr>
                      <w:rFonts w:cs="宋体"/>
                      <w:color w:val="auto"/>
                      <w:szCs w:val="21"/>
                    </w:rPr>
                  </w:pPr>
                  <w:r>
                    <w:rPr>
                      <w:rFonts w:hint="eastAsia" w:cs="宋体"/>
                      <w:color w:val="auto"/>
                      <w:szCs w:val="21"/>
                    </w:rPr>
                    <w:t>固</w:t>
                  </w:r>
                </w:p>
              </w:tc>
              <w:tc>
                <w:tcPr>
                  <w:tcW w:w="856" w:type="pct"/>
                  <w:vAlign w:val="center"/>
                </w:tcPr>
                <w:p w14:paraId="17382C5B">
                  <w:pPr>
                    <w:adjustRightInd w:val="0"/>
                    <w:snapToGrid w:val="0"/>
                    <w:jc w:val="center"/>
                    <w:rPr>
                      <w:rFonts w:cs="宋体"/>
                      <w:color w:val="auto"/>
                      <w:szCs w:val="21"/>
                    </w:rPr>
                  </w:pPr>
                  <w:r>
                    <w:rPr>
                      <w:rFonts w:hint="eastAsia" w:cs="宋体"/>
                      <w:color w:val="auto"/>
                      <w:szCs w:val="21"/>
                    </w:rPr>
                    <w:t>粉尘</w:t>
                  </w:r>
                </w:p>
              </w:tc>
              <w:tc>
                <w:tcPr>
                  <w:tcW w:w="412" w:type="pct"/>
                  <w:vAlign w:val="center"/>
                </w:tcPr>
                <w:p w14:paraId="17382C5C">
                  <w:pPr>
                    <w:adjustRightInd w:val="0"/>
                    <w:snapToGrid w:val="0"/>
                    <w:jc w:val="center"/>
                    <w:rPr>
                      <w:rFonts w:cs="宋体"/>
                      <w:color w:val="auto"/>
                      <w:szCs w:val="21"/>
                    </w:rPr>
                  </w:pPr>
                </w:p>
              </w:tc>
              <w:tc>
                <w:tcPr>
                  <w:tcW w:w="431" w:type="pct"/>
                  <w:vAlign w:val="center"/>
                </w:tcPr>
                <w:p w14:paraId="17382C5D">
                  <w:pPr>
                    <w:adjustRightInd w:val="0"/>
                    <w:snapToGrid w:val="0"/>
                    <w:jc w:val="center"/>
                    <w:rPr>
                      <w:rFonts w:cs="宋体"/>
                      <w:color w:val="auto"/>
                      <w:szCs w:val="21"/>
                    </w:rPr>
                  </w:pPr>
                </w:p>
              </w:tc>
              <w:tc>
                <w:tcPr>
                  <w:tcW w:w="405" w:type="pct"/>
                  <w:vAlign w:val="center"/>
                </w:tcPr>
                <w:p w14:paraId="17382C5E">
                  <w:pPr>
                    <w:adjustRightInd w:val="0"/>
                    <w:snapToGrid w:val="0"/>
                    <w:jc w:val="center"/>
                    <w:rPr>
                      <w:rFonts w:cs="宋体"/>
                      <w:color w:val="auto"/>
                      <w:szCs w:val="21"/>
                    </w:rPr>
                  </w:pPr>
                  <w:r>
                    <w:rPr>
                      <w:color w:val="auto"/>
                      <w:szCs w:val="21"/>
                    </w:rPr>
                    <w:t>√</w:t>
                  </w:r>
                </w:p>
              </w:tc>
              <w:tc>
                <w:tcPr>
                  <w:tcW w:w="376" w:type="pct"/>
                  <w:vAlign w:val="center"/>
                </w:tcPr>
                <w:p w14:paraId="17382C5F">
                  <w:pPr>
                    <w:adjustRightInd w:val="0"/>
                    <w:snapToGrid w:val="0"/>
                    <w:jc w:val="center"/>
                    <w:rPr>
                      <w:rFonts w:cs="宋体"/>
                      <w:color w:val="auto"/>
                      <w:szCs w:val="21"/>
                    </w:rPr>
                  </w:pPr>
                </w:p>
              </w:tc>
              <w:tc>
                <w:tcPr>
                  <w:tcW w:w="458" w:type="pct"/>
                  <w:vMerge w:val="continue"/>
                  <w:vAlign w:val="center"/>
                </w:tcPr>
                <w:p w14:paraId="17382C60">
                  <w:pPr>
                    <w:adjustRightInd w:val="0"/>
                    <w:snapToGrid w:val="0"/>
                    <w:jc w:val="center"/>
                    <w:rPr>
                      <w:color w:val="auto"/>
                      <w:szCs w:val="21"/>
                    </w:rPr>
                  </w:pPr>
                </w:p>
              </w:tc>
            </w:tr>
            <w:tr w14:paraId="17382C6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vAlign w:val="center"/>
                </w:tcPr>
                <w:p w14:paraId="17382C62">
                  <w:pPr>
                    <w:adjustRightInd w:val="0"/>
                    <w:snapToGrid w:val="0"/>
                    <w:jc w:val="center"/>
                    <w:rPr>
                      <w:rFonts w:cs="宋体"/>
                      <w:color w:val="auto"/>
                      <w:szCs w:val="21"/>
                    </w:rPr>
                  </w:pPr>
                  <w:r>
                    <w:rPr>
                      <w:rFonts w:hint="eastAsia" w:cs="宋体"/>
                      <w:color w:val="auto"/>
                      <w:szCs w:val="21"/>
                    </w:rPr>
                    <w:t>16</w:t>
                  </w:r>
                </w:p>
              </w:tc>
              <w:tc>
                <w:tcPr>
                  <w:tcW w:w="953" w:type="pct"/>
                  <w:vAlign w:val="center"/>
                </w:tcPr>
                <w:p w14:paraId="17382C63">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废布袋、废滤筒</w:t>
                  </w:r>
                </w:p>
              </w:tc>
              <w:tc>
                <w:tcPr>
                  <w:tcW w:w="564" w:type="pct"/>
                  <w:vAlign w:val="center"/>
                </w:tcPr>
                <w:p w14:paraId="17382C64">
                  <w:pPr>
                    <w:adjustRightInd w:val="0"/>
                    <w:snapToGrid w:val="0"/>
                    <w:jc w:val="center"/>
                    <w:rPr>
                      <w:rFonts w:cs="宋体"/>
                      <w:color w:val="auto"/>
                      <w:szCs w:val="21"/>
                    </w:rPr>
                  </w:pPr>
                  <w:r>
                    <w:rPr>
                      <w:rFonts w:hint="eastAsia" w:cs="宋体"/>
                      <w:color w:val="auto"/>
                      <w:szCs w:val="21"/>
                    </w:rPr>
                    <w:t>废气治理</w:t>
                  </w:r>
                </w:p>
              </w:tc>
              <w:tc>
                <w:tcPr>
                  <w:tcW w:w="321" w:type="pct"/>
                  <w:vAlign w:val="center"/>
                </w:tcPr>
                <w:p w14:paraId="17382C65">
                  <w:pPr>
                    <w:adjustRightInd w:val="0"/>
                    <w:snapToGrid w:val="0"/>
                    <w:jc w:val="center"/>
                    <w:rPr>
                      <w:rFonts w:cs="宋体"/>
                      <w:color w:val="auto"/>
                      <w:szCs w:val="21"/>
                    </w:rPr>
                  </w:pPr>
                  <w:r>
                    <w:rPr>
                      <w:rFonts w:hint="eastAsia" w:cs="宋体"/>
                      <w:color w:val="auto"/>
                      <w:szCs w:val="21"/>
                    </w:rPr>
                    <w:t>固</w:t>
                  </w:r>
                </w:p>
              </w:tc>
              <w:tc>
                <w:tcPr>
                  <w:tcW w:w="856" w:type="pct"/>
                  <w:vAlign w:val="center"/>
                </w:tcPr>
                <w:p w14:paraId="17382C66">
                  <w:pPr>
                    <w:adjustRightInd w:val="0"/>
                    <w:snapToGrid w:val="0"/>
                    <w:jc w:val="center"/>
                    <w:rPr>
                      <w:rFonts w:cs="宋体"/>
                      <w:color w:val="auto"/>
                      <w:szCs w:val="21"/>
                    </w:rPr>
                  </w:pPr>
                  <w:r>
                    <w:rPr>
                      <w:rFonts w:hint="eastAsia" w:cs="宋体"/>
                      <w:color w:val="auto"/>
                      <w:szCs w:val="21"/>
                    </w:rPr>
                    <w:t>布袋、滤筒、粉尘</w:t>
                  </w:r>
                </w:p>
              </w:tc>
              <w:tc>
                <w:tcPr>
                  <w:tcW w:w="412" w:type="pct"/>
                  <w:vAlign w:val="center"/>
                </w:tcPr>
                <w:p w14:paraId="17382C67">
                  <w:pPr>
                    <w:adjustRightInd w:val="0"/>
                    <w:snapToGrid w:val="0"/>
                    <w:jc w:val="center"/>
                    <w:rPr>
                      <w:rFonts w:cs="宋体"/>
                      <w:color w:val="auto"/>
                      <w:szCs w:val="21"/>
                    </w:rPr>
                  </w:pPr>
                </w:p>
              </w:tc>
              <w:tc>
                <w:tcPr>
                  <w:tcW w:w="431" w:type="pct"/>
                  <w:vAlign w:val="center"/>
                </w:tcPr>
                <w:p w14:paraId="17382C68">
                  <w:pPr>
                    <w:adjustRightInd w:val="0"/>
                    <w:snapToGrid w:val="0"/>
                    <w:jc w:val="center"/>
                    <w:rPr>
                      <w:rFonts w:cs="宋体"/>
                      <w:color w:val="auto"/>
                      <w:szCs w:val="21"/>
                    </w:rPr>
                  </w:pPr>
                </w:p>
              </w:tc>
              <w:tc>
                <w:tcPr>
                  <w:tcW w:w="405" w:type="pct"/>
                  <w:vAlign w:val="center"/>
                </w:tcPr>
                <w:p w14:paraId="17382C69">
                  <w:pPr>
                    <w:adjustRightInd w:val="0"/>
                    <w:snapToGrid w:val="0"/>
                    <w:jc w:val="center"/>
                    <w:rPr>
                      <w:rFonts w:cs="宋体"/>
                      <w:color w:val="auto"/>
                      <w:szCs w:val="21"/>
                    </w:rPr>
                  </w:pPr>
                  <w:r>
                    <w:rPr>
                      <w:color w:val="auto"/>
                      <w:szCs w:val="21"/>
                    </w:rPr>
                    <w:t>√</w:t>
                  </w:r>
                </w:p>
              </w:tc>
              <w:tc>
                <w:tcPr>
                  <w:tcW w:w="376" w:type="pct"/>
                  <w:vAlign w:val="center"/>
                </w:tcPr>
                <w:p w14:paraId="17382C6A">
                  <w:pPr>
                    <w:adjustRightInd w:val="0"/>
                    <w:snapToGrid w:val="0"/>
                    <w:jc w:val="center"/>
                    <w:rPr>
                      <w:rFonts w:cs="宋体"/>
                      <w:color w:val="auto"/>
                      <w:szCs w:val="21"/>
                    </w:rPr>
                  </w:pPr>
                </w:p>
              </w:tc>
              <w:tc>
                <w:tcPr>
                  <w:tcW w:w="458" w:type="pct"/>
                  <w:vMerge w:val="continue"/>
                  <w:vAlign w:val="center"/>
                </w:tcPr>
                <w:p w14:paraId="17382C6B">
                  <w:pPr>
                    <w:adjustRightInd w:val="0"/>
                    <w:snapToGrid w:val="0"/>
                    <w:jc w:val="center"/>
                    <w:rPr>
                      <w:color w:val="auto"/>
                      <w:szCs w:val="21"/>
                    </w:rPr>
                  </w:pPr>
                </w:p>
              </w:tc>
            </w:tr>
            <w:tr w14:paraId="17382C7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shd w:val="clear" w:color="auto" w:fill="auto"/>
                  <w:vAlign w:val="center"/>
                </w:tcPr>
                <w:p w14:paraId="17382C6D">
                  <w:pPr>
                    <w:adjustRightInd w:val="0"/>
                    <w:snapToGrid w:val="0"/>
                    <w:jc w:val="center"/>
                    <w:rPr>
                      <w:color w:val="auto"/>
                      <w:szCs w:val="21"/>
                    </w:rPr>
                  </w:pPr>
                  <w:r>
                    <w:rPr>
                      <w:rFonts w:hint="eastAsia"/>
                      <w:color w:val="auto"/>
                      <w:szCs w:val="21"/>
                    </w:rPr>
                    <w:t>17</w:t>
                  </w:r>
                </w:p>
              </w:tc>
              <w:tc>
                <w:tcPr>
                  <w:tcW w:w="953" w:type="pct"/>
                  <w:vAlign w:val="center"/>
                </w:tcPr>
                <w:p w14:paraId="17382C6E">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生活垃圾</w:t>
                  </w:r>
                </w:p>
              </w:tc>
              <w:tc>
                <w:tcPr>
                  <w:tcW w:w="564" w:type="pct"/>
                  <w:shd w:val="clear" w:color="auto" w:fill="auto"/>
                  <w:vAlign w:val="center"/>
                </w:tcPr>
                <w:p w14:paraId="17382C6F">
                  <w:pPr>
                    <w:adjustRightInd w:val="0"/>
                    <w:snapToGrid w:val="0"/>
                    <w:jc w:val="center"/>
                    <w:rPr>
                      <w:color w:val="auto"/>
                      <w:szCs w:val="21"/>
                    </w:rPr>
                  </w:pPr>
                  <w:r>
                    <w:rPr>
                      <w:rFonts w:hint="eastAsia"/>
                      <w:color w:val="auto"/>
                      <w:szCs w:val="21"/>
                    </w:rPr>
                    <w:t>员工生活</w:t>
                  </w:r>
                </w:p>
              </w:tc>
              <w:tc>
                <w:tcPr>
                  <w:tcW w:w="321" w:type="pct"/>
                  <w:shd w:val="clear" w:color="auto" w:fill="auto"/>
                  <w:vAlign w:val="center"/>
                </w:tcPr>
                <w:p w14:paraId="17382C70">
                  <w:pPr>
                    <w:adjustRightInd w:val="0"/>
                    <w:snapToGrid w:val="0"/>
                    <w:jc w:val="center"/>
                    <w:rPr>
                      <w:color w:val="auto"/>
                      <w:szCs w:val="21"/>
                    </w:rPr>
                  </w:pPr>
                  <w:r>
                    <w:rPr>
                      <w:rFonts w:hint="eastAsia"/>
                      <w:color w:val="auto"/>
                      <w:szCs w:val="21"/>
                    </w:rPr>
                    <w:t>固</w:t>
                  </w:r>
                </w:p>
              </w:tc>
              <w:tc>
                <w:tcPr>
                  <w:tcW w:w="856" w:type="pct"/>
                  <w:shd w:val="clear" w:color="auto" w:fill="auto"/>
                  <w:vAlign w:val="center"/>
                </w:tcPr>
                <w:p w14:paraId="17382C71">
                  <w:pPr>
                    <w:adjustRightInd w:val="0"/>
                    <w:snapToGrid w:val="0"/>
                    <w:jc w:val="center"/>
                    <w:rPr>
                      <w:color w:val="auto"/>
                      <w:szCs w:val="21"/>
                    </w:rPr>
                  </w:pPr>
                  <w:r>
                    <w:rPr>
                      <w:rFonts w:hint="eastAsia"/>
                      <w:color w:val="auto"/>
                      <w:szCs w:val="21"/>
                    </w:rPr>
                    <w:t>废纸、废塑料等</w:t>
                  </w:r>
                </w:p>
              </w:tc>
              <w:tc>
                <w:tcPr>
                  <w:tcW w:w="412" w:type="pct"/>
                  <w:shd w:val="clear" w:color="auto" w:fill="auto"/>
                  <w:vAlign w:val="center"/>
                </w:tcPr>
                <w:p w14:paraId="17382C72">
                  <w:pPr>
                    <w:adjustRightInd w:val="0"/>
                    <w:snapToGrid w:val="0"/>
                    <w:jc w:val="center"/>
                    <w:rPr>
                      <w:color w:val="auto"/>
                      <w:szCs w:val="21"/>
                    </w:rPr>
                  </w:pPr>
                  <w:r>
                    <w:rPr>
                      <w:color w:val="auto"/>
                      <w:szCs w:val="21"/>
                    </w:rPr>
                    <w:t>√</w:t>
                  </w:r>
                </w:p>
              </w:tc>
              <w:tc>
                <w:tcPr>
                  <w:tcW w:w="431" w:type="pct"/>
                  <w:shd w:val="clear" w:color="auto" w:fill="auto"/>
                  <w:vAlign w:val="center"/>
                </w:tcPr>
                <w:p w14:paraId="17382C73">
                  <w:pPr>
                    <w:adjustRightInd w:val="0"/>
                    <w:snapToGrid w:val="0"/>
                    <w:jc w:val="center"/>
                    <w:rPr>
                      <w:color w:val="auto"/>
                      <w:szCs w:val="21"/>
                    </w:rPr>
                  </w:pPr>
                </w:p>
              </w:tc>
              <w:tc>
                <w:tcPr>
                  <w:tcW w:w="405" w:type="pct"/>
                  <w:shd w:val="clear" w:color="auto" w:fill="auto"/>
                  <w:vAlign w:val="center"/>
                </w:tcPr>
                <w:p w14:paraId="17382C74">
                  <w:pPr>
                    <w:adjustRightInd w:val="0"/>
                    <w:snapToGrid w:val="0"/>
                    <w:jc w:val="center"/>
                    <w:rPr>
                      <w:color w:val="auto"/>
                      <w:szCs w:val="21"/>
                    </w:rPr>
                  </w:pPr>
                </w:p>
              </w:tc>
              <w:tc>
                <w:tcPr>
                  <w:tcW w:w="376" w:type="pct"/>
                  <w:shd w:val="clear" w:color="auto" w:fill="auto"/>
                  <w:vAlign w:val="center"/>
                </w:tcPr>
                <w:p w14:paraId="17382C75">
                  <w:pPr>
                    <w:adjustRightInd w:val="0"/>
                    <w:snapToGrid w:val="0"/>
                    <w:jc w:val="center"/>
                    <w:rPr>
                      <w:color w:val="auto"/>
                      <w:szCs w:val="21"/>
                    </w:rPr>
                  </w:pPr>
                </w:p>
              </w:tc>
              <w:tc>
                <w:tcPr>
                  <w:tcW w:w="458" w:type="pct"/>
                  <w:vMerge w:val="continue"/>
                  <w:vAlign w:val="center"/>
                </w:tcPr>
                <w:p w14:paraId="17382C76">
                  <w:pPr>
                    <w:adjustRightInd w:val="0"/>
                    <w:snapToGrid w:val="0"/>
                    <w:jc w:val="center"/>
                    <w:rPr>
                      <w:color w:val="auto"/>
                      <w:szCs w:val="21"/>
                    </w:rPr>
                  </w:pPr>
                </w:p>
              </w:tc>
            </w:tr>
            <w:tr w14:paraId="17382C8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shd w:val="clear" w:color="auto" w:fill="auto"/>
                  <w:vAlign w:val="center"/>
                </w:tcPr>
                <w:p w14:paraId="17382C78">
                  <w:pPr>
                    <w:adjustRightInd w:val="0"/>
                    <w:snapToGrid w:val="0"/>
                    <w:jc w:val="center"/>
                    <w:rPr>
                      <w:color w:val="auto"/>
                      <w:szCs w:val="21"/>
                    </w:rPr>
                  </w:pPr>
                  <w:r>
                    <w:rPr>
                      <w:rFonts w:hint="eastAsia"/>
                      <w:color w:val="auto"/>
                      <w:szCs w:val="21"/>
                    </w:rPr>
                    <w:t>18</w:t>
                  </w:r>
                </w:p>
              </w:tc>
              <w:tc>
                <w:tcPr>
                  <w:tcW w:w="953" w:type="pct"/>
                  <w:vAlign w:val="center"/>
                </w:tcPr>
                <w:p w14:paraId="17382C79">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废活性炭</w:t>
                  </w:r>
                </w:p>
              </w:tc>
              <w:tc>
                <w:tcPr>
                  <w:tcW w:w="564" w:type="pct"/>
                  <w:shd w:val="clear" w:color="auto" w:fill="auto"/>
                  <w:vAlign w:val="center"/>
                </w:tcPr>
                <w:p w14:paraId="17382C7A">
                  <w:pPr>
                    <w:adjustRightInd w:val="0"/>
                    <w:snapToGrid w:val="0"/>
                    <w:jc w:val="center"/>
                    <w:rPr>
                      <w:color w:val="auto"/>
                      <w:szCs w:val="21"/>
                    </w:rPr>
                  </w:pPr>
                  <w:r>
                    <w:rPr>
                      <w:rFonts w:hint="eastAsia"/>
                      <w:color w:val="auto"/>
                      <w:szCs w:val="21"/>
                    </w:rPr>
                    <w:t>废气治理</w:t>
                  </w:r>
                </w:p>
              </w:tc>
              <w:tc>
                <w:tcPr>
                  <w:tcW w:w="321" w:type="pct"/>
                  <w:shd w:val="clear" w:color="auto" w:fill="auto"/>
                  <w:vAlign w:val="center"/>
                </w:tcPr>
                <w:p w14:paraId="17382C7B">
                  <w:pPr>
                    <w:adjustRightInd w:val="0"/>
                    <w:snapToGrid w:val="0"/>
                    <w:jc w:val="center"/>
                    <w:rPr>
                      <w:color w:val="auto"/>
                      <w:szCs w:val="21"/>
                    </w:rPr>
                  </w:pPr>
                  <w:r>
                    <w:rPr>
                      <w:rFonts w:hint="eastAsia"/>
                      <w:color w:val="auto"/>
                      <w:szCs w:val="21"/>
                    </w:rPr>
                    <w:t>固</w:t>
                  </w:r>
                </w:p>
              </w:tc>
              <w:tc>
                <w:tcPr>
                  <w:tcW w:w="856" w:type="pct"/>
                  <w:shd w:val="clear" w:color="auto" w:fill="auto"/>
                  <w:vAlign w:val="center"/>
                </w:tcPr>
                <w:p w14:paraId="17382C7C">
                  <w:pPr>
                    <w:adjustRightInd w:val="0"/>
                    <w:snapToGrid w:val="0"/>
                    <w:jc w:val="center"/>
                    <w:rPr>
                      <w:color w:val="auto"/>
                      <w:szCs w:val="21"/>
                    </w:rPr>
                  </w:pPr>
                  <w:r>
                    <w:rPr>
                      <w:rFonts w:hint="eastAsia"/>
                      <w:color w:val="auto"/>
                      <w:szCs w:val="21"/>
                    </w:rPr>
                    <w:t>活性炭等</w:t>
                  </w:r>
                </w:p>
              </w:tc>
              <w:tc>
                <w:tcPr>
                  <w:tcW w:w="412" w:type="pct"/>
                  <w:shd w:val="clear" w:color="auto" w:fill="auto"/>
                  <w:vAlign w:val="center"/>
                </w:tcPr>
                <w:p w14:paraId="17382C7D">
                  <w:pPr>
                    <w:adjustRightInd w:val="0"/>
                    <w:snapToGrid w:val="0"/>
                    <w:jc w:val="center"/>
                    <w:rPr>
                      <w:color w:val="auto"/>
                      <w:szCs w:val="21"/>
                    </w:rPr>
                  </w:pPr>
                </w:p>
              </w:tc>
              <w:tc>
                <w:tcPr>
                  <w:tcW w:w="431" w:type="pct"/>
                  <w:shd w:val="clear" w:color="auto" w:fill="auto"/>
                  <w:vAlign w:val="center"/>
                </w:tcPr>
                <w:p w14:paraId="17382C7E">
                  <w:pPr>
                    <w:adjustRightInd w:val="0"/>
                    <w:snapToGrid w:val="0"/>
                    <w:jc w:val="center"/>
                    <w:rPr>
                      <w:color w:val="auto"/>
                      <w:szCs w:val="21"/>
                    </w:rPr>
                  </w:pPr>
                </w:p>
              </w:tc>
              <w:tc>
                <w:tcPr>
                  <w:tcW w:w="405" w:type="pct"/>
                  <w:shd w:val="clear" w:color="auto" w:fill="auto"/>
                  <w:vAlign w:val="center"/>
                </w:tcPr>
                <w:p w14:paraId="17382C7F">
                  <w:pPr>
                    <w:adjustRightInd w:val="0"/>
                    <w:snapToGrid w:val="0"/>
                    <w:jc w:val="center"/>
                    <w:rPr>
                      <w:color w:val="auto"/>
                      <w:szCs w:val="21"/>
                    </w:rPr>
                  </w:pPr>
                  <w:r>
                    <w:rPr>
                      <w:color w:val="auto"/>
                      <w:szCs w:val="21"/>
                    </w:rPr>
                    <w:t>√</w:t>
                  </w:r>
                </w:p>
              </w:tc>
              <w:tc>
                <w:tcPr>
                  <w:tcW w:w="376" w:type="pct"/>
                  <w:shd w:val="clear" w:color="auto" w:fill="auto"/>
                  <w:vAlign w:val="center"/>
                </w:tcPr>
                <w:p w14:paraId="17382C80">
                  <w:pPr>
                    <w:adjustRightInd w:val="0"/>
                    <w:snapToGrid w:val="0"/>
                    <w:jc w:val="center"/>
                    <w:rPr>
                      <w:color w:val="auto"/>
                      <w:szCs w:val="21"/>
                    </w:rPr>
                  </w:pPr>
                </w:p>
              </w:tc>
              <w:tc>
                <w:tcPr>
                  <w:tcW w:w="458" w:type="pct"/>
                  <w:vMerge w:val="continue"/>
                  <w:vAlign w:val="center"/>
                </w:tcPr>
                <w:p w14:paraId="17382C81">
                  <w:pPr>
                    <w:adjustRightInd w:val="0"/>
                    <w:snapToGrid w:val="0"/>
                    <w:jc w:val="center"/>
                    <w:rPr>
                      <w:color w:val="auto"/>
                      <w:szCs w:val="21"/>
                    </w:rPr>
                  </w:pPr>
                </w:p>
              </w:tc>
            </w:tr>
            <w:tr w14:paraId="527C52A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97" w:hRule="atLeast"/>
                <w:jc w:val="center"/>
              </w:trPr>
              <w:tc>
                <w:tcPr>
                  <w:tcW w:w="218" w:type="pct"/>
                  <w:shd w:val="clear" w:color="auto" w:fill="auto"/>
                  <w:vAlign w:val="center"/>
                </w:tcPr>
                <w:p w14:paraId="1F666A5B">
                  <w:pPr>
                    <w:adjustRightInd w:val="0"/>
                    <w:snapToGrid w:val="0"/>
                    <w:jc w:val="center"/>
                    <w:rPr>
                      <w:rFonts w:hint="default" w:eastAsia="宋体"/>
                      <w:color w:val="auto"/>
                      <w:szCs w:val="21"/>
                      <w:lang w:val="en-US" w:eastAsia="zh-CN"/>
                    </w:rPr>
                  </w:pPr>
                  <w:r>
                    <w:rPr>
                      <w:rFonts w:hint="eastAsia"/>
                      <w:color w:val="auto"/>
                      <w:szCs w:val="21"/>
                      <w:lang w:val="en-US" w:eastAsia="zh-CN"/>
                    </w:rPr>
                    <w:t>19</w:t>
                  </w:r>
                </w:p>
              </w:tc>
              <w:tc>
                <w:tcPr>
                  <w:tcW w:w="953" w:type="pct"/>
                  <w:vAlign w:val="center"/>
                </w:tcPr>
                <w:p w14:paraId="7B075BBC">
                  <w:pPr>
                    <w:pStyle w:val="107"/>
                    <w:spacing w:line="240" w:lineRule="auto"/>
                    <w:ind w:firstLine="0" w:firstLineChars="0"/>
                    <w:jc w:val="center"/>
                    <w:rPr>
                      <w:rFonts w:hint="eastAsia" w:ascii="Times New Roman" w:hAnsi="Times New Roman" w:eastAsia="宋体"/>
                      <w:b w:val="0"/>
                      <w:color w:val="auto"/>
                      <w:sz w:val="21"/>
                      <w:szCs w:val="21"/>
                      <w:lang w:val="en-US" w:eastAsia="zh-CN"/>
                    </w:rPr>
                  </w:pPr>
                  <w:r>
                    <w:rPr>
                      <w:rFonts w:hint="eastAsia" w:ascii="Times New Roman" w:hAnsi="Times New Roman"/>
                      <w:b w:val="0"/>
                      <w:color w:val="auto"/>
                      <w:sz w:val="21"/>
                      <w:szCs w:val="21"/>
                      <w:lang w:val="en-US" w:eastAsia="zh-CN"/>
                    </w:rPr>
                    <w:t>不合格品</w:t>
                  </w:r>
                </w:p>
              </w:tc>
              <w:tc>
                <w:tcPr>
                  <w:tcW w:w="564" w:type="pct"/>
                  <w:shd w:val="clear" w:color="auto" w:fill="auto"/>
                  <w:vAlign w:val="center"/>
                </w:tcPr>
                <w:p w14:paraId="3A389A71">
                  <w:pPr>
                    <w:adjustRightInd w:val="0"/>
                    <w:snapToGrid w:val="0"/>
                    <w:jc w:val="center"/>
                    <w:rPr>
                      <w:rFonts w:hint="eastAsia" w:eastAsia="宋体"/>
                      <w:color w:val="auto"/>
                      <w:szCs w:val="21"/>
                      <w:lang w:val="en-US" w:eastAsia="zh-CN"/>
                    </w:rPr>
                  </w:pPr>
                  <w:r>
                    <w:rPr>
                      <w:rFonts w:hint="eastAsia"/>
                      <w:color w:val="auto"/>
                      <w:szCs w:val="21"/>
                      <w:lang w:val="en-US" w:eastAsia="zh-CN"/>
                    </w:rPr>
                    <w:t>检验</w:t>
                  </w:r>
                </w:p>
              </w:tc>
              <w:tc>
                <w:tcPr>
                  <w:tcW w:w="321" w:type="pct"/>
                  <w:shd w:val="clear" w:color="auto" w:fill="auto"/>
                  <w:vAlign w:val="center"/>
                </w:tcPr>
                <w:p w14:paraId="1A8E8EA7">
                  <w:pPr>
                    <w:adjustRightInd w:val="0"/>
                    <w:snapToGrid w:val="0"/>
                    <w:jc w:val="center"/>
                    <w:rPr>
                      <w:rFonts w:hint="eastAsia" w:eastAsia="宋体"/>
                      <w:color w:val="auto"/>
                      <w:szCs w:val="21"/>
                      <w:lang w:val="en-US" w:eastAsia="zh-CN"/>
                    </w:rPr>
                  </w:pPr>
                  <w:r>
                    <w:rPr>
                      <w:rFonts w:hint="eastAsia"/>
                      <w:color w:val="auto"/>
                      <w:szCs w:val="21"/>
                      <w:lang w:val="en-US" w:eastAsia="zh-CN"/>
                    </w:rPr>
                    <w:t>固</w:t>
                  </w:r>
                </w:p>
              </w:tc>
              <w:tc>
                <w:tcPr>
                  <w:tcW w:w="856" w:type="pct"/>
                  <w:shd w:val="clear" w:color="auto" w:fill="auto"/>
                  <w:vAlign w:val="center"/>
                </w:tcPr>
                <w:p w14:paraId="056D1BF5">
                  <w:pPr>
                    <w:adjustRightInd w:val="0"/>
                    <w:snapToGrid w:val="0"/>
                    <w:jc w:val="center"/>
                    <w:rPr>
                      <w:rFonts w:hint="default" w:eastAsia="宋体"/>
                      <w:color w:val="auto"/>
                      <w:szCs w:val="21"/>
                      <w:lang w:val="en-US" w:eastAsia="zh-CN"/>
                    </w:rPr>
                  </w:pPr>
                  <w:r>
                    <w:rPr>
                      <w:rFonts w:hint="eastAsia"/>
                      <w:color w:val="auto"/>
                      <w:szCs w:val="21"/>
                      <w:lang w:val="en-US" w:eastAsia="zh-CN"/>
                    </w:rPr>
                    <w:t>废纤维</w:t>
                  </w:r>
                </w:p>
              </w:tc>
              <w:tc>
                <w:tcPr>
                  <w:tcW w:w="412" w:type="pct"/>
                  <w:shd w:val="clear" w:color="auto" w:fill="auto"/>
                  <w:vAlign w:val="center"/>
                </w:tcPr>
                <w:p w14:paraId="0D364245">
                  <w:pPr>
                    <w:adjustRightInd w:val="0"/>
                    <w:snapToGrid w:val="0"/>
                    <w:jc w:val="center"/>
                    <w:rPr>
                      <w:color w:val="auto"/>
                      <w:szCs w:val="21"/>
                    </w:rPr>
                  </w:pPr>
                  <w:r>
                    <w:rPr>
                      <w:color w:val="auto"/>
                      <w:szCs w:val="21"/>
                    </w:rPr>
                    <w:t>√</w:t>
                  </w:r>
                </w:p>
              </w:tc>
              <w:tc>
                <w:tcPr>
                  <w:tcW w:w="431" w:type="pct"/>
                  <w:shd w:val="clear" w:color="auto" w:fill="auto"/>
                  <w:vAlign w:val="center"/>
                </w:tcPr>
                <w:p w14:paraId="58E062F9">
                  <w:pPr>
                    <w:adjustRightInd w:val="0"/>
                    <w:snapToGrid w:val="0"/>
                    <w:jc w:val="center"/>
                    <w:rPr>
                      <w:color w:val="auto"/>
                      <w:szCs w:val="21"/>
                    </w:rPr>
                  </w:pPr>
                </w:p>
              </w:tc>
              <w:tc>
                <w:tcPr>
                  <w:tcW w:w="405" w:type="pct"/>
                  <w:shd w:val="clear" w:color="auto" w:fill="auto"/>
                  <w:vAlign w:val="center"/>
                </w:tcPr>
                <w:p w14:paraId="2451CB77">
                  <w:pPr>
                    <w:adjustRightInd w:val="0"/>
                    <w:snapToGrid w:val="0"/>
                    <w:jc w:val="center"/>
                    <w:rPr>
                      <w:color w:val="auto"/>
                      <w:szCs w:val="21"/>
                    </w:rPr>
                  </w:pPr>
                </w:p>
              </w:tc>
              <w:tc>
                <w:tcPr>
                  <w:tcW w:w="376" w:type="pct"/>
                  <w:shd w:val="clear" w:color="auto" w:fill="auto"/>
                  <w:vAlign w:val="center"/>
                </w:tcPr>
                <w:p w14:paraId="533736C0">
                  <w:pPr>
                    <w:adjustRightInd w:val="0"/>
                    <w:snapToGrid w:val="0"/>
                    <w:jc w:val="center"/>
                    <w:rPr>
                      <w:color w:val="auto"/>
                      <w:szCs w:val="21"/>
                    </w:rPr>
                  </w:pPr>
                </w:p>
              </w:tc>
              <w:tc>
                <w:tcPr>
                  <w:tcW w:w="458" w:type="pct"/>
                  <w:vMerge w:val="continue"/>
                  <w:vAlign w:val="center"/>
                </w:tcPr>
                <w:p w14:paraId="77E8C4EA">
                  <w:pPr>
                    <w:adjustRightInd w:val="0"/>
                    <w:snapToGrid w:val="0"/>
                    <w:jc w:val="center"/>
                    <w:rPr>
                      <w:color w:val="auto"/>
                      <w:szCs w:val="21"/>
                    </w:rPr>
                  </w:pPr>
                </w:p>
              </w:tc>
            </w:tr>
          </w:tbl>
          <w:p w14:paraId="03EF4BEF">
            <w:pPr>
              <w:adjustRightInd w:val="0"/>
              <w:snapToGrid w:val="0"/>
              <w:jc w:val="center"/>
              <w:rPr>
                <w:b/>
                <w:bCs/>
                <w:color w:val="auto"/>
                <w:sz w:val="24"/>
              </w:rPr>
            </w:pPr>
          </w:p>
          <w:p w14:paraId="17382C84">
            <w:pPr>
              <w:adjustRightInd w:val="0"/>
              <w:snapToGrid w:val="0"/>
              <w:jc w:val="center"/>
              <w:rPr>
                <w:rFonts w:ascii="Times New Roman" w:hAnsi="Times New Roman" w:eastAsia="宋体" w:cs="Times New Roman"/>
                <w:b/>
                <w:bCs/>
                <w:color w:val="auto"/>
                <w:sz w:val="24"/>
              </w:rPr>
            </w:pPr>
            <w:r>
              <w:rPr>
                <w:rFonts w:ascii="Times New Roman" w:hAnsi="Times New Roman" w:eastAsia="宋体" w:cs="Times New Roman"/>
                <w:b/>
                <w:bCs/>
                <w:color w:val="auto"/>
                <w:sz w:val="24"/>
              </w:rPr>
              <w:t>表</w:t>
            </w:r>
            <w:r>
              <w:rPr>
                <w:rFonts w:hint="eastAsia" w:ascii="Times New Roman" w:hAnsi="Times New Roman" w:eastAsia="宋体" w:cs="Times New Roman"/>
                <w:b/>
                <w:bCs/>
                <w:color w:val="auto"/>
                <w:sz w:val="24"/>
              </w:rPr>
              <w:t>4-21本</w:t>
            </w:r>
            <w:r>
              <w:rPr>
                <w:rFonts w:ascii="Times New Roman" w:hAnsi="Times New Roman" w:eastAsia="宋体" w:cs="Times New Roman"/>
                <w:b/>
                <w:bCs/>
                <w:color w:val="auto"/>
                <w:sz w:val="24"/>
              </w:rPr>
              <w:t>项目固废产生及处置情况一览表</w:t>
            </w:r>
          </w:p>
          <w:tbl>
            <w:tblPr>
              <w:tblStyle w:val="89"/>
              <w:tblW w:w="8454"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302"/>
              <w:gridCol w:w="1025"/>
              <w:gridCol w:w="971"/>
              <w:gridCol w:w="469"/>
              <w:gridCol w:w="361"/>
              <w:gridCol w:w="695"/>
              <w:gridCol w:w="1133"/>
              <w:gridCol w:w="469"/>
              <w:gridCol w:w="713"/>
              <w:gridCol w:w="1050"/>
              <w:gridCol w:w="1266"/>
            </w:tblGrid>
            <w:tr w14:paraId="17382C9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vAlign w:val="center"/>
                </w:tcPr>
                <w:p w14:paraId="17382C85">
                  <w:pPr>
                    <w:adjustRightInd w:val="0"/>
                    <w:snapToGrid w:val="0"/>
                    <w:jc w:val="center"/>
                    <w:rPr>
                      <w:b/>
                      <w:bCs/>
                      <w:color w:val="auto"/>
                      <w:szCs w:val="21"/>
                    </w:rPr>
                  </w:pPr>
                  <w:r>
                    <w:rPr>
                      <w:b/>
                      <w:bCs/>
                      <w:color w:val="auto"/>
                      <w:szCs w:val="21"/>
                    </w:rPr>
                    <w:t>序号</w:t>
                  </w:r>
                </w:p>
              </w:tc>
              <w:tc>
                <w:tcPr>
                  <w:tcW w:w="1025" w:type="dxa"/>
                  <w:vAlign w:val="center"/>
                </w:tcPr>
                <w:p w14:paraId="17382C86">
                  <w:pPr>
                    <w:adjustRightInd w:val="0"/>
                    <w:snapToGrid w:val="0"/>
                    <w:jc w:val="center"/>
                    <w:rPr>
                      <w:b/>
                      <w:bCs/>
                      <w:color w:val="auto"/>
                      <w:szCs w:val="21"/>
                    </w:rPr>
                  </w:pPr>
                  <w:r>
                    <w:rPr>
                      <w:b/>
                      <w:bCs/>
                      <w:color w:val="auto"/>
                      <w:szCs w:val="21"/>
                    </w:rPr>
                    <w:t>固废名称</w:t>
                  </w:r>
                </w:p>
              </w:tc>
              <w:tc>
                <w:tcPr>
                  <w:tcW w:w="971" w:type="dxa"/>
                  <w:vAlign w:val="center"/>
                </w:tcPr>
                <w:p w14:paraId="17382C87">
                  <w:pPr>
                    <w:adjustRightInd w:val="0"/>
                    <w:snapToGrid w:val="0"/>
                    <w:jc w:val="center"/>
                    <w:rPr>
                      <w:b/>
                      <w:bCs/>
                      <w:color w:val="auto"/>
                      <w:szCs w:val="21"/>
                    </w:rPr>
                  </w:pPr>
                  <w:r>
                    <w:rPr>
                      <w:b/>
                      <w:bCs/>
                      <w:color w:val="auto"/>
                      <w:szCs w:val="21"/>
                    </w:rPr>
                    <w:t>产生环节</w:t>
                  </w:r>
                </w:p>
              </w:tc>
              <w:tc>
                <w:tcPr>
                  <w:tcW w:w="469" w:type="dxa"/>
                  <w:vAlign w:val="center"/>
                </w:tcPr>
                <w:p w14:paraId="17382C88">
                  <w:pPr>
                    <w:adjustRightInd w:val="0"/>
                    <w:snapToGrid w:val="0"/>
                    <w:jc w:val="center"/>
                    <w:rPr>
                      <w:b/>
                      <w:bCs/>
                      <w:color w:val="auto"/>
                      <w:szCs w:val="21"/>
                    </w:rPr>
                  </w:pPr>
                  <w:r>
                    <w:rPr>
                      <w:b/>
                      <w:bCs/>
                      <w:color w:val="auto"/>
                      <w:szCs w:val="21"/>
                    </w:rPr>
                    <w:t>属性</w:t>
                  </w:r>
                </w:p>
              </w:tc>
              <w:tc>
                <w:tcPr>
                  <w:tcW w:w="361" w:type="dxa"/>
                  <w:vAlign w:val="center"/>
                </w:tcPr>
                <w:p w14:paraId="17382C89">
                  <w:pPr>
                    <w:adjustRightInd w:val="0"/>
                    <w:snapToGrid w:val="0"/>
                    <w:jc w:val="center"/>
                    <w:rPr>
                      <w:b/>
                      <w:bCs/>
                      <w:color w:val="auto"/>
                      <w:szCs w:val="21"/>
                    </w:rPr>
                  </w:pPr>
                  <w:r>
                    <w:rPr>
                      <w:b/>
                      <w:bCs/>
                      <w:color w:val="auto"/>
                      <w:szCs w:val="21"/>
                    </w:rPr>
                    <w:t>性状</w:t>
                  </w:r>
                </w:p>
              </w:tc>
              <w:tc>
                <w:tcPr>
                  <w:tcW w:w="695" w:type="dxa"/>
                  <w:vAlign w:val="center"/>
                </w:tcPr>
                <w:p w14:paraId="17382C8A">
                  <w:pPr>
                    <w:adjustRightInd w:val="0"/>
                    <w:snapToGrid w:val="0"/>
                    <w:jc w:val="center"/>
                    <w:rPr>
                      <w:b/>
                      <w:bCs/>
                      <w:color w:val="auto"/>
                      <w:szCs w:val="21"/>
                    </w:rPr>
                  </w:pPr>
                  <w:r>
                    <w:rPr>
                      <w:rFonts w:hint="eastAsia"/>
                      <w:b/>
                      <w:bCs/>
                      <w:color w:val="auto"/>
                      <w:szCs w:val="21"/>
                    </w:rPr>
                    <w:t>废物</w:t>
                  </w:r>
                </w:p>
                <w:p w14:paraId="17382C8B">
                  <w:pPr>
                    <w:adjustRightInd w:val="0"/>
                    <w:snapToGrid w:val="0"/>
                    <w:jc w:val="center"/>
                    <w:rPr>
                      <w:b/>
                      <w:bCs/>
                      <w:color w:val="auto"/>
                      <w:szCs w:val="21"/>
                    </w:rPr>
                  </w:pPr>
                  <w:r>
                    <w:rPr>
                      <w:b/>
                      <w:bCs/>
                      <w:color w:val="auto"/>
                      <w:szCs w:val="21"/>
                    </w:rPr>
                    <w:t>类别</w:t>
                  </w:r>
                </w:p>
              </w:tc>
              <w:tc>
                <w:tcPr>
                  <w:tcW w:w="1133" w:type="dxa"/>
                  <w:vAlign w:val="center"/>
                </w:tcPr>
                <w:p w14:paraId="17382C8C">
                  <w:pPr>
                    <w:adjustRightInd w:val="0"/>
                    <w:snapToGrid w:val="0"/>
                    <w:jc w:val="center"/>
                    <w:rPr>
                      <w:b/>
                      <w:bCs/>
                      <w:color w:val="auto"/>
                      <w:szCs w:val="21"/>
                    </w:rPr>
                  </w:pPr>
                  <w:r>
                    <w:rPr>
                      <w:rFonts w:hint="eastAsia"/>
                      <w:b/>
                      <w:bCs/>
                      <w:color w:val="auto"/>
                      <w:szCs w:val="21"/>
                    </w:rPr>
                    <w:t>废物</w:t>
                  </w:r>
                  <w:r>
                    <w:rPr>
                      <w:b/>
                      <w:bCs/>
                      <w:color w:val="auto"/>
                      <w:szCs w:val="21"/>
                    </w:rPr>
                    <w:t>代码</w:t>
                  </w:r>
                </w:p>
              </w:tc>
              <w:tc>
                <w:tcPr>
                  <w:tcW w:w="469" w:type="dxa"/>
                  <w:vAlign w:val="center"/>
                </w:tcPr>
                <w:p w14:paraId="17382C8D">
                  <w:pPr>
                    <w:adjustRightInd w:val="0"/>
                    <w:snapToGrid w:val="0"/>
                    <w:jc w:val="center"/>
                    <w:rPr>
                      <w:b/>
                      <w:bCs/>
                      <w:color w:val="auto"/>
                      <w:szCs w:val="21"/>
                    </w:rPr>
                  </w:pPr>
                  <w:r>
                    <w:rPr>
                      <w:b/>
                      <w:bCs/>
                      <w:color w:val="auto"/>
                      <w:szCs w:val="21"/>
                    </w:rPr>
                    <w:t>危险</w:t>
                  </w:r>
                </w:p>
                <w:p w14:paraId="17382C8E">
                  <w:pPr>
                    <w:adjustRightInd w:val="0"/>
                    <w:snapToGrid w:val="0"/>
                    <w:jc w:val="center"/>
                    <w:rPr>
                      <w:b/>
                      <w:bCs/>
                      <w:color w:val="auto"/>
                      <w:szCs w:val="21"/>
                    </w:rPr>
                  </w:pPr>
                  <w:r>
                    <w:rPr>
                      <w:b/>
                      <w:bCs/>
                      <w:color w:val="auto"/>
                      <w:szCs w:val="21"/>
                    </w:rPr>
                    <w:t>特性</w:t>
                  </w:r>
                </w:p>
              </w:tc>
              <w:tc>
                <w:tcPr>
                  <w:tcW w:w="713" w:type="dxa"/>
                  <w:vAlign w:val="center"/>
                </w:tcPr>
                <w:p w14:paraId="17382C8F">
                  <w:pPr>
                    <w:adjustRightInd w:val="0"/>
                    <w:snapToGrid w:val="0"/>
                    <w:jc w:val="center"/>
                    <w:rPr>
                      <w:b/>
                      <w:bCs/>
                      <w:color w:val="auto"/>
                      <w:szCs w:val="21"/>
                    </w:rPr>
                  </w:pPr>
                  <w:r>
                    <w:rPr>
                      <w:b/>
                      <w:bCs/>
                      <w:color w:val="auto"/>
                      <w:szCs w:val="21"/>
                    </w:rPr>
                    <w:t>产生量</w:t>
                  </w:r>
                </w:p>
                <w:p w14:paraId="17382C90">
                  <w:pPr>
                    <w:adjustRightInd w:val="0"/>
                    <w:snapToGrid w:val="0"/>
                    <w:jc w:val="center"/>
                    <w:rPr>
                      <w:b/>
                      <w:bCs/>
                      <w:color w:val="auto"/>
                      <w:szCs w:val="21"/>
                    </w:rPr>
                  </w:pPr>
                  <w:r>
                    <w:rPr>
                      <w:rFonts w:hint="eastAsia"/>
                      <w:b/>
                      <w:bCs/>
                      <w:color w:val="auto"/>
                      <w:szCs w:val="21"/>
                    </w:rPr>
                    <w:t>（</w:t>
                  </w:r>
                  <w:r>
                    <w:rPr>
                      <w:b/>
                      <w:bCs/>
                      <w:color w:val="auto"/>
                      <w:szCs w:val="21"/>
                    </w:rPr>
                    <w:t>t/a</w:t>
                  </w:r>
                  <w:r>
                    <w:rPr>
                      <w:rFonts w:hint="eastAsia"/>
                      <w:b/>
                      <w:bCs/>
                      <w:color w:val="auto"/>
                      <w:szCs w:val="21"/>
                    </w:rPr>
                    <w:t>）</w:t>
                  </w:r>
                </w:p>
              </w:tc>
              <w:tc>
                <w:tcPr>
                  <w:tcW w:w="1050" w:type="dxa"/>
                  <w:vAlign w:val="center"/>
                </w:tcPr>
                <w:p w14:paraId="17382C91">
                  <w:pPr>
                    <w:adjustRightInd w:val="0"/>
                    <w:snapToGrid w:val="0"/>
                    <w:jc w:val="center"/>
                    <w:rPr>
                      <w:b/>
                      <w:bCs/>
                      <w:color w:val="auto"/>
                      <w:szCs w:val="21"/>
                    </w:rPr>
                  </w:pPr>
                  <w:r>
                    <w:rPr>
                      <w:b/>
                      <w:bCs/>
                      <w:color w:val="auto"/>
                      <w:szCs w:val="21"/>
                    </w:rPr>
                    <w:t>贮存方式</w:t>
                  </w:r>
                </w:p>
              </w:tc>
              <w:tc>
                <w:tcPr>
                  <w:tcW w:w="1266" w:type="dxa"/>
                  <w:vAlign w:val="center"/>
                </w:tcPr>
                <w:p w14:paraId="17382C92">
                  <w:pPr>
                    <w:adjustRightInd w:val="0"/>
                    <w:snapToGrid w:val="0"/>
                    <w:jc w:val="center"/>
                    <w:rPr>
                      <w:b/>
                      <w:bCs/>
                      <w:color w:val="auto"/>
                      <w:szCs w:val="21"/>
                    </w:rPr>
                  </w:pPr>
                  <w:r>
                    <w:rPr>
                      <w:b/>
                      <w:bCs/>
                      <w:color w:val="auto"/>
                      <w:szCs w:val="21"/>
                    </w:rPr>
                    <w:t>利用处置方式和去向</w:t>
                  </w:r>
                </w:p>
              </w:tc>
            </w:tr>
            <w:tr w14:paraId="17382C9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vAlign w:val="center"/>
                </w:tcPr>
                <w:p w14:paraId="17382C94">
                  <w:pPr>
                    <w:adjustRightInd w:val="0"/>
                    <w:snapToGrid w:val="0"/>
                    <w:jc w:val="center"/>
                    <w:rPr>
                      <w:color w:val="auto"/>
                      <w:szCs w:val="21"/>
                    </w:rPr>
                  </w:pPr>
                  <w:r>
                    <w:rPr>
                      <w:rFonts w:hint="eastAsia"/>
                      <w:color w:val="auto"/>
                      <w:szCs w:val="21"/>
                    </w:rPr>
                    <w:t>1</w:t>
                  </w:r>
                </w:p>
              </w:tc>
              <w:tc>
                <w:tcPr>
                  <w:tcW w:w="1025" w:type="dxa"/>
                  <w:vAlign w:val="center"/>
                </w:tcPr>
                <w:p w14:paraId="17382C95">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一般废包装袋</w:t>
                  </w:r>
                </w:p>
              </w:tc>
              <w:tc>
                <w:tcPr>
                  <w:tcW w:w="971" w:type="dxa"/>
                  <w:vAlign w:val="center"/>
                </w:tcPr>
                <w:p w14:paraId="17382C96">
                  <w:pPr>
                    <w:adjustRightInd w:val="0"/>
                    <w:snapToGrid w:val="0"/>
                    <w:jc w:val="center"/>
                    <w:rPr>
                      <w:color w:val="auto"/>
                      <w:szCs w:val="21"/>
                    </w:rPr>
                  </w:pPr>
                  <w:r>
                    <w:rPr>
                      <w:rFonts w:hint="eastAsia"/>
                      <w:color w:val="auto"/>
                      <w:szCs w:val="21"/>
                    </w:rPr>
                    <w:t>原料包装</w:t>
                  </w:r>
                </w:p>
              </w:tc>
              <w:tc>
                <w:tcPr>
                  <w:tcW w:w="469" w:type="dxa"/>
                  <w:vMerge w:val="restart"/>
                  <w:vAlign w:val="center"/>
                </w:tcPr>
                <w:p w14:paraId="17382C97">
                  <w:pPr>
                    <w:adjustRightInd w:val="0"/>
                    <w:snapToGrid w:val="0"/>
                    <w:jc w:val="center"/>
                    <w:rPr>
                      <w:color w:val="auto"/>
                      <w:szCs w:val="21"/>
                    </w:rPr>
                  </w:pPr>
                  <w:r>
                    <w:rPr>
                      <w:rFonts w:hint="eastAsia"/>
                      <w:color w:val="auto"/>
                      <w:szCs w:val="21"/>
                    </w:rPr>
                    <w:t>一般固废</w:t>
                  </w:r>
                </w:p>
              </w:tc>
              <w:tc>
                <w:tcPr>
                  <w:tcW w:w="361" w:type="dxa"/>
                  <w:vAlign w:val="center"/>
                </w:tcPr>
                <w:p w14:paraId="17382C98">
                  <w:pPr>
                    <w:adjustRightInd w:val="0"/>
                    <w:snapToGrid w:val="0"/>
                    <w:jc w:val="center"/>
                    <w:rPr>
                      <w:color w:val="auto"/>
                      <w:szCs w:val="21"/>
                    </w:rPr>
                  </w:pPr>
                  <w:r>
                    <w:rPr>
                      <w:rFonts w:hint="eastAsia"/>
                      <w:color w:val="auto"/>
                      <w:szCs w:val="21"/>
                    </w:rPr>
                    <w:t>固</w:t>
                  </w:r>
                </w:p>
              </w:tc>
              <w:tc>
                <w:tcPr>
                  <w:tcW w:w="695" w:type="dxa"/>
                  <w:vAlign w:val="center"/>
                </w:tcPr>
                <w:p w14:paraId="17382C99">
                  <w:pPr>
                    <w:adjustRightInd w:val="0"/>
                    <w:snapToGrid w:val="0"/>
                    <w:jc w:val="center"/>
                    <w:rPr>
                      <w:rFonts w:cs="宋体"/>
                      <w:color w:val="auto"/>
                      <w:szCs w:val="21"/>
                    </w:rPr>
                  </w:pPr>
                  <w:r>
                    <w:rPr>
                      <w:rFonts w:hint="eastAsia" w:cs="宋体"/>
                      <w:color w:val="auto"/>
                      <w:szCs w:val="21"/>
                    </w:rPr>
                    <w:t>SW17</w:t>
                  </w:r>
                </w:p>
              </w:tc>
              <w:tc>
                <w:tcPr>
                  <w:tcW w:w="1133" w:type="dxa"/>
                  <w:vAlign w:val="center"/>
                </w:tcPr>
                <w:p w14:paraId="17382C9A">
                  <w:pPr>
                    <w:adjustRightInd w:val="0"/>
                    <w:snapToGrid w:val="0"/>
                    <w:jc w:val="center"/>
                    <w:rPr>
                      <w:rFonts w:cs="宋体"/>
                      <w:color w:val="auto"/>
                      <w:szCs w:val="21"/>
                    </w:rPr>
                  </w:pPr>
                  <w:r>
                    <w:rPr>
                      <w:rFonts w:hint="eastAsia" w:cs="宋体"/>
                      <w:color w:val="auto"/>
                      <w:szCs w:val="21"/>
                    </w:rPr>
                    <w:t>900-099-S17</w:t>
                  </w:r>
                </w:p>
              </w:tc>
              <w:tc>
                <w:tcPr>
                  <w:tcW w:w="469" w:type="dxa"/>
                  <w:vAlign w:val="center"/>
                </w:tcPr>
                <w:p w14:paraId="17382C9B">
                  <w:pPr>
                    <w:adjustRightInd w:val="0"/>
                    <w:snapToGrid w:val="0"/>
                    <w:jc w:val="center"/>
                    <w:rPr>
                      <w:rFonts w:cs="宋体"/>
                      <w:color w:val="auto"/>
                      <w:szCs w:val="21"/>
                    </w:rPr>
                  </w:pPr>
                  <w:r>
                    <w:rPr>
                      <w:rFonts w:hint="eastAsia" w:cs="宋体"/>
                      <w:color w:val="auto"/>
                      <w:szCs w:val="21"/>
                    </w:rPr>
                    <w:t>/</w:t>
                  </w:r>
                </w:p>
              </w:tc>
              <w:tc>
                <w:tcPr>
                  <w:tcW w:w="713" w:type="dxa"/>
                  <w:vAlign w:val="center"/>
                </w:tcPr>
                <w:p w14:paraId="17382C9C">
                  <w:pPr>
                    <w:adjustRightInd w:val="0"/>
                    <w:snapToGrid w:val="0"/>
                    <w:jc w:val="center"/>
                    <w:rPr>
                      <w:color w:val="auto"/>
                      <w:szCs w:val="21"/>
                    </w:rPr>
                  </w:pPr>
                  <w:r>
                    <w:rPr>
                      <w:rFonts w:hint="eastAsia"/>
                      <w:color w:val="auto"/>
                      <w:szCs w:val="21"/>
                    </w:rPr>
                    <w:t>0.1</w:t>
                  </w:r>
                </w:p>
              </w:tc>
              <w:tc>
                <w:tcPr>
                  <w:tcW w:w="1050" w:type="dxa"/>
                  <w:vAlign w:val="center"/>
                </w:tcPr>
                <w:p w14:paraId="17382C9D">
                  <w:pPr>
                    <w:adjustRightInd w:val="0"/>
                    <w:snapToGrid w:val="0"/>
                    <w:jc w:val="center"/>
                    <w:rPr>
                      <w:color w:val="auto"/>
                      <w:szCs w:val="21"/>
                    </w:rPr>
                  </w:pPr>
                  <w:r>
                    <w:rPr>
                      <w:rFonts w:hint="eastAsia"/>
                      <w:color w:val="auto"/>
                      <w:szCs w:val="21"/>
                    </w:rPr>
                    <w:t>袋装</w:t>
                  </w:r>
                </w:p>
              </w:tc>
              <w:tc>
                <w:tcPr>
                  <w:tcW w:w="1266" w:type="dxa"/>
                  <w:vMerge w:val="restart"/>
                  <w:vAlign w:val="center"/>
                </w:tcPr>
                <w:p w14:paraId="17382C9E">
                  <w:pPr>
                    <w:adjustRightInd w:val="0"/>
                    <w:snapToGrid w:val="0"/>
                    <w:jc w:val="center"/>
                    <w:rPr>
                      <w:color w:val="auto"/>
                      <w:spacing w:val="-11"/>
                      <w:szCs w:val="21"/>
                    </w:rPr>
                  </w:pPr>
                  <w:r>
                    <w:rPr>
                      <w:rFonts w:hint="eastAsia"/>
                      <w:color w:val="auto"/>
                      <w:spacing w:val="-11"/>
                      <w:szCs w:val="21"/>
                    </w:rPr>
                    <w:t>外售给废旧资源回收公司</w:t>
                  </w:r>
                  <w:r>
                    <w:rPr>
                      <w:rFonts w:hint="eastAsia"/>
                      <w:color w:val="auto"/>
                      <w:szCs w:val="21"/>
                    </w:rPr>
                    <w:t>综合利用</w:t>
                  </w:r>
                </w:p>
              </w:tc>
            </w:tr>
            <w:tr w14:paraId="17382CA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vAlign w:val="center"/>
                </w:tcPr>
                <w:p w14:paraId="17382CA0">
                  <w:pPr>
                    <w:adjustRightInd w:val="0"/>
                    <w:snapToGrid w:val="0"/>
                    <w:jc w:val="center"/>
                    <w:rPr>
                      <w:color w:val="auto"/>
                      <w:szCs w:val="21"/>
                    </w:rPr>
                  </w:pPr>
                  <w:r>
                    <w:rPr>
                      <w:rFonts w:hint="eastAsia"/>
                      <w:color w:val="auto"/>
                      <w:szCs w:val="21"/>
                    </w:rPr>
                    <w:t>2</w:t>
                  </w:r>
                </w:p>
              </w:tc>
              <w:tc>
                <w:tcPr>
                  <w:tcW w:w="1025" w:type="dxa"/>
                  <w:shd w:val="clear" w:color="auto" w:fill="auto"/>
                  <w:vAlign w:val="center"/>
                </w:tcPr>
                <w:p w14:paraId="17382CA1">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切割废边角料</w:t>
                  </w:r>
                </w:p>
              </w:tc>
              <w:tc>
                <w:tcPr>
                  <w:tcW w:w="971" w:type="dxa"/>
                  <w:shd w:val="clear" w:color="auto" w:fill="auto"/>
                  <w:vAlign w:val="center"/>
                </w:tcPr>
                <w:p w14:paraId="17382CA2">
                  <w:pPr>
                    <w:adjustRightInd w:val="0"/>
                    <w:snapToGrid w:val="0"/>
                    <w:jc w:val="center"/>
                    <w:rPr>
                      <w:rFonts w:cs="宋体"/>
                      <w:color w:val="auto"/>
                      <w:szCs w:val="21"/>
                    </w:rPr>
                  </w:pPr>
                  <w:r>
                    <w:rPr>
                      <w:rFonts w:hint="eastAsia" w:cs="宋体"/>
                      <w:color w:val="auto"/>
                      <w:szCs w:val="21"/>
                    </w:rPr>
                    <w:t>切割</w:t>
                  </w:r>
                </w:p>
              </w:tc>
              <w:tc>
                <w:tcPr>
                  <w:tcW w:w="469" w:type="dxa"/>
                  <w:vMerge w:val="continue"/>
                  <w:vAlign w:val="center"/>
                </w:tcPr>
                <w:p w14:paraId="17382CA3">
                  <w:pPr>
                    <w:adjustRightInd w:val="0"/>
                    <w:snapToGrid w:val="0"/>
                    <w:jc w:val="center"/>
                    <w:rPr>
                      <w:color w:val="auto"/>
                      <w:szCs w:val="21"/>
                    </w:rPr>
                  </w:pPr>
                </w:p>
              </w:tc>
              <w:tc>
                <w:tcPr>
                  <w:tcW w:w="361" w:type="dxa"/>
                  <w:vAlign w:val="center"/>
                </w:tcPr>
                <w:p w14:paraId="17382CA4">
                  <w:pPr>
                    <w:adjustRightInd w:val="0"/>
                    <w:snapToGrid w:val="0"/>
                    <w:jc w:val="center"/>
                    <w:rPr>
                      <w:color w:val="auto"/>
                      <w:szCs w:val="21"/>
                    </w:rPr>
                  </w:pPr>
                  <w:r>
                    <w:rPr>
                      <w:rFonts w:hint="eastAsia"/>
                      <w:color w:val="auto"/>
                      <w:szCs w:val="21"/>
                    </w:rPr>
                    <w:t>固</w:t>
                  </w:r>
                </w:p>
              </w:tc>
              <w:tc>
                <w:tcPr>
                  <w:tcW w:w="695" w:type="dxa"/>
                  <w:vAlign w:val="center"/>
                </w:tcPr>
                <w:p w14:paraId="17382CA5">
                  <w:pPr>
                    <w:adjustRightInd w:val="0"/>
                    <w:snapToGrid w:val="0"/>
                    <w:jc w:val="center"/>
                    <w:rPr>
                      <w:rFonts w:cs="宋体"/>
                      <w:color w:val="auto"/>
                      <w:szCs w:val="21"/>
                    </w:rPr>
                  </w:pPr>
                  <w:r>
                    <w:rPr>
                      <w:rFonts w:hint="eastAsia" w:cs="宋体"/>
                      <w:color w:val="auto"/>
                      <w:szCs w:val="21"/>
                    </w:rPr>
                    <w:t>SW17</w:t>
                  </w:r>
                </w:p>
              </w:tc>
              <w:tc>
                <w:tcPr>
                  <w:tcW w:w="1133" w:type="dxa"/>
                  <w:vAlign w:val="center"/>
                </w:tcPr>
                <w:p w14:paraId="17382CA6">
                  <w:pPr>
                    <w:adjustRightInd w:val="0"/>
                    <w:snapToGrid w:val="0"/>
                    <w:jc w:val="center"/>
                    <w:rPr>
                      <w:rFonts w:cs="宋体"/>
                      <w:color w:val="auto"/>
                      <w:szCs w:val="21"/>
                    </w:rPr>
                  </w:pPr>
                  <w:r>
                    <w:rPr>
                      <w:rFonts w:hint="eastAsia" w:cs="宋体"/>
                      <w:color w:val="auto"/>
                      <w:szCs w:val="21"/>
                    </w:rPr>
                    <w:t>900-011-S17</w:t>
                  </w:r>
                </w:p>
              </w:tc>
              <w:tc>
                <w:tcPr>
                  <w:tcW w:w="469" w:type="dxa"/>
                  <w:vAlign w:val="center"/>
                </w:tcPr>
                <w:p w14:paraId="17382CA7">
                  <w:pPr>
                    <w:adjustRightInd w:val="0"/>
                    <w:snapToGrid w:val="0"/>
                    <w:jc w:val="center"/>
                    <w:rPr>
                      <w:rFonts w:cs="宋体"/>
                      <w:color w:val="auto"/>
                      <w:szCs w:val="21"/>
                    </w:rPr>
                  </w:pPr>
                  <w:r>
                    <w:rPr>
                      <w:rFonts w:hint="eastAsia" w:cs="宋体"/>
                      <w:color w:val="auto"/>
                      <w:szCs w:val="21"/>
                    </w:rPr>
                    <w:t>/</w:t>
                  </w:r>
                </w:p>
              </w:tc>
              <w:tc>
                <w:tcPr>
                  <w:tcW w:w="713" w:type="dxa"/>
                  <w:vAlign w:val="center"/>
                </w:tcPr>
                <w:p w14:paraId="17382CA8">
                  <w:pPr>
                    <w:adjustRightInd w:val="0"/>
                    <w:snapToGrid w:val="0"/>
                    <w:jc w:val="center"/>
                    <w:rPr>
                      <w:color w:val="auto"/>
                      <w:szCs w:val="21"/>
                    </w:rPr>
                  </w:pPr>
                  <w:r>
                    <w:rPr>
                      <w:rFonts w:hint="eastAsia"/>
                      <w:color w:val="auto"/>
                      <w:szCs w:val="21"/>
                    </w:rPr>
                    <w:t>0.105</w:t>
                  </w:r>
                </w:p>
              </w:tc>
              <w:tc>
                <w:tcPr>
                  <w:tcW w:w="1050" w:type="dxa"/>
                  <w:vAlign w:val="center"/>
                </w:tcPr>
                <w:p w14:paraId="17382CA9">
                  <w:pPr>
                    <w:adjustRightInd w:val="0"/>
                    <w:snapToGrid w:val="0"/>
                    <w:jc w:val="center"/>
                    <w:rPr>
                      <w:color w:val="auto"/>
                      <w:szCs w:val="21"/>
                    </w:rPr>
                  </w:pPr>
                  <w:r>
                    <w:rPr>
                      <w:rFonts w:hint="eastAsia"/>
                      <w:color w:val="auto"/>
                      <w:szCs w:val="21"/>
                    </w:rPr>
                    <w:t>袋装</w:t>
                  </w:r>
                </w:p>
              </w:tc>
              <w:tc>
                <w:tcPr>
                  <w:tcW w:w="1266" w:type="dxa"/>
                  <w:vMerge w:val="continue"/>
                  <w:vAlign w:val="center"/>
                </w:tcPr>
                <w:p w14:paraId="17382CAA">
                  <w:pPr>
                    <w:adjustRightInd w:val="0"/>
                    <w:snapToGrid w:val="0"/>
                    <w:jc w:val="center"/>
                    <w:rPr>
                      <w:color w:val="auto"/>
                      <w:spacing w:val="-11"/>
                      <w:szCs w:val="21"/>
                    </w:rPr>
                  </w:pPr>
                </w:p>
              </w:tc>
            </w:tr>
            <w:tr w14:paraId="17382CB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vAlign w:val="center"/>
                </w:tcPr>
                <w:p w14:paraId="17382CAC">
                  <w:pPr>
                    <w:adjustRightInd w:val="0"/>
                    <w:snapToGrid w:val="0"/>
                    <w:jc w:val="center"/>
                    <w:rPr>
                      <w:color w:val="auto"/>
                      <w:szCs w:val="21"/>
                    </w:rPr>
                  </w:pPr>
                  <w:r>
                    <w:rPr>
                      <w:rFonts w:hint="eastAsia"/>
                      <w:color w:val="auto"/>
                      <w:szCs w:val="21"/>
                    </w:rPr>
                    <w:t>3</w:t>
                  </w:r>
                </w:p>
              </w:tc>
              <w:tc>
                <w:tcPr>
                  <w:tcW w:w="1025" w:type="dxa"/>
                  <w:shd w:val="clear" w:color="auto" w:fill="auto"/>
                  <w:vAlign w:val="center"/>
                </w:tcPr>
                <w:p w14:paraId="17382CAD">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切割沉淀沉渣</w:t>
                  </w:r>
                </w:p>
              </w:tc>
              <w:tc>
                <w:tcPr>
                  <w:tcW w:w="971" w:type="dxa"/>
                  <w:shd w:val="clear" w:color="auto" w:fill="auto"/>
                  <w:vAlign w:val="center"/>
                </w:tcPr>
                <w:p w14:paraId="17382CAE">
                  <w:pPr>
                    <w:adjustRightInd w:val="0"/>
                    <w:snapToGrid w:val="0"/>
                    <w:jc w:val="center"/>
                    <w:rPr>
                      <w:rFonts w:cs="宋体"/>
                      <w:color w:val="auto"/>
                      <w:szCs w:val="21"/>
                    </w:rPr>
                  </w:pPr>
                  <w:r>
                    <w:rPr>
                      <w:rFonts w:hint="eastAsia" w:cs="宋体"/>
                      <w:color w:val="auto"/>
                      <w:szCs w:val="21"/>
                    </w:rPr>
                    <w:t>切割</w:t>
                  </w:r>
                </w:p>
              </w:tc>
              <w:tc>
                <w:tcPr>
                  <w:tcW w:w="469" w:type="dxa"/>
                  <w:vMerge w:val="continue"/>
                  <w:vAlign w:val="center"/>
                </w:tcPr>
                <w:p w14:paraId="17382CAF">
                  <w:pPr>
                    <w:adjustRightInd w:val="0"/>
                    <w:snapToGrid w:val="0"/>
                    <w:jc w:val="center"/>
                    <w:rPr>
                      <w:color w:val="auto"/>
                      <w:szCs w:val="21"/>
                    </w:rPr>
                  </w:pPr>
                </w:p>
              </w:tc>
              <w:tc>
                <w:tcPr>
                  <w:tcW w:w="361" w:type="dxa"/>
                  <w:vAlign w:val="center"/>
                </w:tcPr>
                <w:p w14:paraId="17382CB0">
                  <w:pPr>
                    <w:adjustRightInd w:val="0"/>
                    <w:snapToGrid w:val="0"/>
                    <w:jc w:val="center"/>
                    <w:rPr>
                      <w:color w:val="auto"/>
                      <w:szCs w:val="21"/>
                    </w:rPr>
                  </w:pPr>
                  <w:r>
                    <w:rPr>
                      <w:rFonts w:hint="eastAsia"/>
                      <w:color w:val="auto"/>
                      <w:szCs w:val="21"/>
                    </w:rPr>
                    <w:t>固</w:t>
                  </w:r>
                </w:p>
              </w:tc>
              <w:tc>
                <w:tcPr>
                  <w:tcW w:w="695" w:type="dxa"/>
                  <w:vAlign w:val="center"/>
                </w:tcPr>
                <w:p w14:paraId="17382CB1">
                  <w:pPr>
                    <w:adjustRightInd w:val="0"/>
                    <w:snapToGrid w:val="0"/>
                    <w:jc w:val="center"/>
                    <w:rPr>
                      <w:rFonts w:cs="宋体"/>
                      <w:color w:val="auto"/>
                      <w:szCs w:val="21"/>
                    </w:rPr>
                  </w:pPr>
                  <w:r>
                    <w:rPr>
                      <w:rFonts w:hint="eastAsia" w:cs="宋体"/>
                      <w:color w:val="auto"/>
                      <w:szCs w:val="21"/>
                    </w:rPr>
                    <w:t>SW17</w:t>
                  </w:r>
                </w:p>
              </w:tc>
              <w:tc>
                <w:tcPr>
                  <w:tcW w:w="1133" w:type="dxa"/>
                  <w:vAlign w:val="center"/>
                </w:tcPr>
                <w:p w14:paraId="17382CB2">
                  <w:pPr>
                    <w:adjustRightInd w:val="0"/>
                    <w:snapToGrid w:val="0"/>
                    <w:jc w:val="center"/>
                    <w:rPr>
                      <w:rFonts w:cs="宋体"/>
                      <w:color w:val="auto"/>
                      <w:szCs w:val="21"/>
                    </w:rPr>
                  </w:pPr>
                  <w:r>
                    <w:rPr>
                      <w:rFonts w:hint="eastAsia" w:cs="宋体"/>
                      <w:color w:val="auto"/>
                      <w:szCs w:val="21"/>
                    </w:rPr>
                    <w:t>900-099-S17</w:t>
                  </w:r>
                </w:p>
              </w:tc>
              <w:tc>
                <w:tcPr>
                  <w:tcW w:w="469" w:type="dxa"/>
                  <w:vAlign w:val="center"/>
                </w:tcPr>
                <w:p w14:paraId="17382CB3">
                  <w:pPr>
                    <w:adjustRightInd w:val="0"/>
                    <w:snapToGrid w:val="0"/>
                    <w:jc w:val="center"/>
                    <w:rPr>
                      <w:rFonts w:cs="宋体"/>
                      <w:color w:val="auto"/>
                      <w:szCs w:val="21"/>
                    </w:rPr>
                  </w:pPr>
                  <w:r>
                    <w:rPr>
                      <w:rFonts w:hint="eastAsia" w:cs="宋体"/>
                      <w:color w:val="auto"/>
                      <w:szCs w:val="21"/>
                    </w:rPr>
                    <w:t>/</w:t>
                  </w:r>
                </w:p>
              </w:tc>
              <w:tc>
                <w:tcPr>
                  <w:tcW w:w="713" w:type="dxa"/>
                  <w:vAlign w:val="center"/>
                </w:tcPr>
                <w:p w14:paraId="17382CB4">
                  <w:pPr>
                    <w:adjustRightInd w:val="0"/>
                    <w:snapToGrid w:val="0"/>
                    <w:jc w:val="center"/>
                    <w:rPr>
                      <w:color w:val="auto"/>
                      <w:szCs w:val="21"/>
                    </w:rPr>
                  </w:pPr>
                  <w:r>
                    <w:rPr>
                      <w:rFonts w:hint="eastAsia"/>
                      <w:color w:val="auto"/>
                      <w:szCs w:val="21"/>
                    </w:rPr>
                    <w:t>0.168</w:t>
                  </w:r>
                </w:p>
              </w:tc>
              <w:tc>
                <w:tcPr>
                  <w:tcW w:w="1050" w:type="dxa"/>
                  <w:vAlign w:val="center"/>
                </w:tcPr>
                <w:p w14:paraId="17382CB5">
                  <w:pPr>
                    <w:adjustRightInd w:val="0"/>
                    <w:snapToGrid w:val="0"/>
                    <w:jc w:val="center"/>
                    <w:rPr>
                      <w:color w:val="auto"/>
                      <w:szCs w:val="21"/>
                    </w:rPr>
                  </w:pPr>
                  <w:r>
                    <w:rPr>
                      <w:rFonts w:hint="eastAsia"/>
                      <w:color w:val="auto"/>
                      <w:szCs w:val="21"/>
                    </w:rPr>
                    <w:t>桶装</w:t>
                  </w:r>
                </w:p>
              </w:tc>
              <w:tc>
                <w:tcPr>
                  <w:tcW w:w="1266" w:type="dxa"/>
                  <w:vMerge w:val="continue"/>
                  <w:vAlign w:val="center"/>
                </w:tcPr>
                <w:p w14:paraId="17382CB6">
                  <w:pPr>
                    <w:adjustRightInd w:val="0"/>
                    <w:snapToGrid w:val="0"/>
                    <w:jc w:val="center"/>
                    <w:rPr>
                      <w:color w:val="auto"/>
                      <w:spacing w:val="-11"/>
                      <w:szCs w:val="21"/>
                    </w:rPr>
                  </w:pPr>
                </w:p>
              </w:tc>
            </w:tr>
            <w:tr w14:paraId="17382CC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vAlign w:val="center"/>
                </w:tcPr>
                <w:p w14:paraId="17382CB8">
                  <w:pPr>
                    <w:adjustRightInd w:val="0"/>
                    <w:snapToGrid w:val="0"/>
                    <w:jc w:val="center"/>
                    <w:rPr>
                      <w:color w:val="auto"/>
                      <w:szCs w:val="21"/>
                    </w:rPr>
                  </w:pPr>
                  <w:r>
                    <w:rPr>
                      <w:rFonts w:hint="eastAsia"/>
                      <w:color w:val="auto"/>
                      <w:szCs w:val="21"/>
                    </w:rPr>
                    <w:t>4</w:t>
                  </w:r>
                </w:p>
              </w:tc>
              <w:tc>
                <w:tcPr>
                  <w:tcW w:w="1025" w:type="dxa"/>
                  <w:shd w:val="clear" w:color="auto" w:fill="auto"/>
                  <w:vAlign w:val="center"/>
                </w:tcPr>
                <w:p w14:paraId="17382CB9">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热处理沉淀沉渣</w:t>
                  </w:r>
                </w:p>
              </w:tc>
              <w:tc>
                <w:tcPr>
                  <w:tcW w:w="971" w:type="dxa"/>
                  <w:shd w:val="clear" w:color="auto" w:fill="auto"/>
                  <w:vAlign w:val="center"/>
                </w:tcPr>
                <w:p w14:paraId="17382CBA">
                  <w:pPr>
                    <w:adjustRightInd w:val="0"/>
                    <w:snapToGrid w:val="0"/>
                    <w:jc w:val="center"/>
                    <w:rPr>
                      <w:rFonts w:cs="宋体"/>
                      <w:color w:val="auto"/>
                      <w:szCs w:val="21"/>
                    </w:rPr>
                  </w:pPr>
                  <w:r>
                    <w:rPr>
                      <w:rFonts w:hint="eastAsia" w:cs="宋体"/>
                      <w:color w:val="auto"/>
                      <w:szCs w:val="21"/>
                    </w:rPr>
                    <w:t>热处理</w:t>
                  </w:r>
                </w:p>
              </w:tc>
              <w:tc>
                <w:tcPr>
                  <w:tcW w:w="469" w:type="dxa"/>
                  <w:vMerge w:val="continue"/>
                  <w:vAlign w:val="center"/>
                </w:tcPr>
                <w:p w14:paraId="17382CBB">
                  <w:pPr>
                    <w:adjustRightInd w:val="0"/>
                    <w:snapToGrid w:val="0"/>
                    <w:jc w:val="center"/>
                    <w:rPr>
                      <w:color w:val="auto"/>
                      <w:szCs w:val="21"/>
                    </w:rPr>
                  </w:pPr>
                </w:p>
              </w:tc>
              <w:tc>
                <w:tcPr>
                  <w:tcW w:w="361" w:type="dxa"/>
                  <w:vAlign w:val="center"/>
                </w:tcPr>
                <w:p w14:paraId="17382CBC">
                  <w:pPr>
                    <w:adjustRightInd w:val="0"/>
                    <w:snapToGrid w:val="0"/>
                    <w:jc w:val="center"/>
                    <w:rPr>
                      <w:color w:val="auto"/>
                      <w:szCs w:val="21"/>
                    </w:rPr>
                  </w:pPr>
                  <w:r>
                    <w:rPr>
                      <w:rFonts w:hint="eastAsia"/>
                      <w:color w:val="auto"/>
                      <w:szCs w:val="21"/>
                    </w:rPr>
                    <w:t>固</w:t>
                  </w:r>
                </w:p>
              </w:tc>
              <w:tc>
                <w:tcPr>
                  <w:tcW w:w="695" w:type="dxa"/>
                  <w:vAlign w:val="center"/>
                </w:tcPr>
                <w:p w14:paraId="17382CBD">
                  <w:pPr>
                    <w:adjustRightInd w:val="0"/>
                    <w:snapToGrid w:val="0"/>
                    <w:jc w:val="center"/>
                    <w:rPr>
                      <w:rFonts w:cs="宋体"/>
                      <w:color w:val="auto"/>
                      <w:szCs w:val="21"/>
                    </w:rPr>
                  </w:pPr>
                  <w:r>
                    <w:rPr>
                      <w:rFonts w:hint="eastAsia" w:cs="宋体"/>
                      <w:color w:val="auto"/>
                      <w:szCs w:val="21"/>
                    </w:rPr>
                    <w:t>SW17</w:t>
                  </w:r>
                </w:p>
              </w:tc>
              <w:tc>
                <w:tcPr>
                  <w:tcW w:w="1133" w:type="dxa"/>
                  <w:vAlign w:val="center"/>
                </w:tcPr>
                <w:p w14:paraId="17382CBE">
                  <w:pPr>
                    <w:adjustRightInd w:val="0"/>
                    <w:snapToGrid w:val="0"/>
                    <w:jc w:val="center"/>
                    <w:rPr>
                      <w:rFonts w:cs="宋体"/>
                      <w:color w:val="auto"/>
                      <w:szCs w:val="21"/>
                    </w:rPr>
                  </w:pPr>
                  <w:r>
                    <w:rPr>
                      <w:rFonts w:hint="eastAsia" w:cs="宋体"/>
                      <w:color w:val="auto"/>
                      <w:szCs w:val="21"/>
                    </w:rPr>
                    <w:t>900-099-S17</w:t>
                  </w:r>
                </w:p>
              </w:tc>
              <w:tc>
                <w:tcPr>
                  <w:tcW w:w="469" w:type="dxa"/>
                  <w:vAlign w:val="center"/>
                </w:tcPr>
                <w:p w14:paraId="17382CBF">
                  <w:pPr>
                    <w:adjustRightInd w:val="0"/>
                    <w:snapToGrid w:val="0"/>
                    <w:jc w:val="center"/>
                    <w:rPr>
                      <w:rFonts w:cs="宋体"/>
                      <w:color w:val="auto"/>
                      <w:szCs w:val="21"/>
                    </w:rPr>
                  </w:pPr>
                  <w:r>
                    <w:rPr>
                      <w:rFonts w:hint="eastAsia" w:cs="宋体"/>
                      <w:color w:val="auto"/>
                      <w:szCs w:val="21"/>
                    </w:rPr>
                    <w:t>/</w:t>
                  </w:r>
                </w:p>
              </w:tc>
              <w:tc>
                <w:tcPr>
                  <w:tcW w:w="713" w:type="dxa"/>
                  <w:vAlign w:val="center"/>
                </w:tcPr>
                <w:p w14:paraId="17382CC0">
                  <w:pPr>
                    <w:adjustRightInd w:val="0"/>
                    <w:snapToGrid w:val="0"/>
                    <w:jc w:val="center"/>
                    <w:rPr>
                      <w:color w:val="auto"/>
                      <w:szCs w:val="21"/>
                    </w:rPr>
                  </w:pPr>
                  <w:r>
                    <w:rPr>
                      <w:rFonts w:hint="eastAsia"/>
                      <w:color w:val="auto"/>
                      <w:szCs w:val="21"/>
                    </w:rPr>
                    <w:t>0.5</w:t>
                  </w:r>
                </w:p>
              </w:tc>
              <w:tc>
                <w:tcPr>
                  <w:tcW w:w="1050" w:type="dxa"/>
                  <w:vAlign w:val="center"/>
                </w:tcPr>
                <w:p w14:paraId="17382CC1">
                  <w:pPr>
                    <w:adjustRightInd w:val="0"/>
                    <w:snapToGrid w:val="0"/>
                    <w:jc w:val="center"/>
                    <w:rPr>
                      <w:color w:val="auto"/>
                      <w:szCs w:val="21"/>
                    </w:rPr>
                  </w:pPr>
                  <w:r>
                    <w:rPr>
                      <w:rFonts w:hint="eastAsia"/>
                      <w:color w:val="auto"/>
                      <w:szCs w:val="21"/>
                    </w:rPr>
                    <w:t>桶装</w:t>
                  </w:r>
                </w:p>
              </w:tc>
              <w:tc>
                <w:tcPr>
                  <w:tcW w:w="1266" w:type="dxa"/>
                  <w:vMerge w:val="continue"/>
                  <w:vAlign w:val="center"/>
                </w:tcPr>
                <w:p w14:paraId="17382CC2">
                  <w:pPr>
                    <w:adjustRightInd w:val="0"/>
                    <w:snapToGrid w:val="0"/>
                    <w:jc w:val="center"/>
                    <w:rPr>
                      <w:color w:val="auto"/>
                      <w:spacing w:val="-11"/>
                      <w:szCs w:val="21"/>
                    </w:rPr>
                  </w:pPr>
                </w:p>
              </w:tc>
            </w:tr>
            <w:tr w14:paraId="17382CC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vAlign w:val="center"/>
                </w:tcPr>
                <w:p w14:paraId="17382CC4">
                  <w:pPr>
                    <w:adjustRightInd w:val="0"/>
                    <w:snapToGrid w:val="0"/>
                    <w:jc w:val="center"/>
                    <w:rPr>
                      <w:color w:val="auto"/>
                      <w:szCs w:val="21"/>
                    </w:rPr>
                  </w:pPr>
                  <w:r>
                    <w:rPr>
                      <w:rFonts w:hint="eastAsia"/>
                      <w:color w:val="auto"/>
                      <w:szCs w:val="21"/>
                    </w:rPr>
                    <w:t>5</w:t>
                  </w:r>
                </w:p>
              </w:tc>
              <w:tc>
                <w:tcPr>
                  <w:tcW w:w="1025" w:type="dxa"/>
                  <w:shd w:val="clear" w:color="auto" w:fill="auto"/>
                  <w:vAlign w:val="center"/>
                </w:tcPr>
                <w:p w14:paraId="17382CC5">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废钢丸</w:t>
                  </w:r>
                </w:p>
              </w:tc>
              <w:tc>
                <w:tcPr>
                  <w:tcW w:w="971" w:type="dxa"/>
                  <w:shd w:val="clear" w:color="auto" w:fill="auto"/>
                  <w:vAlign w:val="center"/>
                </w:tcPr>
                <w:p w14:paraId="17382CC6">
                  <w:pPr>
                    <w:adjustRightInd w:val="0"/>
                    <w:snapToGrid w:val="0"/>
                    <w:jc w:val="center"/>
                    <w:rPr>
                      <w:rFonts w:cs="宋体"/>
                      <w:color w:val="auto"/>
                      <w:szCs w:val="21"/>
                    </w:rPr>
                  </w:pPr>
                  <w:r>
                    <w:rPr>
                      <w:rFonts w:hint="eastAsia" w:cs="宋体"/>
                      <w:color w:val="auto"/>
                      <w:szCs w:val="21"/>
                    </w:rPr>
                    <w:t>除锈</w:t>
                  </w:r>
                </w:p>
              </w:tc>
              <w:tc>
                <w:tcPr>
                  <w:tcW w:w="469" w:type="dxa"/>
                  <w:vMerge w:val="continue"/>
                  <w:vAlign w:val="center"/>
                </w:tcPr>
                <w:p w14:paraId="17382CC7">
                  <w:pPr>
                    <w:adjustRightInd w:val="0"/>
                    <w:snapToGrid w:val="0"/>
                    <w:jc w:val="center"/>
                    <w:rPr>
                      <w:color w:val="auto"/>
                      <w:szCs w:val="21"/>
                    </w:rPr>
                  </w:pPr>
                </w:p>
              </w:tc>
              <w:tc>
                <w:tcPr>
                  <w:tcW w:w="361" w:type="dxa"/>
                  <w:vAlign w:val="center"/>
                </w:tcPr>
                <w:p w14:paraId="17382CC8">
                  <w:pPr>
                    <w:adjustRightInd w:val="0"/>
                    <w:snapToGrid w:val="0"/>
                    <w:jc w:val="center"/>
                    <w:rPr>
                      <w:color w:val="auto"/>
                      <w:szCs w:val="21"/>
                    </w:rPr>
                  </w:pPr>
                  <w:r>
                    <w:rPr>
                      <w:rFonts w:hint="eastAsia"/>
                      <w:color w:val="auto"/>
                      <w:szCs w:val="21"/>
                    </w:rPr>
                    <w:t>固</w:t>
                  </w:r>
                </w:p>
              </w:tc>
              <w:tc>
                <w:tcPr>
                  <w:tcW w:w="695" w:type="dxa"/>
                  <w:vAlign w:val="center"/>
                </w:tcPr>
                <w:p w14:paraId="17382CC9">
                  <w:pPr>
                    <w:adjustRightInd w:val="0"/>
                    <w:snapToGrid w:val="0"/>
                    <w:jc w:val="center"/>
                    <w:rPr>
                      <w:rFonts w:cs="宋体"/>
                      <w:color w:val="auto"/>
                      <w:szCs w:val="21"/>
                    </w:rPr>
                  </w:pPr>
                  <w:r>
                    <w:rPr>
                      <w:rFonts w:hint="eastAsia" w:cs="宋体"/>
                      <w:color w:val="auto"/>
                      <w:szCs w:val="21"/>
                    </w:rPr>
                    <w:t>SW17</w:t>
                  </w:r>
                </w:p>
              </w:tc>
              <w:tc>
                <w:tcPr>
                  <w:tcW w:w="1133" w:type="dxa"/>
                  <w:vAlign w:val="center"/>
                </w:tcPr>
                <w:p w14:paraId="17382CCA">
                  <w:pPr>
                    <w:adjustRightInd w:val="0"/>
                    <w:snapToGrid w:val="0"/>
                    <w:jc w:val="center"/>
                    <w:rPr>
                      <w:rFonts w:cs="宋体"/>
                      <w:color w:val="auto"/>
                      <w:szCs w:val="21"/>
                    </w:rPr>
                  </w:pPr>
                  <w:r>
                    <w:rPr>
                      <w:rFonts w:hint="eastAsia" w:cs="宋体"/>
                      <w:color w:val="auto"/>
                      <w:szCs w:val="21"/>
                    </w:rPr>
                    <w:t>900-099-S17</w:t>
                  </w:r>
                </w:p>
              </w:tc>
              <w:tc>
                <w:tcPr>
                  <w:tcW w:w="469" w:type="dxa"/>
                  <w:vAlign w:val="center"/>
                </w:tcPr>
                <w:p w14:paraId="17382CCB">
                  <w:pPr>
                    <w:adjustRightInd w:val="0"/>
                    <w:snapToGrid w:val="0"/>
                    <w:jc w:val="center"/>
                    <w:rPr>
                      <w:rFonts w:cs="宋体"/>
                      <w:color w:val="auto"/>
                      <w:szCs w:val="21"/>
                    </w:rPr>
                  </w:pPr>
                  <w:r>
                    <w:rPr>
                      <w:rFonts w:hint="eastAsia" w:cs="宋体"/>
                      <w:color w:val="auto"/>
                      <w:szCs w:val="21"/>
                    </w:rPr>
                    <w:t>/</w:t>
                  </w:r>
                </w:p>
              </w:tc>
              <w:tc>
                <w:tcPr>
                  <w:tcW w:w="713" w:type="dxa"/>
                  <w:vAlign w:val="center"/>
                </w:tcPr>
                <w:p w14:paraId="17382CCC">
                  <w:pPr>
                    <w:adjustRightInd w:val="0"/>
                    <w:snapToGrid w:val="0"/>
                    <w:jc w:val="center"/>
                    <w:rPr>
                      <w:color w:val="auto"/>
                      <w:szCs w:val="21"/>
                    </w:rPr>
                  </w:pPr>
                  <w:r>
                    <w:rPr>
                      <w:rFonts w:hint="eastAsia"/>
                      <w:color w:val="auto"/>
                      <w:szCs w:val="21"/>
                    </w:rPr>
                    <w:t>0.1</w:t>
                  </w:r>
                </w:p>
              </w:tc>
              <w:tc>
                <w:tcPr>
                  <w:tcW w:w="1050" w:type="dxa"/>
                  <w:vAlign w:val="center"/>
                </w:tcPr>
                <w:p w14:paraId="17382CCD">
                  <w:pPr>
                    <w:adjustRightInd w:val="0"/>
                    <w:snapToGrid w:val="0"/>
                    <w:jc w:val="center"/>
                    <w:rPr>
                      <w:color w:val="auto"/>
                      <w:szCs w:val="21"/>
                    </w:rPr>
                  </w:pPr>
                  <w:r>
                    <w:rPr>
                      <w:rFonts w:hint="eastAsia"/>
                      <w:color w:val="auto"/>
                      <w:szCs w:val="21"/>
                    </w:rPr>
                    <w:t>袋装</w:t>
                  </w:r>
                </w:p>
              </w:tc>
              <w:tc>
                <w:tcPr>
                  <w:tcW w:w="1266" w:type="dxa"/>
                  <w:vMerge w:val="continue"/>
                  <w:vAlign w:val="center"/>
                </w:tcPr>
                <w:p w14:paraId="17382CCE">
                  <w:pPr>
                    <w:adjustRightInd w:val="0"/>
                    <w:snapToGrid w:val="0"/>
                    <w:jc w:val="center"/>
                    <w:rPr>
                      <w:color w:val="auto"/>
                      <w:spacing w:val="-11"/>
                      <w:szCs w:val="21"/>
                    </w:rPr>
                  </w:pPr>
                </w:p>
              </w:tc>
            </w:tr>
            <w:tr w14:paraId="17382CD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vAlign w:val="center"/>
                </w:tcPr>
                <w:p w14:paraId="17382CD0">
                  <w:pPr>
                    <w:adjustRightInd w:val="0"/>
                    <w:snapToGrid w:val="0"/>
                    <w:jc w:val="center"/>
                    <w:rPr>
                      <w:color w:val="auto"/>
                      <w:szCs w:val="21"/>
                    </w:rPr>
                  </w:pPr>
                  <w:r>
                    <w:rPr>
                      <w:rFonts w:hint="eastAsia"/>
                      <w:color w:val="auto"/>
                      <w:szCs w:val="21"/>
                    </w:rPr>
                    <w:t>6</w:t>
                  </w:r>
                </w:p>
              </w:tc>
              <w:tc>
                <w:tcPr>
                  <w:tcW w:w="1025" w:type="dxa"/>
                  <w:shd w:val="clear" w:color="auto" w:fill="auto"/>
                  <w:vAlign w:val="center"/>
                </w:tcPr>
                <w:p w14:paraId="17382CD1">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清洗沉淀沉渣</w:t>
                  </w:r>
                </w:p>
              </w:tc>
              <w:tc>
                <w:tcPr>
                  <w:tcW w:w="971" w:type="dxa"/>
                  <w:shd w:val="clear" w:color="auto" w:fill="auto"/>
                  <w:vAlign w:val="center"/>
                </w:tcPr>
                <w:p w14:paraId="17382CD2">
                  <w:pPr>
                    <w:adjustRightInd w:val="0"/>
                    <w:snapToGrid w:val="0"/>
                    <w:jc w:val="center"/>
                    <w:rPr>
                      <w:rFonts w:cs="宋体"/>
                      <w:color w:val="auto"/>
                      <w:szCs w:val="21"/>
                    </w:rPr>
                  </w:pPr>
                  <w:r>
                    <w:rPr>
                      <w:rFonts w:hint="eastAsia" w:cs="宋体"/>
                      <w:color w:val="auto"/>
                      <w:szCs w:val="21"/>
                    </w:rPr>
                    <w:t>清洗</w:t>
                  </w:r>
                </w:p>
              </w:tc>
              <w:tc>
                <w:tcPr>
                  <w:tcW w:w="469" w:type="dxa"/>
                  <w:vMerge w:val="continue"/>
                  <w:vAlign w:val="center"/>
                </w:tcPr>
                <w:p w14:paraId="17382CD3">
                  <w:pPr>
                    <w:adjustRightInd w:val="0"/>
                    <w:snapToGrid w:val="0"/>
                    <w:jc w:val="center"/>
                    <w:rPr>
                      <w:color w:val="auto"/>
                      <w:szCs w:val="21"/>
                    </w:rPr>
                  </w:pPr>
                </w:p>
              </w:tc>
              <w:tc>
                <w:tcPr>
                  <w:tcW w:w="361" w:type="dxa"/>
                  <w:vAlign w:val="center"/>
                </w:tcPr>
                <w:p w14:paraId="17382CD4">
                  <w:pPr>
                    <w:adjustRightInd w:val="0"/>
                    <w:snapToGrid w:val="0"/>
                    <w:jc w:val="center"/>
                    <w:rPr>
                      <w:color w:val="auto"/>
                      <w:szCs w:val="21"/>
                    </w:rPr>
                  </w:pPr>
                  <w:r>
                    <w:rPr>
                      <w:rFonts w:hint="eastAsia"/>
                      <w:color w:val="auto"/>
                      <w:szCs w:val="21"/>
                    </w:rPr>
                    <w:t>固</w:t>
                  </w:r>
                </w:p>
              </w:tc>
              <w:tc>
                <w:tcPr>
                  <w:tcW w:w="695" w:type="dxa"/>
                  <w:vAlign w:val="center"/>
                </w:tcPr>
                <w:p w14:paraId="17382CD5">
                  <w:pPr>
                    <w:adjustRightInd w:val="0"/>
                    <w:snapToGrid w:val="0"/>
                    <w:jc w:val="center"/>
                    <w:rPr>
                      <w:rFonts w:cs="宋体"/>
                      <w:color w:val="auto"/>
                      <w:szCs w:val="21"/>
                    </w:rPr>
                  </w:pPr>
                  <w:r>
                    <w:rPr>
                      <w:rFonts w:hint="eastAsia" w:cs="宋体"/>
                      <w:color w:val="auto"/>
                      <w:szCs w:val="21"/>
                    </w:rPr>
                    <w:t>SW17</w:t>
                  </w:r>
                </w:p>
              </w:tc>
              <w:tc>
                <w:tcPr>
                  <w:tcW w:w="1133" w:type="dxa"/>
                  <w:vAlign w:val="center"/>
                </w:tcPr>
                <w:p w14:paraId="17382CD6">
                  <w:pPr>
                    <w:adjustRightInd w:val="0"/>
                    <w:snapToGrid w:val="0"/>
                    <w:jc w:val="center"/>
                    <w:rPr>
                      <w:rFonts w:cs="宋体"/>
                      <w:color w:val="auto"/>
                      <w:szCs w:val="21"/>
                    </w:rPr>
                  </w:pPr>
                  <w:r>
                    <w:rPr>
                      <w:rFonts w:hint="eastAsia" w:cs="宋体"/>
                      <w:color w:val="auto"/>
                      <w:szCs w:val="21"/>
                    </w:rPr>
                    <w:t>900-099-S17</w:t>
                  </w:r>
                </w:p>
              </w:tc>
              <w:tc>
                <w:tcPr>
                  <w:tcW w:w="469" w:type="dxa"/>
                  <w:vAlign w:val="center"/>
                </w:tcPr>
                <w:p w14:paraId="17382CD7">
                  <w:pPr>
                    <w:adjustRightInd w:val="0"/>
                    <w:snapToGrid w:val="0"/>
                    <w:jc w:val="center"/>
                    <w:rPr>
                      <w:rFonts w:cs="宋体"/>
                      <w:color w:val="auto"/>
                      <w:szCs w:val="21"/>
                    </w:rPr>
                  </w:pPr>
                  <w:r>
                    <w:rPr>
                      <w:rFonts w:hint="eastAsia" w:cs="宋体"/>
                      <w:color w:val="auto"/>
                      <w:szCs w:val="21"/>
                    </w:rPr>
                    <w:t>/</w:t>
                  </w:r>
                </w:p>
              </w:tc>
              <w:tc>
                <w:tcPr>
                  <w:tcW w:w="713" w:type="dxa"/>
                  <w:vAlign w:val="center"/>
                </w:tcPr>
                <w:p w14:paraId="17382CD8">
                  <w:pPr>
                    <w:adjustRightInd w:val="0"/>
                    <w:snapToGrid w:val="0"/>
                    <w:jc w:val="center"/>
                    <w:rPr>
                      <w:color w:val="auto"/>
                      <w:szCs w:val="21"/>
                    </w:rPr>
                  </w:pPr>
                  <w:r>
                    <w:rPr>
                      <w:rFonts w:hint="eastAsia"/>
                      <w:color w:val="auto"/>
                      <w:szCs w:val="21"/>
                    </w:rPr>
                    <w:t>0.08</w:t>
                  </w:r>
                </w:p>
              </w:tc>
              <w:tc>
                <w:tcPr>
                  <w:tcW w:w="1050" w:type="dxa"/>
                  <w:vAlign w:val="center"/>
                </w:tcPr>
                <w:p w14:paraId="17382CD9">
                  <w:pPr>
                    <w:adjustRightInd w:val="0"/>
                    <w:snapToGrid w:val="0"/>
                    <w:jc w:val="center"/>
                    <w:rPr>
                      <w:color w:val="auto"/>
                      <w:szCs w:val="21"/>
                    </w:rPr>
                  </w:pPr>
                  <w:r>
                    <w:rPr>
                      <w:rFonts w:hint="eastAsia"/>
                      <w:color w:val="auto"/>
                      <w:szCs w:val="21"/>
                    </w:rPr>
                    <w:t>桶装</w:t>
                  </w:r>
                </w:p>
              </w:tc>
              <w:tc>
                <w:tcPr>
                  <w:tcW w:w="1266" w:type="dxa"/>
                  <w:vMerge w:val="continue"/>
                  <w:vAlign w:val="center"/>
                </w:tcPr>
                <w:p w14:paraId="17382CDA">
                  <w:pPr>
                    <w:adjustRightInd w:val="0"/>
                    <w:snapToGrid w:val="0"/>
                    <w:jc w:val="center"/>
                    <w:rPr>
                      <w:color w:val="auto"/>
                      <w:spacing w:val="-11"/>
                      <w:szCs w:val="21"/>
                    </w:rPr>
                  </w:pPr>
                </w:p>
              </w:tc>
            </w:tr>
            <w:tr w14:paraId="17382CE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vAlign w:val="center"/>
                </w:tcPr>
                <w:p w14:paraId="17382CDC">
                  <w:pPr>
                    <w:adjustRightInd w:val="0"/>
                    <w:snapToGrid w:val="0"/>
                    <w:jc w:val="center"/>
                    <w:rPr>
                      <w:color w:val="auto"/>
                      <w:szCs w:val="21"/>
                    </w:rPr>
                  </w:pPr>
                  <w:r>
                    <w:rPr>
                      <w:rFonts w:hint="eastAsia"/>
                      <w:color w:val="auto"/>
                      <w:szCs w:val="21"/>
                    </w:rPr>
                    <w:t>7</w:t>
                  </w:r>
                </w:p>
              </w:tc>
              <w:tc>
                <w:tcPr>
                  <w:tcW w:w="1025" w:type="dxa"/>
                  <w:shd w:val="clear" w:color="auto" w:fill="auto"/>
                  <w:vAlign w:val="center"/>
                </w:tcPr>
                <w:p w14:paraId="17382CDD">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布袋</w:t>
                  </w:r>
                  <w:r>
                    <w:rPr>
                      <w:rFonts w:ascii="Times New Roman" w:hAnsi="Times New Roman"/>
                      <w:b w:val="0"/>
                      <w:color w:val="auto"/>
                      <w:sz w:val="21"/>
                      <w:szCs w:val="21"/>
                    </w:rPr>
                    <w:t>收集粉尘</w:t>
                  </w:r>
                </w:p>
              </w:tc>
              <w:tc>
                <w:tcPr>
                  <w:tcW w:w="971" w:type="dxa"/>
                  <w:shd w:val="clear" w:color="auto" w:fill="auto"/>
                  <w:vAlign w:val="center"/>
                </w:tcPr>
                <w:p w14:paraId="17382CDE">
                  <w:pPr>
                    <w:adjustRightInd w:val="0"/>
                    <w:snapToGrid w:val="0"/>
                    <w:jc w:val="center"/>
                    <w:rPr>
                      <w:color w:val="auto"/>
                      <w:szCs w:val="21"/>
                    </w:rPr>
                  </w:pPr>
                  <w:r>
                    <w:rPr>
                      <w:rFonts w:hint="eastAsia"/>
                      <w:color w:val="auto"/>
                      <w:szCs w:val="21"/>
                    </w:rPr>
                    <w:t>废气治理</w:t>
                  </w:r>
                </w:p>
              </w:tc>
              <w:tc>
                <w:tcPr>
                  <w:tcW w:w="469" w:type="dxa"/>
                  <w:vMerge w:val="continue"/>
                  <w:vAlign w:val="center"/>
                </w:tcPr>
                <w:p w14:paraId="17382CDF">
                  <w:pPr>
                    <w:adjustRightInd w:val="0"/>
                    <w:snapToGrid w:val="0"/>
                    <w:jc w:val="center"/>
                    <w:rPr>
                      <w:color w:val="auto"/>
                      <w:szCs w:val="21"/>
                    </w:rPr>
                  </w:pPr>
                </w:p>
              </w:tc>
              <w:tc>
                <w:tcPr>
                  <w:tcW w:w="361" w:type="dxa"/>
                  <w:shd w:val="clear" w:color="auto" w:fill="auto"/>
                  <w:vAlign w:val="center"/>
                </w:tcPr>
                <w:p w14:paraId="17382CE0">
                  <w:pPr>
                    <w:adjustRightInd w:val="0"/>
                    <w:snapToGrid w:val="0"/>
                    <w:jc w:val="center"/>
                    <w:rPr>
                      <w:color w:val="auto"/>
                      <w:szCs w:val="21"/>
                    </w:rPr>
                  </w:pPr>
                  <w:r>
                    <w:rPr>
                      <w:rFonts w:hint="eastAsia"/>
                      <w:color w:val="auto"/>
                      <w:szCs w:val="21"/>
                    </w:rPr>
                    <w:t>固</w:t>
                  </w:r>
                </w:p>
              </w:tc>
              <w:tc>
                <w:tcPr>
                  <w:tcW w:w="695" w:type="dxa"/>
                  <w:shd w:val="clear" w:color="auto" w:fill="auto"/>
                  <w:vAlign w:val="center"/>
                </w:tcPr>
                <w:p w14:paraId="17382CE1">
                  <w:pPr>
                    <w:adjustRightInd w:val="0"/>
                    <w:snapToGrid w:val="0"/>
                    <w:jc w:val="center"/>
                    <w:rPr>
                      <w:rFonts w:cs="宋体"/>
                      <w:color w:val="auto"/>
                      <w:szCs w:val="21"/>
                    </w:rPr>
                  </w:pPr>
                  <w:r>
                    <w:rPr>
                      <w:rFonts w:hint="eastAsia" w:cs="宋体"/>
                      <w:color w:val="auto"/>
                      <w:szCs w:val="21"/>
                    </w:rPr>
                    <w:t>SW17</w:t>
                  </w:r>
                </w:p>
              </w:tc>
              <w:tc>
                <w:tcPr>
                  <w:tcW w:w="1133" w:type="dxa"/>
                  <w:shd w:val="clear" w:color="auto" w:fill="auto"/>
                  <w:vAlign w:val="center"/>
                </w:tcPr>
                <w:p w14:paraId="17382CE2">
                  <w:pPr>
                    <w:adjustRightInd w:val="0"/>
                    <w:snapToGrid w:val="0"/>
                    <w:jc w:val="center"/>
                    <w:rPr>
                      <w:rFonts w:cs="宋体"/>
                      <w:color w:val="auto"/>
                      <w:szCs w:val="21"/>
                    </w:rPr>
                  </w:pPr>
                  <w:r>
                    <w:rPr>
                      <w:rFonts w:hint="eastAsia" w:cs="宋体"/>
                      <w:color w:val="auto"/>
                      <w:szCs w:val="21"/>
                    </w:rPr>
                    <w:t>900-00</w:t>
                  </w:r>
                  <w:r>
                    <w:rPr>
                      <w:rFonts w:hint="eastAsia" w:cs="宋体"/>
                      <w:color w:val="auto"/>
                      <w:szCs w:val="21"/>
                      <w:lang w:val="en-US" w:eastAsia="zh-CN"/>
                    </w:rPr>
                    <w:t>2</w:t>
                  </w:r>
                  <w:r>
                    <w:rPr>
                      <w:rFonts w:hint="eastAsia" w:cs="宋体"/>
                      <w:color w:val="auto"/>
                      <w:szCs w:val="21"/>
                    </w:rPr>
                    <w:t>-S17</w:t>
                  </w:r>
                </w:p>
              </w:tc>
              <w:tc>
                <w:tcPr>
                  <w:tcW w:w="469" w:type="dxa"/>
                  <w:shd w:val="clear" w:color="auto" w:fill="auto"/>
                  <w:vAlign w:val="center"/>
                </w:tcPr>
                <w:p w14:paraId="17382CE3">
                  <w:pPr>
                    <w:adjustRightInd w:val="0"/>
                    <w:snapToGrid w:val="0"/>
                    <w:jc w:val="center"/>
                    <w:rPr>
                      <w:rFonts w:cs="宋体"/>
                      <w:color w:val="auto"/>
                      <w:szCs w:val="21"/>
                    </w:rPr>
                  </w:pPr>
                  <w:r>
                    <w:rPr>
                      <w:rFonts w:hint="eastAsia" w:cs="宋体"/>
                      <w:color w:val="auto"/>
                      <w:szCs w:val="21"/>
                    </w:rPr>
                    <w:t>/</w:t>
                  </w:r>
                </w:p>
              </w:tc>
              <w:tc>
                <w:tcPr>
                  <w:tcW w:w="713" w:type="dxa"/>
                  <w:shd w:val="clear" w:color="auto" w:fill="auto"/>
                  <w:vAlign w:val="center"/>
                </w:tcPr>
                <w:p w14:paraId="17382CE4">
                  <w:pPr>
                    <w:adjustRightInd w:val="0"/>
                    <w:snapToGrid w:val="0"/>
                    <w:jc w:val="center"/>
                    <w:rPr>
                      <w:color w:val="auto"/>
                      <w:szCs w:val="21"/>
                    </w:rPr>
                  </w:pPr>
                  <w:r>
                    <w:rPr>
                      <w:rFonts w:hint="eastAsia"/>
                      <w:color w:val="auto"/>
                      <w:szCs w:val="21"/>
                    </w:rPr>
                    <w:t>1.92</w:t>
                  </w:r>
                </w:p>
              </w:tc>
              <w:tc>
                <w:tcPr>
                  <w:tcW w:w="1050" w:type="dxa"/>
                  <w:shd w:val="clear" w:color="auto" w:fill="auto"/>
                  <w:vAlign w:val="center"/>
                </w:tcPr>
                <w:p w14:paraId="17382CE5">
                  <w:pPr>
                    <w:adjustRightInd w:val="0"/>
                    <w:snapToGrid w:val="0"/>
                    <w:jc w:val="center"/>
                    <w:rPr>
                      <w:color w:val="auto"/>
                      <w:szCs w:val="21"/>
                    </w:rPr>
                  </w:pPr>
                  <w:r>
                    <w:rPr>
                      <w:rFonts w:hint="eastAsia"/>
                      <w:color w:val="auto"/>
                      <w:szCs w:val="21"/>
                    </w:rPr>
                    <w:t>袋装</w:t>
                  </w:r>
                </w:p>
              </w:tc>
              <w:tc>
                <w:tcPr>
                  <w:tcW w:w="1266" w:type="dxa"/>
                  <w:vMerge w:val="continue"/>
                  <w:vAlign w:val="center"/>
                </w:tcPr>
                <w:p w14:paraId="17382CE6">
                  <w:pPr>
                    <w:adjustRightInd w:val="0"/>
                    <w:snapToGrid w:val="0"/>
                    <w:jc w:val="center"/>
                    <w:rPr>
                      <w:color w:val="auto"/>
                      <w:spacing w:val="-11"/>
                      <w:szCs w:val="21"/>
                    </w:rPr>
                  </w:pPr>
                </w:p>
              </w:tc>
            </w:tr>
            <w:tr w14:paraId="17382CF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vAlign w:val="center"/>
                </w:tcPr>
                <w:p w14:paraId="17382CE8">
                  <w:pPr>
                    <w:adjustRightInd w:val="0"/>
                    <w:snapToGrid w:val="0"/>
                    <w:jc w:val="center"/>
                    <w:rPr>
                      <w:color w:val="auto"/>
                      <w:szCs w:val="21"/>
                    </w:rPr>
                  </w:pPr>
                  <w:r>
                    <w:rPr>
                      <w:rFonts w:hint="eastAsia"/>
                      <w:color w:val="auto"/>
                      <w:szCs w:val="21"/>
                    </w:rPr>
                    <w:t>8</w:t>
                  </w:r>
                </w:p>
              </w:tc>
              <w:tc>
                <w:tcPr>
                  <w:tcW w:w="1025" w:type="dxa"/>
                  <w:shd w:val="clear" w:color="auto" w:fill="auto"/>
                  <w:vAlign w:val="center"/>
                </w:tcPr>
                <w:p w14:paraId="17382CE9">
                  <w:pPr>
                    <w:pStyle w:val="107"/>
                    <w:spacing w:line="240" w:lineRule="auto"/>
                    <w:ind w:firstLine="0" w:firstLineChars="0"/>
                    <w:jc w:val="center"/>
                    <w:rPr>
                      <w:rFonts w:ascii="Times New Roman" w:hAnsi="Times New Roman"/>
                      <w:b w:val="0"/>
                      <w:color w:val="auto"/>
                      <w:sz w:val="21"/>
                      <w:szCs w:val="21"/>
                    </w:rPr>
                  </w:pPr>
                  <w:r>
                    <w:rPr>
                      <w:rFonts w:ascii="Times New Roman" w:hAnsi="Times New Roman"/>
                      <w:b w:val="0"/>
                      <w:color w:val="auto"/>
                      <w:sz w:val="21"/>
                      <w:szCs w:val="21"/>
                    </w:rPr>
                    <w:t>废布袋</w:t>
                  </w:r>
                  <w:r>
                    <w:rPr>
                      <w:rFonts w:hint="eastAsia" w:ascii="Times New Roman" w:hAnsi="Times New Roman"/>
                      <w:b w:val="0"/>
                      <w:color w:val="auto"/>
                      <w:sz w:val="21"/>
                      <w:szCs w:val="21"/>
                    </w:rPr>
                    <w:t>、废滤筒</w:t>
                  </w:r>
                </w:p>
              </w:tc>
              <w:tc>
                <w:tcPr>
                  <w:tcW w:w="971" w:type="dxa"/>
                  <w:shd w:val="clear" w:color="auto" w:fill="auto"/>
                  <w:vAlign w:val="center"/>
                </w:tcPr>
                <w:p w14:paraId="17382CEA">
                  <w:pPr>
                    <w:adjustRightInd w:val="0"/>
                    <w:snapToGrid w:val="0"/>
                    <w:jc w:val="center"/>
                    <w:rPr>
                      <w:color w:val="auto"/>
                      <w:szCs w:val="21"/>
                    </w:rPr>
                  </w:pPr>
                  <w:r>
                    <w:rPr>
                      <w:rFonts w:hint="eastAsia"/>
                      <w:color w:val="auto"/>
                      <w:szCs w:val="21"/>
                    </w:rPr>
                    <w:t>废气治理</w:t>
                  </w:r>
                </w:p>
              </w:tc>
              <w:tc>
                <w:tcPr>
                  <w:tcW w:w="469" w:type="dxa"/>
                  <w:vMerge w:val="continue"/>
                  <w:vAlign w:val="center"/>
                </w:tcPr>
                <w:p w14:paraId="17382CEB">
                  <w:pPr>
                    <w:adjustRightInd w:val="0"/>
                    <w:snapToGrid w:val="0"/>
                    <w:jc w:val="center"/>
                    <w:rPr>
                      <w:color w:val="auto"/>
                      <w:szCs w:val="21"/>
                    </w:rPr>
                  </w:pPr>
                </w:p>
              </w:tc>
              <w:tc>
                <w:tcPr>
                  <w:tcW w:w="361" w:type="dxa"/>
                  <w:shd w:val="clear" w:color="auto" w:fill="auto"/>
                  <w:vAlign w:val="center"/>
                </w:tcPr>
                <w:p w14:paraId="17382CEC">
                  <w:pPr>
                    <w:adjustRightInd w:val="0"/>
                    <w:snapToGrid w:val="0"/>
                    <w:jc w:val="center"/>
                    <w:rPr>
                      <w:color w:val="auto"/>
                      <w:szCs w:val="21"/>
                    </w:rPr>
                  </w:pPr>
                  <w:r>
                    <w:rPr>
                      <w:rFonts w:hint="eastAsia"/>
                      <w:color w:val="auto"/>
                      <w:szCs w:val="21"/>
                    </w:rPr>
                    <w:t>固</w:t>
                  </w:r>
                </w:p>
              </w:tc>
              <w:tc>
                <w:tcPr>
                  <w:tcW w:w="695" w:type="dxa"/>
                  <w:shd w:val="clear" w:color="auto" w:fill="auto"/>
                  <w:vAlign w:val="center"/>
                </w:tcPr>
                <w:p w14:paraId="17382CED">
                  <w:pPr>
                    <w:adjustRightInd w:val="0"/>
                    <w:snapToGrid w:val="0"/>
                    <w:jc w:val="center"/>
                    <w:rPr>
                      <w:rFonts w:cs="宋体"/>
                      <w:color w:val="auto"/>
                      <w:szCs w:val="21"/>
                    </w:rPr>
                  </w:pPr>
                  <w:r>
                    <w:rPr>
                      <w:rFonts w:hint="eastAsia" w:cs="宋体"/>
                      <w:color w:val="auto"/>
                      <w:szCs w:val="21"/>
                    </w:rPr>
                    <w:t>SW59</w:t>
                  </w:r>
                </w:p>
              </w:tc>
              <w:tc>
                <w:tcPr>
                  <w:tcW w:w="1133" w:type="dxa"/>
                  <w:shd w:val="clear" w:color="auto" w:fill="auto"/>
                  <w:vAlign w:val="center"/>
                </w:tcPr>
                <w:p w14:paraId="17382CEE">
                  <w:pPr>
                    <w:adjustRightInd w:val="0"/>
                    <w:snapToGrid w:val="0"/>
                    <w:jc w:val="center"/>
                    <w:rPr>
                      <w:rFonts w:cs="宋体"/>
                      <w:color w:val="auto"/>
                      <w:szCs w:val="21"/>
                    </w:rPr>
                  </w:pPr>
                  <w:r>
                    <w:rPr>
                      <w:rFonts w:hint="eastAsia" w:cs="宋体"/>
                      <w:color w:val="auto"/>
                      <w:szCs w:val="21"/>
                    </w:rPr>
                    <w:t>900-009-S59</w:t>
                  </w:r>
                </w:p>
              </w:tc>
              <w:tc>
                <w:tcPr>
                  <w:tcW w:w="469" w:type="dxa"/>
                  <w:shd w:val="clear" w:color="auto" w:fill="auto"/>
                  <w:vAlign w:val="center"/>
                </w:tcPr>
                <w:p w14:paraId="17382CEF">
                  <w:pPr>
                    <w:adjustRightInd w:val="0"/>
                    <w:snapToGrid w:val="0"/>
                    <w:jc w:val="center"/>
                    <w:rPr>
                      <w:rFonts w:cs="宋体"/>
                      <w:color w:val="auto"/>
                      <w:szCs w:val="21"/>
                    </w:rPr>
                  </w:pPr>
                  <w:r>
                    <w:rPr>
                      <w:rFonts w:hint="eastAsia" w:cs="宋体"/>
                      <w:color w:val="auto"/>
                      <w:szCs w:val="21"/>
                    </w:rPr>
                    <w:t>/</w:t>
                  </w:r>
                </w:p>
              </w:tc>
              <w:tc>
                <w:tcPr>
                  <w:tcW w:w="713" w:type="dxa"/>
                  <w:shd w:val="clear" w:color="auto" w:fill="auto"/>
                  <w:vAlign w:val="center"/>
                </w:tcPr>
                <w:p w14:paraId="17382CF0">
                  <w:pPr>
                    <w:adjustRightInd w:val="0"/>
                    <w:snapToGrid w:val="0"/>
                    <w:jc w:val="center"/>
                    <w:rPr>
                      <w:color w:val="auto"/>
                      <w:szCs w:val="21"/>
                    </w:rPr>
                  </w:pPr>
                  <w:r>
                    <w:rPr>
                      <w:rFonts w:hint="eastAsia"/>
                      <w:color w:val="auto"/>
                      <w:szCs w:val="21"/>
                    </w:rPr>
                    <w:t>0.26</w:t>
                  </w:r>
                </w:p>
              </w:tc>
              <w:tc>
                <w:tcPr>
                  <w:tcW w:w="1050" w:type="dxa"/>
                  <w:shd w:val="clear" w:color="auto" w:fill="auto"/>
                  <w:vAlign w:val="center"/>
                </w:tcPr>
                <w:p w14:paraId="17382CF1">
                  <w:pPr>
                    <w:adjustRightInd w:val="0"/>
                    <w:snapToGrid w:val="0"/>
                    <w:jc w:val="center"/>
                    <w:rPr>
                      <w:color w:val="auto"/>
                      <w:szCs w:val="21"/>
                    </w:rPr>
                  </w:pPr>
                  <w:r>
                    <w:rPr>
                      <w:rFonts w:hint="eastAsia"/>
                      <w:color w:val="auto"/>
                      <w:szCs w:val="21"/>
                    </w:rPr>
                    <w:t>袋装</w:t>
                  </w:r>
                </w:p>
              </w:tc>
              <w:tc>
                <w:tcPr>
                  <w:tcW w:w="1266" w:type="dxa"/>
                  <w:vMerge w:val="continue"/>
                  <w:vAlign w:val="center"/>
                </w:tcPr>
                <w:p w14:paraId="17382CF2">
                  <w:pPr>
                    <w:adjustRightInd w:val="0"/>
                    <w:snapToGrid w:val="0"/>
                    <w:jc w:val="center"/>
                    <w:rPr>
                      <w:color w:val="auto"/>
                      <w:spacing w:val="-11"/>
                      <w:szCs w:val="21"/>
                    </w:rPr>
                  </w:pPr>
                </w:p>
              </w:tc>
            </w:tr>
            <w:tr w14:paraId="68911D8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shd w:val="clear" w:color="auto" w:fill="auto"/>
                  <w:vAlign w:val="center"/>
                </w:tcPr>
                <w:p w14:paraId="6DFF6F57">
                  <w:pPr>
                    <w:adjustRightInd w:val="0"/>
                    <w:snapToGrid w:val="0"/>
                    <w:jc w:val="center"/>
                    <w:rPr>
                      <w:rFonts w:hint="eastAsia" w:ascii="Times New Roman" w:hAnsi="Times New Roman" w:eastAsia="宋体" w:cs="Times New Roman"/>
                      <w:color w:val="auto"/>
                      <w:kern w:val="2"/>
                      <w:sz w:val="21"/>
                      <w:szCs w:val="21"/>
                      <w:lang w:val="en-US" w:eastAsia="zh-CN" w:bidi="ar-SA"/>
                    </w:rPr>
                  </w:pPr>
                  <w:r>
                    <w:rPr>
                      <w:rFonts w:hint="eastAsia"/>
                      <w:color w:val="auto"/>
                      <w:szCs w:val="21"/>
                    </w:rPr>
                    <w:t>9</w:t>
                  </w:r>
                </w:p>
              </w:tc>
              <w:tc>
                <w:tcPr>
                  <w:tcW w:w="1025" w:type="dxa"/>
                  <w:shd w:val="clear" w:color="auto" w:fill="auto"/>
                  <w:vAlign w:val="center"/>
                </w:tcPr>
                <w:p w14:paraId="7D9C2B09">
                  <w:pPr>
                    <w:pStyle w:val="107"/>
                    <w:spacing w:line="240" w:lineRule="auto"/>
                    <w:ind w:firstLine="0" w:firstLineChars="0"/>
                    <w:jc w:val="center"/>
                    <w:rPr>
                      <w:rFonts w:hint="default" w:ascii="Times New Roman" w:hAnsi="Times New Roman" w:eastAsia="宋体"/>
                      <w:b w:val="0"/>
                      <w:color w:val="auto"/>
                      <w:sz w:val="21"/>
                      <w:szCs w:val="21"/>
                      <w:lang w:val="en-US" w:eastAsia="zh-CN"/>
                    </w:rPr>
                  </w:pPr>
                  <w:r>
                    <w:rPr>
                      <w:rFonts w:hint="eastAsia" w:ascii="Times New Roman" w:hAnsi="Times New Roman"/>
                      <w:b w:val="0"/>
                      <w:color w:val="auto"/>
                      <w:sz w:val="21"/>
                      <w:szCs w:val="21"/>
                      <w:lang w:val="en-US" w:eastAsia="zh-CN"/>
                    </w:rPr>
                    <w:t>不合格品</w:t>
                  </w:r>
                </w:p>
              </w:tc>
              <w:tc>
                <w:tcPr>
                  <w:tcW w:w="971" w:type="dxa"/>
                  <w:shd w:val="clear" w:color="auto" w:fill="auto"/>
                  <w:vAlign w:val="center"/>
                </w:tcPr>
                <w:p w14:paraId="18ED80FD">
                  <w:pPr>
                    <w:adjustRightInd w:val="0"/>
                    <w:snapToGrid w:val="0"/>
                    <w:jc w:val="center"/>
                    <w:rPr>
                      <w:rFonts w:hint="eastAsia" w:eastAsia="宋体"/>
                      <w:color w:val="auto"/>
                      <w:szCs w:val="21"/>
                      <w:lang w:val="en-US" w:eastAsia="zh-CN"/>
                    </w:rPr>
                  </w:pPr>
                  <w:r>
                    <w:rPr>
                      <w:rFonts w:hint="eastAsia"/>
                      <w:color w:val="auto"/>
                      <w:szCs w:val="21"/>
                      <w:lang w:val="en-US" w:eastAsia="zh-CN"/>
                    </w:rPr>
                    <w:t>检验</w:t>
                  </w:r>
                </w:p>
              </w:tc>
              <w:tc>
                <w:tcPr>
                  <w:tcW w:w="469" w:type="dxa"/>
                  <w:vMerge w:val="continue"/>
                  <w:vAlign w:val="center"/>
                </w:tcPr>
                <w:p w14:paraId="71A1DAAA">
                  <w:pPr>
                    <w:adjustRightInd w:val="0"/>
                    <w:snapToGrid w:val="0"/>
                    <w:jc w:val="center"/>
                    <w:rPr>
                      <w:color w:val="auto"/>
                      <w:szCs w:val="21"/>
                    </w:rPr>
                  </w:pPr>
                </w:p>
              </w:tc>
              <w:tc>
                <w:tcPr>
                  <w:tcW w:w="361" w:type="dxa"/>
                  <w:shd w:val="clear" w:color="auto" w:fill="auto"/>
                  <w:vAlign w:val="center"/>
                </w:tcPr>
                <w:p w14:paraId="63F5F407">
                  <w:pPr>
                    <w:adjustRightInd w:val="0"/>
                    <w:snapToGrid w:val="0"/>
                    <w:jc w:val="center"/>
                    <w:rPr>
                      <w:rFonts w:hint="eastAsia" w:eastAsia="宋体"/>
                      <w:color w:val="auto"/>
                      <w:szCs w:val="21"/>
                      <w:lang w:val="en-US" w:eastAsia="zh-CN"/>
                    </w:rPr>
                  </w:pPr>
                  <w:r>
                    <w:rPr>
                      <w:rFonts w:hint="eastAsia"/>
                      <w:color w:val="auto"/>
                      <w:szCs w:val="21"/>
                      <w:lang w:val="en-US" w:eastAsia="zh-CN"/>
                    </w:rPr>
                    <w:t>固</w:t>
                  </w:r>
                </w:p>
              </w:tc>
              <w:tc>
                <w:tcPr>
                  <w:tcW w:w="695" w:type="dxa"/>
                  <w:shd w:val="clear" w:color="auto" w:fill="auto"/>
                  <w:vAlign w:val="center"/>
                </w:tcPr>
                <w:p w14:paraId="016A4551">
                  <w:pPr>
                    <w:adjustRightInd w:val="0"/>
                    <w:snapToGrid w:val="0"/>
                    <w:jc w:val="center"/>
                    <w:rPr>
                      <w:rFonts w:hint="default" w:eastAsia="宋体" w:cs="宋体"/>
                      <w:color w:val="auto"/>
                      <w:szCs w:val="21"/>
                      <w:lang w:val="en-US" w:eastAsia="zh-CN"/>
                    </w:rPr>
                  </w:pPr>
                  <w:r>
                    <w:rPr>
                      <w:rFonts w:hint="eastAsia" w:cs="宋体"/>
                      <w:color w:val="auto"/>
                      <w:szCs w:val="21"/>
                      <w:lang w:val="en-US" w:eastAsia="zh-CN"/>
                    </w:rPr>
                    <w:t>SW17</w:t>
                  </w:r>
                </w:p>
              </w:tc>
              <w:tc>
                <w:tcPr>
                  <w:tcW w:w="1133" w:type="dxa"/>
                  <w:shd w:val="clear" w:color="auto" w:fill="auto"/>
                  <w:vAlign w:val="center"/>
                </w:tcPr>
                <w:p w14:paraId="1C152943">
                  <w:pPr>
                    <w:adjustRightInd w:val="0"/>
                    <w:snapToGrid w:val="0"/>
                    <w:jc w:val="center"/>
                    <w:rPr>
                      <w:rFonts w:hint="default" w:eastAsia="宋体" w:cs="宋体"/>
                      <w:color w:val="auto"/>
                      <w:szCs w:val="21"/>
                      <w:lang w:val="en-US" w:eastAsia="zh-CN"/>
                    </w:rPr>
                  </w:pPr>
                  <w:r>
                    <w:rPr>
                      <w:rFonts w:hint="eastAsia" w:cs="宋体"/>
                      <w:color w:val="auto"/>
                      <w:szCs w:val="21"/>
                      <w:lang w:val="en-US" w:eastAsia="zh-CN"/>
                    </w:rPr>
                    <w:t>900-099-S17</w:t>
                  </w:r>
                </w:p>
              </w:tc>
              <w:tc>
                <w:tcPr>
                  <w:tcW w:w="469" w:type="dxa"/>
                  <w:shd w:val="clear" w:color="auto" w:fill="auto"/>
                  <w:vAlign w:val="center"/>
                </w:tcPr>
                <w:p w14:paraId="093D8205">
                  <w:pPr>
                    <w:adjustRightInd w:val="0"/>
                    <w:snapToGrid w:val="0"/>
                    <w:jc w:val="center"/>
                    <w:rPr>
                      <w:rFonts w:hint="eastAsia" w:cs="宋体"/>
                      <w:color w:val="auto"/>
                      <w:szCs w:val="21"/>
                    </w:rPr>
                  </w:pPr>
                  <w:r>
                    <w:rPr>
                      <w:rFonts w:hint="eastAsia" w:cs="宋体"/>
                      <w:color w:val="auto"/>
                      <w:szCs w:val="21"/>
                    </w:rPr>
                    <w:t>/</w:t>
                  </w:r>
                </w:p>
              </w:tc>
              <w:tc>
                <w:tcPr>
                  <w:tcW w:w="713" w:type="dxa"/>
                  <w:shd w:val="clear" w:color="auto" w:fill="auto"/>
                  <w:vAlign w:val="center"/>
                </w:tcPr>
                <w:p w14:paraId="09E8DD03">
                  <w:pPr>
                    <w:adjustRightInd w:val="0"/>
                    <w:snapToGrid w:val="0"/>
                    <w:jc w:val="center"/>
                    <w:rPr>
                      <w:rFonts w:hint="default" w:eastAsia="宋体"/>
                      <w:color w:val="auto"/>
                      <w:szCs w:val="21"/>
                      <w:lang w:val="en-US" w:eastAsia="zh-CN"/>
                    </w:rPr>
                  </w:pPr>
                  <w:r>
                    <w:rPr>
                      <w:rFonts w:hint="eastAsia"/>
                      <w:color w:val="auto"/>
                      <w:szCs w:val="21"/>
                      <w:lang w:val="en-US" w:eastAsia="zh-CN"/>
                    </w:rPr>
                    <w:t>1.5</w:t>
                  </w:r>
                </w:p>
              </w:tc>
              <w:tc>
                <w:tcPr>
                  <w:tcW w:w="1050" w:type="dxa"/>
                  <w:shd w:val="clear" w:color="auto" w:fill="auto"/>
                  <w:vAlign w:val="center"/>
                </w:tcPr>
                <w:p w14:paraId="134A80FD">
                  <w:pPr>
                    <w:adjustRightInd w:val="0"/>
                    <w:snapToGrid w:val="0"/>
                    <w:jc w:val="center"/>
                    <w:rPr>
                      <w:rFonts w:hint="default" w:eastAsia="宋体"/>
                      <w:color w:val="auto"/>
                      <w:szCs w:val="21"/>
                      <w:lang w:val="en-US" w:eastAsia="zh-CN"/>
                    </w:rPr>
                  </w:pPr>
                  <w:r>
                    <w:rPr>
                      <w:rFonts w:hint="eastAsia"/>
                      <w:color w:val="auto"/>
                      <w:szCs w:val="21"/>
                      <w:lang w:val="en-US" w:eastAsia="zh-CN"/>
                    </w:rPr>
                    <w:t>袋装</w:t>
                  </w:r>
                </w:p>
              </w:tc>
              <w:tc>
                <w:tcPr>
                  <w:tcW w:w="1266" w:type="dxa"/>
                  <w:vMerge w:val="continue"/>
                  <w:vAlign w:val="center"/>
                </w:tcPr>
                <w:p w14:paraId="5CB39123">
                  <w:pPr>
                    <w:adjustRightInd w:val="0"/>
                    <w:snapToGrid w:val="0"/>
                    <w:jc w:val="center"/>
                    <w:rPr>
                      <w:color w:val="auto"/>
                      <w:spacing w:val="-11"/>
                      <w:szCs w:val="21"/>
                    </w:rPr>
                  </w:pPr>
                </w:p>
              </w:tc>
            </w:tr>
            <w:tr w14:paraId="17382CF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shd w:val="clear" w:color="auto" w:fill="auto"/>
                  <w:vAlign w:val="center"/>
                </w:tcPr>
                <w:p w14:paraId="17382CF4">
                  <w:pPr>
                    <w:adjustRightInd w:val="0"/>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10</w:t>
                  </w:r>
                </w:p>
              </w:tc>
              <w:tc>
                <w:tcPr>
                  <w:tcW w:w="1025" w:type="dxa"/>
                  <w:shd w:val="clear" w:color="auto" w:fill="auto"/>
                  <w:vAlign w:val="center"/>
                </w:tcPr>
                <w:p w14:paraId="17382CF5">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注塑废边角料</w:t>
                  </w:r>
                </w:p>
              </w:tc>
              <w:tc>
                <w:tcPr>
                  <w:tcW w:w="971" w:type="dxa"/>
                  <w:shd w:val="clear" w:color="auto" w:fill="auto"/>
                  <w:vAlign w:val="center"/>
                </w:tcPr>
                <w:p w14:paraId="17382CF6">
                  <w:pPr>
                    <w:adjustRightInd w:val="0"/>
                    <w:snapToGrid w:val="0"/>
                    <w:jc w:val="center"/>
                    <w:rPr>
                      <w:rFonts w:cs="宋体"/>
                      <w:color w:val="auto"/>
                      <w:szCs w:val="21"/>
                    </w:rPr>
                  </w:pPr>
                  <w:r>
                    <w:rPr>
                      <w:rFonts w:hint="eastAsia" w:cs="宋体"/>
                      <w:color w:val="auto"/>
                      <w:szCs w:val="21"/>
                    </w:rPr>
                    <w:t>注塑</w:t>
                  </w:r>
                </w:p>
              </w:tc>
              <w:tc>
                <w:tcPr>
                  <w:tcW w:w="469" w:type="dxa"/>
                  <w:vMerge w:val="continue"/>
                  <w:vAlign w:val="center"/>
                </w:tcPr>
                <w:p w14:paraId="17382CF7">
                  <w:pPr>
                    <w:adjustRightInd w:val="0"/>
                    <w:snapToGrid w:val="0"/>
                    <w:jc w:val="center"/>
                    <w:rPr>
                      <w:color w:val="auto"/>
                      <w:szCs w:val="21"/>
                    </w:rPr>
                  </w:pPr>
                </w:p>
              </w:tc>
              <w:tc>
                <w:tcPr>
                  <w:tcW w:w="361" w:type="dxa"/>
                  <w:shd w:val="clear" w:color="auto" w:fill="auto"/>
                  <w:vAlign w:val="center"/>
                </w:tcPr>
                <w:p w14:paraId="17382CF8">
                  <w:pPr>
                    <w:adjustRightInd w:val="0"/>
                    <w:snapToGrid w:val="0"/>
                    <w:jc w:val="center"/>
                    <w:rPr>
                      <w:color w:val="auto"/>
                      <w:szCs w:val="21"/>
                    </w:rPr>
                  </w:pPr>
                  <w:r>
                    <w:rPr>
                      <w:rFonts w:hint="eastAsia"/>
                      <w:color w:val="auto"/>
                      <w:szCs w:val="21"/>
                    </w:rPr>
                    <w:t>固</w:t>
                  </w:r>
                </w:p>
              </w:tc>
              <w:tc>
                <w:tcPr>
                  <w:tcW w:w="695" w:type="dxa"/>
                  <w:shd w:val="clear" w:color="auto" w:fill="auto"/>
                  <w:vAlign w:val="center"/>
                </w:tcPr>
                <w:p w14:paraId="17382CF9">
                  <w:pPr>
                    <w:adjustRightInd w:val="0"/>
                    <w:snapToGrid w:val="0"/>
                    <w:jc w:val="center"/>
                    <w:rPr>
                      <w:rFonts w:cs="宋体"/>
                      <w:color w:val="auto"/>
                      <w:szCs w:val="21"/>
                    </w:rPr>
                  </w:pPr>
                  <w:r>
                    <w:rPr>
                      <w:rFonts w:hint="eastAsia" w:cs="宋体"/>
                      <w:color w:val="auto"/>
                      <w:szCs w:val="21"/>
                    </w:rPr>
                    <w:t>SW17</w:t>
                  </w:r>
                </w:p>
              </w:tc>
              <w:tc>
                <w:tcPr>
                  <w:tcW w:w="1133" w:type="dxa"/>
                  <w:shd w:val="clear" w:color="auto" w:fill="auto"/>
                  <w:vAlign w:val="center"/>
                </w:tcPr>
                <w:p w14:paraId="17382CFA">
                  <w:pPr>
                    <w:adjustRightInd w:val="0"/>
                    <w:snapToGrid w:val="0"/>
                    <w:jc w:val="center"/>
                    <w:rPr>
                      <w:rFonts w:cs="宋体"/>
                      <w:color w:val="auto"/>
                      <w:szCs w:val="21"/>
                    </w:rPr>
                  </w:pPr>
                  <w:r>
                    <w:rPr>
                      <w:rFonts w:hint="eastAsia" w:cs="宋体"/>
                      <w:color w:val="auto"/>
                      <w:szCs w:val="21"/>
                    </w:rPr>
                    <w:t>900-003-S17</w:t>
                  </w:r>
                </w:p>
              </w:tc>
              <w:tc>
                <w:tcPr>
                  <w:tcW w:w="469" w:type="dxa"/>
                  <w:shd w:val="clear" w:color="auto" w:fill="auto"/>
                  <w:vAlign w:val="center"/>
                </w:tcPr>
                <w:p w14:paraId="17382CFB">
                  <w:pPr>
                    <w:adjustRightInd w:val="0"/>
                    <w:snapToGrid w:val="0"/>
                    <w:jc w:val="center"/>
                    <w:rPr>
                      <w:rFonts w:cs="宋体"/>
                      <w:color w:val="auto"/>
                      <w:szCs w:val="21"/>
                    </w:rPr>
                  </w:pPr>
                  <w:r>
                    <w:rPr>
                      <w:rFonts w:hint="eastAsia" w:cs="宋体"/>
                      <w:color w:val="auto"/>
                      <w:szCs w:val="21"/>
                    </w:rPr>
                    <w:t>/</w:t>
                  </w:r>
                </w:p>
              </w:tc>
              <w:tc>
                <w:tcPr>
                  <w:tcW w:w="713" w:type="dxa"/>
                  <w:shd w:val="clear" w:color="auto" w:fill="auto"/>
                  <w:vAlign w:val="center"/>
                </w:tcPr>
                <w:p w14:paraId="17382CFC">
                  <w:pPr>
                    <w:adjustRightInd w:val="0"/>
                    <w:snapToGrid w:val="0"/>
                    <w:jc w:val="center"/>
                    <w:rPr>
                      <w:color w:val="auto"/>
                      <w:szCs w:val="21"/>
                    </w:rPr>
                  </w:pPr>
                  <w:r>
                    <w:rPr>
                      <w:rFonts w:hint="eastAsia"/>
                      <w:color w:val="auto"/>
                      <w:szCs w:val="21"/>
                    </w:rPr>
                    <w:t>0.05</w:t>
                  </w:r>
                </w:p>
              </w:tc>
              <w:tc>
                <w:tcPr>
                  <w:tcW w:w="1050" w:type="dxa"/>
                  <w:shd w:val="clear" w:color="auto" w:fill="auto"/>
                  <w:vAlign w:val="center"/>
                </w:tcPr>
                <w:p w14:paraId="17382CFD">
                  <w:pPr>
                    <w:adjustRightInd w:val="0"/>
                    <w:snapToGrid w:val="0"/>
                    <w:jc w:val="center"/>
                    <w:rPr>
                      <w:color w:val="auto"/>
                      <w:szCs w:val="21"/>
                    </w:rPr>
                  </w:pPr>
                  <w:r>
                    <w:rPr>
                      <w:rFonts w:hint="eastAsia"/>
                      <w:color w:val="auto"/>
                      <w:szCs w:val="21"/>
                    </w:rPr>
                    <w:t>袋装</w:t>
                  </w:r>
                </w:p>
              </w:tc>
              <w:tc>
                <w:tcPr>
                  <w:tcW w:w="1266" w:type="dxa"/>
                  <w:vAlign w:val="center"/>
                </w:tcPr>
                <w:p w14:paraId="17382CFE">
                  <w:pPr>
                    <w:adjustRightInd w:val="0"/>
                    <w:snapToGrid w:val="0"/>
                    <w:jc w:val="center"/>
                    <w:rPr>
                      <w:color w:val="auto"/>
                      <w:spacing w:val="-11"/>
                      <w:szCs w:val="21"/>
                    </w:rPr>
                  </w:pPr>
                  <w:r>
                    <w:rPr>
                      <w:rFonts w:hint="eastAsia"/>
                      <w:color w:val="auto"/>
                      <w:spacing w:val="-11"/>
                      <w:szCs w:val="21"/>
                    </w:rPr>
                    <w:t>回用于生产</w:t>
                  </w:r>
                </w:p>
              </w:tc>
            </w:tr>
            <w:tr w14:paraId="17382D0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shd w:val="clear" w:color="auto" w:fill="auto"/>
                  <w:vAlign w:val="center"/>
                </w:tcPr>
                <w:p w14:paraId="17382D00">
                  <w:pPr>
                    <w:adjustRightInd w:val="0"/>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11</w:t>
                  </w:r>
                </w:p>
              </w:tc>
              <w:tc>
                <w:tcPr>
                  <w:tcW w:w="1025" w:type="dxa"/>
                  <w:vAlign w:val="center"/>
                </w:tcPr>
                <w:p w14:paraId="17382D01">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不饱和聚酯树脂、固化剂、塑粉等废包装桶</w:t>
                  </w:r>
                </w:p>
              </w:tc>
              <w:tc>
                <w:tcPr>
                  <w:tcW w:w="971" w:type="dxa"/>
                  <w:vAlign w:val="center"/>
                </w:tcPr>
                <w:p w14:paraId="17382D02">
                  <w:pPr>
                    <w:adjustRightInd w:val="0"/>
                    <w:snapToGrid w:val="0"/>
                    <w:jc w:val="center"/>
                    <w:rPr>
                      <w:color w:val="auto"/>
                      <w:szCs w:val="21"/>
                    </w:rPr>
                  </w:pPr>
                  <w:r>
                    <w:rPr>
                      <w:rFonts w:hint="eastAsia"/>
                      <w:color w:val="auto"/>
                      <w:szCs w:val="21"/>
                    </w:rPr>
                    <w:t>原料包装</w:t>
                  </w:r>
                </w:p>
              </w:tc>
              <w:tc>
                <w:tcPr>
                  <w:tcW w:w="469" w:type="dxa"/>
                  <w:vMerge w:val="continue"/>
                  <w:vAlign w:val="center"/>
                </w:tcPr>
                <w:p w14:paraId="17382D03">
                  <w:pPr>
                    <w:adjustRightInd w:val="0"/>
                    <w:snapToGrid w:val="0"/>
                    <w:jc w:val="center"/>
                    <w:rPr>
                      <w:color w:val="auto"/>
                      <w:szCs w:val="21"/>
                    </w:rPr>
                  </w:pPr>
                </w:p>
              </w:tc>
              <w:tc>
                <w:tcPr>
                  <w:tcW w:w="361" w:type="dxa"/>
                  <w:vAlign w:val="center"/>
                </w:tcPr>
                <w:p w14:paraId="17382D04">
                  <w:pPr>
                    <w:adjustRightInd w:val="0"/>
                    <w:snapToGrid w:val="0"/>
                    <w:jc w:val="center"/>
                    <w:rPr>
                      <w:color w:val="auto"/>
                      <w:szCs w:val="21"/>
                    </w:rPr>
                  </w:pPr>
                  <w:r>
                    <w:rPr>
                      <w:rFonts w:hint="eastAsia"/>
                      <w:color w:val="auto"/>
                      <w:szCs w:val="21"/>
                    </w:rPr>
                    <w:t>固</w:t>
                  </w:r>
                </w:p>
              </w:tc>
              <w:tc>
                <w:tcPr>
                  <w:tcW w:w="695" w:type="dxa"/>
                  <w:shd w:val="clear" w:color="auto" w:fill="auto"/>
                  <w:vAlign w:val="center"/>
                </w:tcPr>
                <w:p w14:paraId="17382D05">
                  <w:pPr>
                    <w:adjustRightInd w:val="0"/>
                    <w:snapToGrid w:val="0"/>
                    <w:jc w:val="center"/>
                    <w:rPr>
                      <w:rFonts w:cs="宋体"/>
                      <w:color w:val="auto"/>
                      <w:szCs w:val="21"/>
                    </w:rPr>
                  </w:pPr>
                  <w:r>
                    <w:rPr>
                      <w:rFonts w:hint="eastAsia" w:cs="宋体"/>
                      <w:color w:val="auto"/>
                      <w:szCs w:val="21"/>
                    </w:rPr>
                    <w:t>SW17</w:t>
                  </w:r>
                </w:p>
              </w:tc>
              <w:tc>
                <w:tcPr>
                  <w:tcW w:w="1133" w:type="dxa"/>
                  <w:shd w:val="clear" w:color="auto" w:fill="auto"/>
                  <w:vAlign w:val="center"/>
                </w:tcPr>
                <w:p w14:paraId="17382D06">
                  <w:pPr>
                    <w:adjustRightInd w:val="0"/>
                    <w:snapToGrid w:val="0"/>
                    <w:jc w:val="center"/>
                    <w:rPr>
                      <w:rFonts w:cs="宋体"/>
                      <w:color w:val="auto"/>
                      <w:szCs w:val="21"/>
                    </w:rPr>
                  </w:pPr>
                  <w:r>
                    <w:rPr>
                      <w:rFonts w:hint="eastAsia" w:cs="宋体"/>
                      <w:color w:val="auto"/>
                      <w:szCs w:val="21"/>
                    </w:rPr>
                    <w:t>900-099-S17</w:t>
                  </w:r>
                </w:p>
              </w:tc>
              <w:tc>
                <w:tcPr>
                  <w:tcW w:w="469" w:type="dxa"/>
                  <w:shd w:val="clear" w:color="auto" w:fill="auto"/>
                  <w:vAlign w:val="center"/>
                </w:tcPr>
                <w:p w14:paraId="17382D07">
                  <w:pPr>
                    <w:adjustRightInd w:val="0"/>
                    <w:snapToGrid w:val="0"/>
                    <w:jc w:val="center"/>
                    <w:rPr>
                      <w:rFonts w:cs="宋体"/>
                      <w:color w:val="auto"/>
                      <w:szCs w:val="21"/>
                    </w:rPr>
                  </w:pPr>
                  <w:r>
                    <w:rPr>
                      <w:rFonts w:hint="eastAsia" w:cs="宋体"/>
                      <w:color w:val="auto"/>
                      <w:szCs w:val="21"/>
                    </w:rPr>
                    <w:t>/</w:t>
                  </w:r>
                </w:p>
              </w:tc>
              <w:tc>
                <w:tcPr>
                  <w:tcW w:w="713" w:type="dxa"/>
                  <w:vAlign w:val="center"/>
                </w:tcPr>
                <w:p w14:paraId="17382D08">
                  <w:pPr>
                    <w:adjustRightInd w:val="0"/>
                    <w:snapToGrid w:val="0"/>
                    <w:jc w:val="center"/>
                    <w:rPr>
                      <w:color w:val="auto"/>
                      <w:szCs w:val="21"/>
                    </w:rPr>
                  </w:pPr>
                  <w:r>
                    <w:rPr>
                      <w:rFonts w:hint="eastAsia"/>
                      <w:color w:val="auto"/>
                      <w:szCs w:val="21"/>
                    </w:rPr>
                    <w:t>0.5</w:t>
                  </w:r>
                </w:p>
              </w:tc>
              <w:tc>
                <w:tcPr>
                  <w:tcW w:w="1050" w:type="dxa"/>
                  <w:vAlign w:val="center"/>
                </w:tcPr>
                <w:p w14:paraId="17382D09">
                  <w:pPr>
                    <w:adjustRightInd w:val="0"/>
                    <w:snapToGrid w:val="0"/>
                    <w:jc w:val="center"/>
                    <w:rPr>
                      <w:color w:val="auto"/>
                      <w:szCs w:val="21"/>
                    </w:rPr>
                  </w:pPr>
                  <w:r>
                    <w:rPr>
                      <w:rFonts w:hint="eastAsia"/>
                      <w:color w:val="auto"/>
                      <w:szCs w:val="21"/>
                    </w:rPr>
                    <w:t>桶装</w:t>
                  </w:r>
                </w:p>
              </w:tc>
              <w:tc>
                <w:tcPr>
                  <w:tcW w:w="1266" w:type="dxa"/>
                  <w:vAlign w:val="center"/>
                </w:tcPr>
                <w:p w14:paraId="17382D0A">
                  <w:pPr>
                    <w:adjustRightInd w:val="0"/>
                    <w:snapToGrid w:val="0"/>
                    <w:jc w:val="center"/>
                    <w:rPr>
                      <w:color w:val="auto"/>
                      <w:spacing w:val="-11"/>
                      <w:szCs w:val="21"/>
                    </w:rPr>
                  </w:pPr>
                  <w:r>
                    <w:rPr>
                      <w:rFonts w:hint="eastAsia"/>
                      <w:color w:val="auto"/>
                      <w:spacing w:val="-11"/>
                      <w:szCs w:val="21"/>
                    </w:rPr>
                    <w:t>厂家回收</w:t>
                  </w:r>
                </w:p>
              </w:tc>
            </w:tr>
            <w:tr w14:paraId="17382D1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shd w:val="clear" w:color="auto" w:fill="auto"/>
                  <w:vAlign w:val="center"/>
                </w:tcPr>
                <w:p w14:paraId="17382D0C">
                  <w:pPr>
                    <w:adjustRightInd w:val="0"/>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12</w:t>
                  </w:r>
                </w:p>
              </w:tc>
              <w:tc>
                <w:tcPr>
                  <w:tcW w:w="1025" w:type="dxa"/>
                  <w:shd w:val="clear" w:color="auto" w:fill="auto"/>
                  <w:vAlign w:val="center"/>
                </w:tcPr>
                <w:p w14:paraId="17382D0D">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化粪池污泥</w:t>
                  </w:r>
                </w:p>
              </w:tc>
              <w:tc>
                <w:tcPr>
                  <w:tcW w:w="971" w:type="dxa"/>
                  <w:shd w:val="clear" w:color="auto" w:fill="auto"/>
                  <w:vAlign w:val="center"/>
                </w:tcPr>
                <w:p w14:paraId="17382D0E">
                  <w:pPr>
                    <w:adjustRightInd w:val="0"/>
                    <w:snapToGrid w:val="0"/>
                    <w:jc w:val="center"/>
                    <w:rPr>
                      <w:color w:val="auto"/>
                      <w:szCs w:val="21"/>
                    </w:rPr>
                  </w:pPr>
                  <w:r>
                    <w:rPr>
                      <w:rFonts w:hint="eastAsia"/>
                      <w:color w:val="auto"/>
                      <w:szCs w:val="21"/>
                    </w:rPr>
                    <w:t>废水处理</w:t>
                  </w:r>
                </w:p>
              </w:tc>
              <w:tc>
                <w:tcPr>
                  <w:tcW w:w="469" w:type="dxa"/>
                  <w:vMerge w:val="continue"/>
                  <w:vAlign w:val="center"/>
                </w:tcPr>
                <w:p w14:paraId="17382D0F">
                  <w:pPr>
                    <w:adjustRightInd w:val="0"/>
                    <w:snapToGrid w:val="0"/>
                    <w:jc w:val="center"/>
                    <w:rPr>
                      <w:color w:val="auto"/>
                      <w:szCs w:val="21"/>
                    </w:rPr>
                  </w:pPr>
                </w:p>
              </w:tc>
              <w:tc>
                <w:tcPr>
                  <w:tcW w:w="361" w:type="dxa"/>
                  <w:vAlign w:val="center"/>
                </w:tcPr>
                <w:p w14:paraId="17382D10">
                  <w:pPr>
                    <w:adjustRightInd w:val="0"/>
                    <w:snapToGrid w:val="0"/>
                    <w:jc w:val="center"/>
                    <w:rPr>
                      <w:color w:val="auto"/>
                      <w:szCs w:val="21"/>
                    </w:rPr>
                  </w:pPr>
                  <w:r>
                    <w:rPr>
                      <w:rFonts w:hint="eastAsia"/>
                      <w:color w:val="auto"/>
                      <w:szCs w:val="21"/>
                    </w:rPr>
                    <w:t>固</w:t>
                  </w:r>
                </w:p>
              </w:tc>
              <w:tc>
                <w:tcPr>
                  <w:tcW w:w="695" w:type="dxa"/>
                  <w:vAlign w:val="center"/>
                </w:tcPr>
                <w:p w14:paraId="17382D11">
                  <w:pPr>
                    <w:adjustRightInd w:val="0"/>
                    <w:snapToGrid w:val="0"/>
                    <w:jc w:val="center"/>
                    <w:rPr>
                      <w:rFonts w:cs="宋体"/>
                      <w:color w:val="auto"/>
                      <w:szCs w:val="21"/>
                    </w:rPr>
                  </w:pPr>
                  <w:r>
                    <w:rPr>
                      <w:rFonts w:hint="eastAsia" w:cs="宋体"/>
                      <w:color w:val="auto"/>
                      <w:szCs w:val="21"/>
                    </w:rPr>
                    <w:t>SW07</w:t>
                  </w:r>
                </w:p>
              </w:tc>
              <w:tc>
                <w:tcPr>
                  <w:tcW w:w="1133" w:type="dxa"/>
                  <w:vAlign w:val="center"/>
                </w:tcPr>
                <w:p w14:paraId="17382D12">
                  <w:pPr>
                    <w:adjustRightInd w:val="0"/>
                    <w:snapToGrid w:val="0"/>
                    <w:jc w:val="center"/>
                    <w:rPr>
                      <w:rFonts w:cs="宋体"/>
                      <w:color w:val="auto"/>
                      <w:szCs w:val="21"/>
                    </w:rPr>
                  </w:pPr>
                  <w:r>
                    <w:rPr>
                      <w:rFonts w:hint="eastAsia" w:cs="宋体"/>
                      <w:color w:val="auto"/>
                      <w:szCs w:val="21"/>
                    </w:rPr>
                    <w:t>900-099-S07</w:t>
                  </w:r>
                </w:p>
              </w:tc>
              <w:tc>
                <w:tcPr>
                  <w:tcW w:w="469" w:type="dxa"/>
                  <w:vAlign w:val="center"/>
                </w:tcPr>
                <w:p w14:paraId="17382D13">
                  <w:pPr>
                    <w:adjustRightInd w:val="0"/>
                    <w:snapToGrid w:val="0"/>
                    <w:jc w:val="center"/>
                    <w:rPr>
                      <w:rFonts w:cs="宋体"/>
                      <w:color w:val="auto"/>
                      <w:szCs w:val="21"/>
                    </w:rPr>
                  </w:pPr>
                  <w:r>
                    <w:rPr>
                      <w:rFonts w:hint="eastAsia" w:cs="宋体"/>
                      <w:color w:val="auto"/>
                      <w:szCs w:val="21"/>
                    </w:rPr>
                    <w:t>/</w:t>
                  </w:r>
                </w:p>
              </w:tc>
              <w:tc>
                <w:tcPr>
                  <w:tcW w:w="713" w:type="dxa"/>
                  <w:vAlign w:val="center"/>
                </w:tcPr>
                <w:p w14:paraId="17382D14">
                  <w:pPr>
                    <w:adjustRightInd w:val="0"/>
                    <w:snapToGrid w:val="0"/>
                    <w:jc w:val="center"/>
                    <w:rPr>
                      <w:color w:val="auto"/>
                      <w:szCs w:val="21"/>
                    </w:rPr>
                  </w:pPr>
                  <w:r>
                    <w:rPr>
                      <w:rFonts w:hint="eastAsia"/>
                      <w:color w:val="auto"/>
                      <w:szCs w:val="21"/>
                    </w:rPr>
                    <w:t>0.576</w:t>
                  </w:r>
                </w:p>
              </w:tc>
              <w:tc>
                <w:tcPr>
                  <w:tcW w:w="1050" w:type="dxa"/>
                  <w:vAlign w:val="center"/>
                </w:tcPr>
                <w:p w14:paraId="17382D15">
                  <w:pPr>
                    <w:adjustRightInd w:val="0"/>
                    <w:snapToGrid w:val="0"/>
                    <w:jc w:val="center"/>
                    <w:rPr>
                      <w:color w:val="auto"/>
                      <w:szCs w:val="21"/>
                    </w:rPr>
                  </w:pPr>
                  <w:r>
                    <w:rPr>
                      <w:rFonts w:hint="eastAsia"/>
                      <w:color w:val="auto"/>
                      <w:szCs w:val="21"/>
                    </w:rPr>
                    <w:t>桶装</w:t>
                  </w:r>
                </w:p>
              </w:tc>
              <w:tc>
                <w:tcPr>
                  <w:tcW w:w="1266" w:type="dxa"/>
                  <w:vAlign w:val="center"/>
                </w:tcPr>
                <w:p w14:paraId="17382D16">
                  <w:pPr>
                    <w:adjustRightInd w:val="0"/>
                    <w:snapToGrid w:val="0"/>
                    <w:jc w:val="center"/>
                    <w:rPr>
                      <w:color w:val="auto"/>
                      <w:spacing w:val="-11"/>
                      <w:szCs w:val="21"/>
                    </w:rPr>
                  </w:pPr>
                  <w:r>
                    <w:rPr>
                      <w:rFonts w:hint="eastAsia"/>
                      <w:color w:val="auto"/>
                      <w:szCs w:val="21"/>
                    </w:rPr>
                    <w:t>委托环卫人员统一清运</w:t>
                  </w:r>
                </w:p>
              </w:tc>
            </w:tr>
            <w:tr w14:paraId="17382D2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shd w:val="clear" w:color="auto" w:fill="auto"/>
                  <w:vAlign w:val="center"/>
                </w:tcPr>
                <w:p w14:paraId="17382D18">
                  <w:pPr>
                    <w:adjustRightInd w:val="0"/>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13</w:t>
                  </w:r>
                </w:p>
              </w:tc>
              <w:tc>
                <w:tcPr>
                  <w:tcW w:w="1025" w:type="dxa"/>
                  <w:shd w:val="clear" w:color="auto" w:fill="auto"/>
                  <w:vAlign w:val="center"/>
                </w:tcPr>
                <w:p w14:paraId="17382D19">
                  <w:pPr>
                    <w:pStyle w:val="107"/>
                    <w:spacing w:line="240" w:lineRule="auto"/>
                    <w:ind w:firstLine="0" w:firstLineChars="0"/>
                    <w:jc w:val="center"/>
                    <w:rPr>
                      <w:rFonts w:ascii="Times New Roman" w:hAnsi="Times New Roman"/>
                      <w:b w:val="0"/>
                      <w:color w:val="auto"/>
                      <w:sz w:val="21"/>
                      <w:szCs w:val="21"/>
                    </w:rPr>
                  </w:pPr>
                  <w:r>
                    <w:rPr>
                      <w:rFonts w:ascii="Times New Roman" w:hAnsi="Times New Roman"/>
                      <w:b w:val="0"/>
                      <w:color w:val="auto"/>
                      <w:sz w:val="21"/>
                      <w:szCs w:val="21"/>
                    </w:rPr>
                    <w:t>废</w:t>
                  </w:r>
                  <w:r>
                    <w:rPr>
                      <w:rFonts w:hint="eastAsia" w:ascii="Times New Roman" w:hAnsi="Times New Roman"/>
                      <w:b w:val="0"/>
                      <w:color w:val="auto"/>
                      <w:sz w:val="21"/>
                      <w:szCs w:val="21"/>
                    </w:rPr>
                    <w:t>机</w:t>
                  </w:r>
                  <w:r>
                    <w:rPr>
                      <w:rFonts w:ascii="Times New Roman" w:hAnsi="Times New Roman"/>
                      <w:b w:val="0"/>
                      <w:color w:val="auto"/>
                      <w:sz w:val="21"/>
                      <w:szCs w:val="21"/>
                    </w:rPr>
                    <w:t>油</w:t>
                  </w:r>
                </w:p>
              </w:tc>
              <w:tc>
                <w:tcPr>
                  <w:tcW w:w="971" w:type="dxa"/>
                  <w:shd w:val="clear" w:color="auto" w:fill="auto"/>
                  <w:vAlign w:val="center"/>
                </w:tcPr>
                <w:p w14:paraId="17382D1A">
                  <w:pPr>
                    <w:adjustRightInd w:val="0"/>
                    <w:snapToGrid w:val="0"/>
                    <w:jc w:val="center"/>
                    <w:rPr>
                      <w:color w:val="auto"/>
                      <w:szCs w:val="21"/>
                    </w:rPr>
                  </w:pPr>
                  <w:r>
                    <w:rPr>
                      <w:rFonts w:hint="eastAsia"/>
                      <w:color w:val="auto"/>
                      <w:szCs w:val="21"/>
                    </w:rPr>
                    <w:t>设备维护</w:t>
                  </w:r>
                </w:p>
              </w:tc>
              <w:tc>
                <w:tcPr>
                  <w:tcW w:w="469" w:type="dxa"/>
                  <w:vMerge w:val="restart"/>
                  <w:vAlign w:val="center"/>
                </w:tcPr>
                <w:p w14:paraId="17382D1B">
                  <w:pPr>
                    <w:adjustRightInd w:val="0"/>
                    <w:snapToGrid w:val="0"/>
                    <w:jc w:val="center"/>
                    <w:rPr>
                      <w:color w:val="auto"/>
                      <w:szCs w:val="21"/>
                    </w:rPr>
                  </w:pPr>
                  <w:r>
                    <w:rPr>
                      <w:rFonts w:hint="eastAsia"/>
                      <w:color w:val="auto"/>
                      <w:szCs w:val="21"/>
                    </w:rPr>
                    <w:t>危险</w:t>
                  </w:r>
                </w:p>
                <w:p w14:paraId="17382D1C">
                  <w:pPr>
                    <w:adjustRightInd w:val="0"/>
                    <w:snapToGrid w:val="0"/>
                    <w:jc w:val="center"/>
                    <w:rPr>
                      <w:color w:val="auto"/>
                      <w:szCs w:val="21"/>
                    </w:rPr>
                  </w:pPr>
                  <w:r>
                    <w:rPr>
                      <w:rFonts w:hint="eastAsia"/>
                      <w:color w:val="auto"/>
                      <w:szCs w:val="21"/>
                    </w:rPr>
                    <w:t>废物</w:t>
                  </w:r>
                </w:p>
              </w:tc>
              <w:tc>
                <w:tcPr>
                  <w:tcW w:w="361" w:type="dxa"/>
                  <w:shd w:val="clear" w:color="auto" w:fill="auto"/>
                  <w:vAlign w:val="center"/>
                </w:tcPr>
                <w:p w14:paraId="17382D1D">
                  <w:pPr>
                    <w:adjustRightInd w:val="0"/>
                    <w:snapToGrid w:val="0"/>
                    <w:jc w:val="center"/>
                    <w:rPr>
                      <w:color w:val="auto"/>
                      <w:szCs w:val="21"/>
                    </w:rPr>
                  </w:pPr>
                  <w:r>
                    <w:rPr>
                      <w:rFonts w:hint="eastAsia"/>
                      <w:color w:val="auto"/>
                      <w:szCs w:val="21"/>
                    </w:rPr>
                    <w:t>液</w:t>
                  </w:r>
                </w:p>
              </w:tc>
              <w:tc>
                <w:tcPr>
                  <w:tcW w:w="695" w:type="dxa"/>
                  <w:shd w:val="clear" w:color="auto" w:fill="auto"/>
                  <w:vAlign w:val="center"/>
                </w:tcPr>
                <w:p w14:paraId="17382D1E">
                  <w:pPr>
                    <w:adjustRightInd w:val="0"/>
                    <w:snapToGrid w:val="0"/>
                    <w:jc w:val="center"/>
                    <w:rPr>
                      <w:color w:val="auto"/>
                      <w:spacing w:val="-11"/>
                      <w:szCs w:val="21"/>
                    </w:rPr>
                  </w:pPr>
                  <w:r>
                    <w:rPr>
                      <w:rFonts w:hint="eastAsia"/>
                      <w:color w:val="auto"/>
                      <w:spacing w:val="-11"/>
                      <w:szCs w:val="21"/>
                    </w:rPr>
                    <w:t>HW08</w:t>
                  </w:r>
                </w:p>
              </w:tc>
              <w:tc>
                <w:tcPr>
                  <w:tcW w:w="1133" w:type="dxa"/>
                  <w:shd w:val="clear" w:color="auto" w:fill="auto"/>
                  <w:vAlign w:val="center"/>
                </w:tcPr>
                <w:p w14:paraId="17382D1F">
                  <w:pPr>
                    <w:adjustRightInd w:val="0"/>
                    <w:snapToGrid w:val="0"/>
                    <w:jc w:val="center"/>
                    <w:rPr>
                      <w:color w:val="auto"/>
                      <w:spacing w:val="-11"/>
                      <w:szCs w:val="21"/>
                    </w:rPr>
                  </w:pPr>
                  <w:r>
                    <w:rPr>
                      <w:rFonts w:hint="eastAsia"/>
                      <w:color w:val="auto"/>
                      <w:spacing w:val="-11"/>
                      <w:szCs w:val="21"/>
                    </w:rPr>
                    <w:t>900-218-08</w:t>
                  </w:r>
                </w:p>
              </w:tc>
              <w:tc>
                <w:tcPr>
                  <w:tcW w:w="469" w:type="dxa"/>
                  <w:shd w:val="clear" w:color="auto" w:fill="auto"/>
                  <w:vAlign w:val="center"/>
                </w:tcPr>
                <w:p w14:paraId="17382D20">
                  <w:pPr>
                    <w:adjustRightInd w:val="0"/>
                    <w:snapToGrid w:val="0"/>
                    <w:jc w:val="center"/>
                    <w:rPr>
                      <w:color w:val="auto"/>
                      <w:szCs w:val="21"/>
                    </w:rPr>
                  </w:pPr>
                  <w:r>
                    <w:rPr>
                      <w:rFonts w:hint="eastAsia"/>
                      <w:color w:val="auto"/>
                      <w:szCs w:val="21"/>
                    </w:rPr>
                    <w:t>T，I</w:t>
                  </w:r>
                </w:p>
              </w:tc>
              <w:tc>
                <w:tcPr>
                  <w:tcW w:w="713" w:type="dxa"/>
                  <w:shd w:val="clear" w:color="auto" w:fill="auto"/>
                  <w:vAlign w:val="center"/>
                </w:tcPr>
                <w:p w14:paraId="17382D21">
                  <w:pPr>
                    <w:adjustRightInd w:val="0"/>
                    <w:snapToGrid w:val="0"/>
                    <w:jc w:val="center"/>
                    <w:rPr>
                      <w:color w:val="auto"/>
                      <w:szCs w:val="21"/>
                    </w:rPr>
                  </w:pPr>
                  <w:r>
                    <w:rPr>
                      <w:rFonts w:hint="eastAsia"/>
                      <w:color w:val="auto"/>
                      <w:szCs w:val="21"/>
                    </w:rPr>
                    <w:t>0.24</w:t>
                  </w:r>
                </w:p>
              </w:tc>
              <w:tc>
                <w:tcPr>
                  <w:tcW w:w="1050" w:type="dxa"/>
                  <w:shd w:val="clear" w:color="auto" w:fill="auto"/>
                  <w:vAlign w:val="center"/>
                </w:tcPr>
                <w:p w14:paraId="17382D22">
                  <w:pPr>
                    <w:adjustRightInd w:val="0"/>
                    <w:snapToGrid w:val="0"/>
                    <w:jc w:val="center"/>
                    <w:rPr>
                      <w:color w:val="auto"/>
                      <w:szCs w:val="21"/>
                    </w:rPr>
                  </w:pPr>
                  <w:r>
                    <w:rPr>
                      <w:rFonts w:hint="eastAsia"/>
                      <w:color w:val="auto"/>
                      <w:szCs w:val="21"/>
                    </w:rPr>
                    <w:t>桶装</w:t>
                  </w:r>
                </w:p>
              </w:tc>
              <w:tc>
                <w:tcPr>
                  <w:tcW w:w="1266" w:type="dxa"/>
                  <w:vMerge w:val="restart"/>
                  <w:vAlign w:val="center"/>
                </w:tcPr>
                <w:p w14:paraId="17382D23">
                  <w:pPr>
                    <w:adjustRightInd w:val="0"/>
                    <w:snapToGrid w:val="0"/>
                    <w:jc w:val="center"/>
                    <w:rPr>
                      <w:color w:val="auto"/>
                      <w:szCs w:val="21"/>
                    </w:rPr>
                  </w:pPr>
                  <w:r>
                    <w:rPr>
                      <w:rFonts w:hint="eastAsia"/>
                      <w:color w:val="auto"/>
                      <w:szCs w:val="21"/>
                    </w:rPr>
                    <w:t>委托有危废处置资质单位处置</w:t>
                  </w:r>
                </w:p>
              </w:tc>
            </w:tr>
            <w:tr w14:paraId="17382D3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shd w:val="clear" w:color="auto" w:fill="auto"/>
                  <w:vAlign w:val="center"/>
                </w:tcPr>
                <w:p w14:paraId="17382D25">
                  <w:pPr>
                    <w:adjustRightInd w:val="0"/>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14</w:t>
                  </w:r>
                </w:p>
              </w:tc>
              <w:tc>
                <w:tcPr>
                  <w:tcW w:w="1025" w:type="dxa"/>
                  <w:shd w:val="clear" w:color="auto" w:fill="auto"/>
                  <w:vAlign w:val="center"/>
                </w:tcPr>
                <w:p w14:paraId="17382D26">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废机油桶</w:t>
                  </w:r>
                </w:p>
              </w:tc>
              <w:tc>
                <w:tcPr>
                  <w:tcW w:w="971" w:type="dxa"/>
                  <w:shd w:val="clear" w:color="auto" w:fill="auto"/>
                  <w:vAlign w:val="center"/>
                </w:tcPr>
                <w:p w14:paraId="17382D27">
                  <w:pPr>
                    <w:adjustRightInd w:val="0"/>
                    <w:snapToGrid w:val="0"/>
                    <w:jc w:val="center"/>
                    <w:rPr>
                      <w:color w:val="auto"/>
                      <w:szCs w:val="21"/>
                    </w:rPr>
                  </w:pPr>
                  <w:r>
                    <w:rPr>
                      <w:rFonts w:hint="eastAsia"/>
                      <w:color w:val="auto"/>
                      <w:szCs w:val="21"/>
                    </w:rPr>
                    <w:t>机油包装</w:t>
                  </w:r>
                </w:p>
              </w:tc>
              <w:tc>
                <w:tcPr>
                  <w:tcW w:w="469" w:type="dxa"/>
                  <w:vMerge w:val="continue"/>
                  <w:vAlign w:val="center"/>
                </w:tcPr>
                <w:p w14:paraId="17382D28">
                  <w:pPr>
                    <w:adjustRightInd w:val="0"/>
                    <w:snapToGrid w:val="0"/>
                    <w:jc w:val="center"/>
                    <w:rPr>
                      <w:color w:val="auto"/>
                      <w:szCs w:val="21"/>
                    </w:rPr>
                  </w:pPr>
                </w:p>
              </w:tc>
              <w:tc>
                <w:tcPr>
                  <w:tcW w:w="361" w:type="dxa"/>
                  <w:shd w:val="clear" w:color="auto" w:fill="auto"/>
                  <w:vAlign w:val="center"/>
                </w:tcPr>
                <w:p w14:paraId="17382D29">
                  <w:pPr>
                    <w:adjustRightInd w:val="0"/>
                    <w:snapToGrid w:val="0"/>
                    <w:jc w:val="center"/>
                    <w:rPr>
                      <w:color w:val="auto"/>
                      <w:szCs w:val="21"/>
                    </w:rPr>
                  </w:pPr>
                  <w:r>
                    <w:rPr>
                      <w:rFonts w:hint="eastAsia"/>
                      <w:color w:val="auto"/>
                      <w:szCs w:val="21"/>
                    </w:rPr>
                    <w:t>固</w:t>
                  </w:r>
                </w:p>
              </w:tc>
              <w:tc>
                <w:tcPr>
                  <w:tcW w:w="695" w:type="dxa"/>
                  <w:shd w:val="clear" w:color="auto" w:fill="auto"/>
                  <w:vAlign w:val="center"/>
                </w:tcPr>
                <w:p w14:paraId="17382D2A">
                  <w:pPr>
                    <w:adjustRightInd w:val="0"/>
                    <w:snapToGrid w:val="0"/>
                    <w:jc w:val="center"/>
                    <w:rPr>
                      <w:color w:val="auto"/>
                      <w:spacing w:val="-11"/>
                      <w:szCs w:val="21"/>
                    </w:rPr>
                  </w:pPr>
                  <w:r>
                    <w:rPr>
                      <w:rFonts w:hint="eastAsia"/>
                      <w:color w:val="auto"/>
                      <w:spacing w:val="-11"/>
                      <w:szCs w:val="21"/>
                    </w:rPr>
                    <w:t>HW08</w:t>
                  </w:r>
                </w:p>
              </w:tc>
              <w:tc>
                <w:tcPr>
                  <w:tcW w:w="1133" w:type="dxa"/>
                  <w:shd w:val="clear" w:color="auto" w:fill="auto"/>
                  <w:vAlign w:val="center"/>
                </w:tcPr>
                <w:p w14:paraId="17382D2B">
                  <w:pPr>
                    <w:adjustRightInd w:val="0"/>
                    <w:snapToGrid w:val="0"/>
                    <w:jc w:val="center"/>
                    <w:rPr>
                      <w:color w:val="auto"/>
                      <w:spacing w:val="-11"/>
                      <w:szCs w:val="21"/>
                    </w:rPr>
                  </w:pPr>
                  <w:r>
                    <w:rPr>
                      <w:rFonts w:hint="eastAsia"/>
                      <w:color w:val="auto"/>
                      <w:spacing w:val="-11"/>
                      <w:szCs w:val="21"/>
                    </w:rPr>
                    <w:t>900-249-08</w:t>
                  </w:r>
                </w:p>
              </w:tc>
              <w:tc>
                <w:tcPr>
                  <w:tcW w:w="469" w:type="dxa"/>
                  <w:shd w:val="clear" w:color="auto" w:fill="auto"/>
                  <w:vAlign w:val="center"/>
                </w:tcPr>
                <w:p w14:paraId="17382D2C">
                  <w:pPr>
                    <w:adjustRightInd w:val="0"/>
                    <w:snapToGrid w:val="0"/>
                    <w:jc w:val="center"/>
                    <w:rPr>
                      <w:color w:val="auto"/>
                      <w:szCs w:val="21"/>
                    </w:rPr>
                  </w:pPr>
                  <w:r>
                    <w:rPr>
                      <w:rFonts w:hint="eastAsia"/>
                      <w:color w:val="auto"/>
                      <w:szCs w:val="21"/>
                    </w:rPr>
                    <w:t>T，I</w:t>
                  </w:r>
                </w:p>
              </w:tc>
              <w:tc>
                <w:tcPr>
                  <w:tcW w:w="713" w:type="dxa"/>
                  <w:shd w:val="clear" w:color="auto" w:fill="auto"/>
                  <w:vAlign w:val="center"/>
                </w:tcPr>
                <w:p w14:paraId="17382D2D">
                  <w:pPr>
                    <w:adjustRightInd w:val="0"/>
                    <w:snapToGrid w:val="0"/>
                    <w:jc w:val="center"/>
                    <w:rPr>
                      <w:color w:val="auto"/>
                      <w:szCs w:val="21"/>
                    </w:rPr>
                  </w:pPr>
                  <w:r>
                    <w:rPr>
                      <w:rFonts w:hint="eastAsia"/>
                      <w:color w:val="auto"/>
                      <w:szCs w:val="21"/>
                    </w:rPr>
                    <w:t>0.06</w:t>
                  </w:r>
                </w:p>
              </w:tc>
              <w:tc>
                <w:tcPr>
                  <w:tcW w:w="1050" w:type="dxa"/>
                  <w:shd w:val="clear" w:color="auto" w:fill="auto"/>
                  <w:vAlign w:val="center"/>
                </w:tcPr>
                <w:p w14:paraId="17382D2E">
                  <w:pPr>
                    <w:adjustRightInd w:val="0"/>
                    <w:snapToGrid w:val="0"/>
                    <w:jc w:val="center"/>
                    <w:rPr>
                      <w:color w:val="auto"/>
                      <w:szCs w:val="21"/>
                    </w:rPr>
                  </w:pPr>
                  <w:r>
                    <w:rPr>
                      <w:rFonts w:hint="eastAsia"/>
                      <w:color w:val="auto"/>
                      <w:szCs w:val="21"/>
                    </w:rPr>
                    <w:t>加盖密闭</w:t>
                  </w:r>
                </w:p>
              </w:tc>
              <w:tc>
                <w:tcPr>
                  <w:tcW w:w="1266" w:type="dxa"/>
                  <w:vMerge w:val="continue"/>
                  <w:vAlign w:val="center"/>
                </w:tcPr>
                <w:p w14:paraId="17382D2F">
                  <w:pPr>
                    <w:adjustRightInd w:val="0"/>
                    <w:snapToGrid w:val="0"/>
                    <w:jc w:val="center"/>
                    <w:rPr>
                      <w:color w:val="auto"/>
                      <w:szCs w:val="21"/>
                    </w:rPr>
                  </w:pPr>
                </w:p>
              </w:tc>
            </w:tr>
            <w:tr w14:paraId="17382D3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shd w:val="clear" w:color="auto" w:fill="auto"/>
                  <w:vAlign w:val="center"/>
                </w:tcPr>
                <w:p w14:paraId="17382D31">
                  <w:pPr>
                    <w:adjustRightInd w:val="0"/>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15</w:t>
                  </w:r>
                </w:p>
              </w:tc>
              <w:tc>
                <w:tcPr>
                  <w:tcW w:w="1025" w:type="dxa"/>
                  <w:shd w:val="clear" w:color="auto" w:fill="auto"/>
                  <w:vAlign w:val="center"/>
                </w:tcPr>
                <w:p w14:paraId="17382D32">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废防锈油</w:t>
                  </w:r>
                </w:p>
              </w:tc>
              <w:tc>
                <w:tcPr>
                  <w:tcW w:w="971" w:type="dxa"/>
                  <w:shd w:val="clear" w:color="auto" w:fill="auto"/>
                  <w:vAlign w:val="center"/>
                </w:tcPr>
                <w:p w14:paraId="17382D33">
                  <w:pPr>
                    <w:adjustRightInd w:val="0"/>
                    <w:snapToGrid w:val="0"/>
                    <w:jc w:val="center"/>
                    <w:rPr>
                      <w:color w:val="auto"/>
                      <w:szCs w:val="21"/>
                    </w:rPr>
                  </w:pPr>
                  <w:r>
                    <w:rPr>
                      <w:rFonts w:hint="eastAsia"/>
                      <w:color w:val="auto"/>
                      <w:szCs w:val="21"/>
                    </w:rPr>
                    <w:t>涂油</w:t>
                  </w:r>
                </w:p>
              </w:tc>
              <w:tc>
                <w:tcPr>
                  <w:tcW w:w="469" w:type="dxa"/>
                  <w:vMerge w:val="continue"/>
                  <w:vAlign w:val="center"/>
                </w:tcPr>
                <w:p w14:paraId="17382D34">
                  <w:pPr>
                    <w:adjustRightInd w:val="0"/>
                    <w:snapToGrid w:val="0"/>
                    <w:jc w:val="center"/>
                    <w:rPr>
                      <w:color w:val="auto"/>
                      <w:szCs w:val="21"/>
                    </w:rPr>
                  </w:pPr>
                </w:p>
              </w:tc>
              <w:tc>
                <w:tcPr>
                  <w:tcW w:w="361" w:type="dxa"/>
                  <w:shd w:val="clear" w:color="auto" w:fill="auto"/>
                  <w:vAlign w:val="center"/>
                </w:tcPr>
                <w:p w14:paraId="17382D35">
                  <w:pPr>
                    <w:adjustRightInd w:val="0"/>
                    <w:snapToGrid w:val="0"/>
                    <w:jc w:val="center"/>
                    <w:rPr>
                      <w:color w:val="auto"/>
                      <w:szCs w:val="21"/>
                    </w:rPr>
                  </w:pPr>
                  <w:r>
                    <w:rPr>
                      <w:rFonts w:hint="eastAsia"/>
                      <w:color w:val="auto"/>
                      <w:szCs w:val="21"/>
                    </w:rPr>
                    <w:t>液</w:t>
                  </w:r>
                </w:p>
              </w:tc>
              <w:tc>
                <w:tcPr>
                  <w:tcW w:w="695" w:type="dxa"/>
                  <w:shd w:val="clear" w:color="auto" w:fill="auto"/>
                  <w:vAlign w:val="center"/>
                </w:tcPr>
                <w:p w14:paraId="17382D36">
                  <w:pPr>
                    <w:adjustRightInd w:val="0"/>
                    <w:snapToGrid w:val="0"/>
                    <w:jc w:val="center"/>
                    <w:rPr>
                      <w:color w:val="auto"/>
                      <w:spacing w:val="-11"/>
                      <w:szCs w:val="21"/>
                    </w:rPr>
                  </w:pPr>
                  <w:r>
                    <w:rPr>
                      <w:rFonts w:hint="eastAsia"/>
                      <w:color w:val="auto"/>
                      <w:spacing w:val="-11"/>
                      <w:szCs w:val="21"/>
                    </w:rPr>
                    <w:t>HW08</w:t>
                  </w:r>
                </w:p>
              </w:tc>
              <w:tc>
                <w:tcPr>
                  <w:tcW w:w="1133" w:type="dxa"/>
                  <w:shd w:val="clear" w:color="auto" w:fill="auto"/>
                  <w:vAlign w:val="center"/>
                </w:tcPr>
                <w:p w14:paraId="17382D37">
                  <w:pPr>
                    <w:adjustRightInd w:val="0"/>
                    <w:snapToGrid w:val="0"/>
                    <w:jc w:val="center"/>
                    <w:rPr>
                      <w:color w:val="auto"/>
                      <w:spacing w:val="-11"/>
                      <w:szCs w:val="21"/>
                    </w:rPr>
                  </w:pPr>
                  <w:r>
                    <w:rPr>
                      <w:rFonts w:hint="eastAsia"/>
                      <w:color w:val="auto"/>
                      <w:spacing w:val="-11"/>
                      <w:szCs w:val="21"/>
                    </w:rPr>
                    <w:t>900-216-08</w:t>
                  </w:r>
                </w:p>
              </w:tc>
              <w:tc>
                <w:tcPr>
                  <w:tcW w:w="469" w:type="dxa"/>
                  <w:shd w:val="clear" w:color="auto" w:fill="auto"/>
                  <w:vAlign w:val="center"/>
                </w:tcPr>
                <w:p w14:paraId="17382D38">
                  <w:pPr>
                    <w:adjustRightInd w:val="0"/>
                    <w:snapToGrid w:val="0"/>
                    <w:jc w:val="center"/>
                    <w:rPr>
                      <w:color w:val="auto"/>
                      <w:szCs w:val="21"/>
                    </w:rPr>
                  </w:pPr>
                  <w:r>
                    <w:rPr>
                      <w:rFonts w:hint="eastAsia"/>
                      <w:color w:val="auto"/>
                      <w:szCs w:val="21"/>
                    </w:rPr>
                    <w:t>T，I</w:t>
                  </w:r>
                </w:p>
              </w:tc>
              <w:tc>
                <w:tcPr>
                  <w:tcW w:w="713" w:type="dxa"/>
                  <w:shd w:val="clear" w:color="auto" w:fill="auto"/>
                  <w:vAlign w:val="center"/>
                </w:tcPr>
                <w:p w14:paraId="17382D39">
                  <w:pPr>
                    <w:adjustRightInd w:val="0"/>
                    <w:snapToGrid w:val="0"/>
                    <w:jc w:val="center"/>
                    <w:rPr>
                      <w:color w:val="auto"/>
                      <w:szCs w:val="21"/>
                    </w:rPr>
                  </w:pPr>
                  <w:r>
                    <w:rPr>
                      <w:rFonts w:hint="eastAsia"/>
                      <w:color w:val="auto"/>
                      <w:szCs w:val="21"/>
                    </w:rPr>
                    <w:t>0.05</w:t>
                  </w:r>
                </w:p>
              </w:tc>
              <w:tc>
                <w:tcPr>
                  <w:tcW w:w="1050" w:type="dxa"/>
                  <w:shd w:val="clear" w:color="auto" w:fill="auto"/>
                  <w:vAlign w:val="center"/>
                </w:tcPr>
                <w:p w14:paraId="17382D3A">
                  <w:pPr>
                    <w:adjustRightInd w:val="0"/>
                    <w:snapToGrid w:val="0"/>
                    <w:jc w:val="center"/>
                    <w:rPr>
                      <w:color w:val="auto"/>
                      <w:szCs w:val="21"/>
                    </w:rPr>
                  </w:pPr>
                  <w:r>
                    <w:rPr>
                      <w:rFonts w:hint="eastAsia"/>
                      <w:color w:val="auto"/>
                      <w:szCs w:val="21"/>
                    </w:rPr>
                    <w:t>桶装</w:t>
                  </w:r>
                </w:p>
              </w:tc>
              <w:tc>
                <w:tcPr>
                  <w:tcW w:w="1266" w:type="dxa"/>
                  <w:vMerge w:val="continue"/>
                  <w:vAlign w:val="center"/>
                </w:tcPr>
                <w:p w14:paraId="17382D3B">
                  <w:pPr>
                    <w:adjustRightInd w:val="0"/>
                    <w:snapToGrid w:val="0"/>
                    <w:jc w:val="center"/>
                    <w:rPr>
                      <w:color w:val="auto"/>
                      <w:szCs w:val="21"/>
                    </w:rPr>
                  </w:pPr>
                </w:p>
              </w:tc>
            </w:tr>
            <w:tr w14:paraId="17382D4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shd w:val="clear" w:color="auto" w:fill="auto"/>
                  <w:vAlign w:val="center"/>
                </w:tcPr>
                <w:p w14:paraId="17382D3D">
                  <w:pPr>
                    <w:adjustRightInd w:val="0"/>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16</w:t>
                  </w:r>
                </w:p>
              </w:tc>
              <w:tc>
                <w:tcPr>
                  <w:tcW w:w="1025" w:type="dxa"/>
                  <w:shd w:val="clear" w:color="auto" w:fill="auto"/>
                  <w:vAlign w:val="center"/>
                </w:tcPr>
                <w:p w14:paraId="17382D3E">
                  <w:pPr>
                    <w:pStyle w:val="107"/>
                    <w:spacing w:line="240" w:lineRule="auto"/>
                    <w:ind w:firstLine="0" w:firstLineChars="0"/>
                    <w:jc w:val="center"/>
                    <w:rPr>
                      <w:rFonts w:ascii="Times New Roman" w:hAnsi="Times New Roman"/>
                      <w:b w:val="0"/>
                      <w:color w:val="auto"/>
                      <w:sz w:val="21"/>
                      <w:szCs w:val="21"/>
                    </w:rPr>
                  </w:pPr>
                  <w:r>
                    <w:rPr>
                      <w:rFonts w:hint="eastAsia" w:ascii="Times New Roman" w:hAnsi="Times New Roman"/>
                      <w:b w:val="0"/>
                      <w:color w:val="auto"/>
                      <w:sz w:val="21"/>
                      <w:szCs w:val="21"/>
                    </w:rPr>
                    <w:t>废防锈油包装桶</w:t>
                  </w:r>
                </w:p>
              </w:tc>
              <w:tc>
                <w:tcPr>
                  <w:tcW w:w="971" w:type="dxa"/>
                  <w:shd w:val="clear" w:color="auto" w:fill="auto"/>
                  <w:vAlign w:val="center"/>
                </w:tcPr>
                <w:p w14:paraId="17382D3F">
                  <w:pPr>
                    <w:adjustRightInd w:val="0"/>
                    <w:snapToGrid w:val="0"/>
                    <w:jc w:val="center"/>
                    <w:rPr>
                      <w:color w:val="auto"/>
                      <w:szCs w:val="21"/>
                    </w:rPr>
                  </w:pPr>
                  <w:r>
                    <w:rPr>
                      <w:rFonts w:hint="eastAsia"/>
                      <w:color w:val="auto"/>
                      <w:szCs w:val="21"/>
                    </w:rPr>
                    <w:t>涂油</w:t>
                  </w:r>
                </w:p>
              </w:tc>
              <w:tc>
                <w:tcPr>
                  <w:tcW w:w="469" w:type="dxa"/>
                  <w:vMerge w:val="continue"/>
                  <w:vAlign w:val="center"/>
                </w:tcPr>
                <w:p w14:paraId="17382D40">
                  <w:pPr>
                    <w:adjustRightInd w:val="0"/>
                    <w:snapToGrid w:val="0"/>
                    <w:jc w:val="center"/>
                    <w:rPr>
                      <w:color w:val="auto"/>
                      <w:szCs w:val="21"/>
                    </w:rPr>
                  </w:pPr>
                </w:p>
              </w:tc>
              <w:tc>
                <w:tcPr>
                  <w:tcW w:w="361" w:type="dxa"/>
                  <w:shd w:val="clear" w:color="auto" w:fill="auto"/>
                  <w:vAlign w:val="center"/>
                </w:tcPr>
                <w:p w14:paraId="17382D41">
                  <w:pPr>
                    <w:adjustRightInd w:val="0"/>
                    <w:snapToGrid w:val="0"/>
                    <w:jc w:val="center"/>
                    <w:rPr>
                      <w:color w:val="auto"/>
                      <w:szCs w:val="21"/>
                    </w:rPr>
                  </w:pPr>
                  <w:r>
                    <w:rPr>
                      <w:rFonts w:hint="eastAsia"/>
                      <w:color w:val="auto"/>
                      <w:szCs w:val="21"/>
                    </w:rPr>
                    <w:t>液</w:t>
                  </w:r>
                </w:p>
              </w:tc>
              <w:tc>
                <w:tcPr>
                  <w:tcW w:w="695" w:type="dxa"/>
                  <w:shd w:val="clear" w:color="auto" w:fill="auto"/>
                  <w:vAlign w:val="center"/>
                </w:tcPr>
                <w:p w14:paraId="17382D42">
                  <w:pPr>
                    <w:adjustRightInd w:val="0"/>
                    <w:snapToGrid w:val="0"/>
                    <w:jc w:val="center"/>
                    <w:rPr>
                      <w:color w:val="auto"/>
                      <w:spacing w:val="-11"/>
                      <w:szCs w:val="21"/>
                    </w:rPr>
                  </w:pPr>
                  <w:r>
                    <w:rPr>
                      <w:rFonts w:hint="eastAsia"/>
                      <w:color w:val="auto"/>
                      <w:spacing w:val="-11"/>
                      <w:szCs w:val="21"/>
                    </w:rPr>
                    <w:t>HW49</w:t>
                  </w:r>
                </w:p>
              </w:tc>
              <w:tc>
                <w:tcPr>
                  <w:tcW w:w="1133" w:type="dxa"/>
                  <w:shd w:val="clear" w:color="auto" w:fill="auto"/>
                  <w:vAlign w:val="center"/>
                </w:tcPr>
                <w:p w14:paraId="17382D43">
                  <w:pPr>
                    <w:adjustRightInd w:val="0"/>
                    <w:snapToGrid w:val="0"/>
                    <w:jc w:val="center"/>
                    <w:rPr>
                      <w:color w:val="auto"/>
                      <w:spacing w:val="-11"/>
                      <w:szCs w:val="21"/>
                    </w:rPr>
                  </w:pPr>
                  <w:r>
                    <w:rPr>
                      <w:rFonts w:hint="eastAsia"/>
                      <w:color w:val="auto"/>
                      <w:spacing w:val="-11"/>
                      <w:szCs w:val="21"/>
                    </w:rPr>
                    <w:t>900-041-49</w:t>
                  </w:r>
                </w:p>
              </w:tc>
              <w:tc>
                <w:tcPr>
                  <w:tcW w:w="469" w:type="dxa"/>
                  <w:shd w:val="clear" w:color="auto" w:fill="auto"/>
                  <w:vAlign w:val="center"/>
                </w:tcPr>
                <w:p w14:paraId="17382D44">
                  <w:pPr>
                    <w:adjustRightInd w:val="0"/>
                    <w:snapToGrid w:val="0"/>
                    <w:jc w:val="center"/>
                    <w:rPr>
                      <w:color w:val="auto"/>
                      <w:szCs w:val="21"/>
                    </w:rPr>
                  </w:pPr>
                  <w:r>
                    <w:rPr>
                      <w:rFonts w:hint="eastAsia"/>
                      <w:color w:val="auto"/>
                      <w:szCs w:val="21"/>
                    </w:rPr>
                    <w:t>T/In</w:t>
                  </w:r>
                </w:p>
              </w:tc>
              <w:tc>
                <w:tcPr>
                  <w:tcW w:w="713" w:type="dxa"/>
                  <w:shd w:val="clear" w:color="auto" w:fill="auto"/>
                  <w:vAlign w:val="center"/>
                </w:tcPr>
                <w:p w14:paraId="17382D45">
                  <w:pPr>
                    <w:adjustRightInd w:val="0"/>
                    <w:snapToGrid w:val="0"/>
                    <w:jc w:val="center"/>
                    <w:rPr>
                      <w:color w:val="auto"/>
                      <w:szCs w:val="21"/>
                    </w:rPr>
                  </w:pPr>
                  <w:r>
                    <w:rPr>
                      <w:rFonts w:hint="eastAsia"/>
                      <w:color w:val="auto"/>
                      <w:szCs w:val="21"/>
                    </w:rPr>
                    <w:t>0.025</w:t>
                  </w:r>
                </w:p>
              </w:tc>
              <w:tc>
                <w:tcPr>
                  <w:tcW w:w="1050" w:type="dxa"/>
                  <w:shd w:val="clear" w:color="auto" w:fill="auto"/>
                  <w:vAlign w:val="center"/>
                </w:tcPr>
                <w:p w14:paraId="17382D46">
                  <w:pPr>
                    <w:adjustRightInd w:val="0"/>
                    <w:snapToGrid w:val="0"/>
                    <w:jc w:val="center"/>
                    <w:rPr>
                      <w:color w:val="auto"/>
                      <w:szCs w:val="21"/>
                    </w:rPr>
                  </w:pPr>
                  <w:r>
                    <w:rPr>
                      <w:rFonts w:hint="eastAsia"/>
                      <w:color w:val="auto"/>
                      <w:szCs w:val="21"/>
                    </w:rPr>
                    <w:t>加盖密闭</w:t>
                  </w:r>
                </w:p>
              </w:tc>
              <w:tc>
                <w:tcPr>
                  <w:tcW w:w="1266" w:type="dxa"/>
                  <w:vMerge w:val="continue"/>
                  <w:vAlign w:val="center"/>
                </w:tcPr>
                <w:p w14:paraId="17382D47">
                  <w:pPr>
                    <w:adjustRightInd w:val="0"/>
                    <w:snapToGrid w:val="0"/>
                    <w:jc w:val="center"/>
                    <w:rPr>
                      <w:color w:val="auto"/>
                      <w:szCs w:val="21"/>
                    </w:rPr>
                  </w:pPr>
                </w:p>
              </w:tc>
            </w:tr>
            <w:tr w14:paraId="17382D5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shd w:val="clear" w:color="auto" w:fill="auto"/>
                  <w:vAlign w:val="center"/>
                </w:tcPr>
                <w:p w14:paraId="17382D49">
                  <w:pPr>
                    <w:adjustRightInd w:val="0"/>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17</w:t>
                  </w:r>
                </w:p>
              </w:tc>
              <w:tc>
                <w:tcPr>
                  <w:tcW w:w="1025" w:type="dxa"/>
                  <w:vAlign w:val="center"/>
                </w:tcPr>
                <w:p w14:paraId="17382D4A">
                  <w:pPr>
                    <w:pStyle w:val="107"/>
                    <w:spacing w:line="240" w:lineRule="auto"/>
                    <w:ind w:firstLine="0" w:firstLineChars="0"/>
                    <w:jc w:val="center"/>
                    <w:rPr>
                      <w:rFonts w:ascii="Times New Roman" w:hAnsi="Times New Roman"/>
                      <w:b w:val="0"/>
                      <w:bCs/>
                      <w:color w:val="auto"/>
                      <w:sz w:val="21"/>
                      <w:szCs w:val="21"/>
                    </w:rPr>
                  </w:pPr>
                  <w:r>
                    <w:rPr>
                      <w:rFonts w:hint="eastAsia" w:ascii="Times New Roman"/>
                      <w:b w:val="0"/>
                      <w:bCs/>
                      <w:color w:val="auto"/>
                      <w:sz w:val="21"/>
                      <w:szCs w:val="21"/>
                    </w:rPr>
                    <w:t>废活性炭</w:t>
                  </w:r>
                </w:p>
              </w:tc>
              <w:tc>
                <w:tcPr>
                  <w:tcW w:w="971" w:type="dxa"/>
                  <w:vAlign w:val="center"/>
                </w:tcPr>
                <w:p w14:paraId="17382D4B">
                  <w:pPr>
                    <w:adjustRightInd w:val="0"/>
                    <w:snapToGrid w:val="0"/>
                    <w:jc w:val="center"/>
                    <w:rPr>
                      <w:color w:val="auto"/>
                      <w:szCs w:val="21"/>
                    </w:rPr>
                  </w:pPr>
                  <w:r>
                    <w:rPr>
                      <w:rFonts w:hint="eastAsia"/>
                      <w:color w:val="auto"/>
                      <w:szCs w:val="21"/>
                    </w:rPr>
                    <w:t>废气治理</w:t>
                  </w:r>
                </w:p>
              </w:tc>
              <w:tc>
                <w:tcPr>
                  <w:tcW w:w="469" w:type="dxa"/>
                  <w:vMerge w:val="continue"/>
                  <w:vAlign w:val="center"/>
                </w:tcPr>
                <w:p w14:paraId="17382D4C">
                  <w:pPr>
                    <w:adjustRightInd w:val="0"/>
                    <w:snapToGrid w:val="0"/>
                    <w:jc w:val="center"/>
                    <w:rPr>
                      <w:color w:val="auto"/>
                      <w:szCs w:val="21"/>
                    </w:rPr>
                  </w:pPr>
                </w:p>
              </w:tc>
              <w:tc>
                <w:tcPr>
                  <w:tcW w:w="361" w:type="dxa"/>
                  <w:vAlign w:val="center"/>
                </w:tcPr>
                <w:p w14:paraId="17382D4D">
                  <w:pPr>
                    <w:adjustRightInd w:val="0"/>
                    <w:snapToGrid w:val="0"/>
                    <w:jc w:val="center"/>
                    <w:rPr>
                      <w:color w:val="auto"/>
                      <w:szCs w:val="21"/>
                    </w:rPr>
                  </w:pPr>
                  <w:r>
                    <w:rPr>
                      <w:rFonts w:hint="eastAsia"/>
                      <w:color w:val="auto"/>
                      <w:szCs w:val="21"/>
                    </w:rPr>
                    <w:t>固</w:t>
                  </w:r>
                </w:p>
              </w:tc>
              <w:tc>
                <w:tcPr>
                  <w:tcW w:w="695" w:type="dxa"/>
                  <w:shd w:val="clear" w:color="auto" w:fill="auto"/>
                  <w:vAlign w:val="center"/>
                </w:tcPr>
                <w:p w14:paraId="17382D4E">
                  <w:pPr>
                    <w:jc w:val="center"/>
                    <w:rPr>
                      <w:color w:val="auto"/>
                      <w:szCs w:val="21"/>
                    </w:rPr>
                  </w:pPr>
                  <w:r>
                    <w:rPr>
                      <w:color w:val="auto"/>
                      <w:szCs w:val="21"/>
                    </w:rPr>
                    <w:t>HW49</w:t>
                  </w:r>
                </w:p>
              </w:tc>
              <w:tc>
                <w:tcPr>
                  <w:tcW w:w="1133" w:type="dxa"/>
                  <w:shd w:val="clear" w:color="auto" w:fill="auto"/>
                  <w:vAlign w:val="center"/>
                </w:tcPr>
                <w:p w14:paraId="17382D4F">
                  <w:pPr>
                    <w:jc w:val="center"/>
                    <w:rPr>
                      <w:color w:val="auto"/>
                      <w:szCs w:val="21"/>
                    </w:rPr>
                  </w:pPr>
                  <w:r>
                    <w:rPr>
                      <w:rFonts w:hint="eastAsia"/>
                      <w:color w:val="auto"/>
                      <w:szCs w:val="21"/>
                    </w:rPr>
                    <w:t>900-039-49</w:t>
                  </w:r>
                </w:p>
              </w:tc>
              <w:tc>
                <w:tcPr>
                  <w:tcW w:w="469" w:type="dxa"/>
                  <w:shd w:val="clear" w:color="auto" w:fill="auto"/>
                  <w:vAlign w:val="center"/>
                </w:tcPr>
                <w:p w14:paraId="17382D50">
                  <w:pPr>
                    <w:widowControl/>
                    <w:jc w:val="center"/>
                    <w:textAlignment w:val="center"/>
                    <w:rPr>
                      <w:color w:val="auto"/>
                      <w:szCs w:val="21"/>
                    </w:rPr>
                  </w:pPr>
                  <w:r>
                    <w:rPr>
                      <w:rFonts w:hint="eastAsia"/>
                      <w:color w:val="auto"/>
                      <w:szCs w:val="21"/>
                    </w:rPr>
                    <w:t>T/In</w:t>
                  </w:r>
                </w:p>
              </w:tc>
              <w:tc>
                <w:tcPr>
                  <w:tcW w:w="713" w:type="dxa"/>
                  <w:shd w:val="clear" w:color="auto" w:fill="auto"/>
                  <w:vAlign w:val="center"/>
                </w:tcPr>
                <w:p w14:paraId="17382D51">
                  <w:pPr>
                    <w:pStyle w:val="70"/>
                    <w:adjustRightInd w:val="0"/>
                    <w:snapToGrid w:val="0"/>
                    <w:spacing w:after="0"/>
                    <w:ind w:left="0" w:leftChars="0"/>
                    <w:jc w:val="center"/>
                    <w:rPr>
                      <w:rFonts w:hint="default" w:eastAsia="宋体"/>
                      <w:color w:val="auto"/>
                      <w:sz w:val="21"/>
                      <w:szCs w:val="21"/>
                      <w:lang w:val="en-US" w:eastAsia="zh-CN"/>
                    </w:rPr>
                  </w:pPr>
                  <w:r>
                    <w:rPr>
                      <w:rFonts w:hint="eastAsia"/>
                      <w:color w:val="auto"/>
                      <w:sz w:val="21"/>
                      <w:szCs w:val="21"/>
                      <w:lang w:val="en-US" w:eastAsia="zh-CN"/>
                    </w:rPr>
                    <w:t>1.1685</w:t>
                  </w:r>
                </w:p>
              </w:tc>
              <w:tc>
                <w:tcPr>
                  <w:tcW w:w="1050" w:type="dxa"/>
                  <w:vAlign w:val="center"/>
                </w:tcPr>
                <w:p w14:paraId="17382D52">
                  <w:pPr>
                    <w:adjustRightInd w:val="0"/>
                    <w:snapToGrid w:val="0"/>
                    <w:jc w:val="center"/>
                    <w:rPr>
                      <w:color w:val="auto"/>
                      <w:szCs w:val="21"/>
                    </w:rPr>
                  </w:pPr>
                  <w:r>
                    <w:rPr>
                      <w:rFonts w:hint="eastAsia"/>
                      <w:color w:val="auto"/>
                      <w:szCs w:val="21"/>
                    </w:rPr>
                    <w:t>袋装</w:t>
                  </w:r>
                </w:p>
              </w:tc>
              <w:tc>
                <w:tcPr>
                  <w:tcW w:w="1266" w:type="dxa"/>
                  <w:vMerge w:val="continue"/>
                  <w:vAlign w:val="center"/>
                </w:tcPr>
                <w:p w14:paraId="17382D53">
                  <w:pPr>
                    <w:adjustRightInd w:val="0"/>
                    <w:snapToGrid w:val="0"/>
                    <w:jc w:val="center"/>
                    <w:rPr>
                      <w:color w:val="auto"/>
                      <w:szCs w:val="21"/>
                    </w:rPr>
                  </w:pPr>
                </w:p>
              </w:tc>
            </w:tr>
            <w:tr w14:paraId="17382D6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shd w:val="clear" w:color="auto" w:fill="auto"/>
                  <w:vAlign w:val="center"/>
                </w:tcPr>
                <w:p w14:paraId="17382D55">
                  <w:pPr>
                    <w:adjustRightInd w:val="0"/>
                    <w:snapToGrid w:val="0"/>
                    <w:jc w:val="center"/>
                    <w:rPr>
                      <w:rFonts w:ascii="Times New Roman" w:hAnsi="Times New Roman" w:eastAsia="宋体" w:cs="Times New Roman"/>
                      <w:color w:val="auto"/>
                      <w:kern w:val="2"/>
                      <w:sz w:val="21"/>
                      <w:szCs w:val="21"/>
                      <w:lang w:val="en-US" w:eastAsia="zh-CN" w:bidi="ar-SA"/>
                    </w:rPr>
                  </w:pPr>
                  <w:r>
                    <w:rPr>
                      <w:rFonts w:hint="eastAsia"/>
                      <w:color w:val="auto"/>
                      <w:szCs w:val="21"/>
                    </w:rPr>
                    <w:t>18</w:t>
                  </w:r>
                </w:p>
              </w:tc>
              <w:tc>
                <w:tcPr>
                  <w:tcW w:w="1025" w:type="dxa"/>
                  <w:shd w:val="clear" w:color="auto" w:fill="auto"/>
                  <w:vAlign w:val="center"/>
                </w:tcPr>
                <w:p w14:paraId="17382D56">
                  <w:pPr>
                    <w:pStyle w:val="107"/>
                    <w:spacing w:line="240" w:lineRule="auto"/>
                    <w:ind w:firstLine="0" w:firstLineChars="0"/>
                    <w:jc w:val="center"/>
                    <w:rPr>
                      <w:rFonts w:ascii="Times New Roman" w:hAnsi="Times New Roman"/>
                      <w:b w:val="0"/>
                      <w:bCs/>
                      <w:color w:val="auto"/>
                      <w:sz w:val="21"/>
                      <w:szCs w:val="21"/>
                    </w:rPr>
                  </w:pPr>
                  <w:r>
                    <w:rPr>
                      <w:rFonts w:ascii="Times New Roman" w:hAnsi="Times New Roman"/>
                      <w:b w:val="0"/>
                      <w:bCs/>
                      <w:color w:val="auto"/>
                      <w:sz w:val="21"/>
                      <w:szCs w:val="21"/>
                    </w:rPr>
                    <w:t>废弃的含油抹布、劳保用品</w:t>
                  </w:r>
                  <w:r>
                    <w:rPr>
                      <w:rFonts w:hint="eastAsia" w:ascii="Times New Roman" w:hAnsi="Times New Roman"/>
                      <w:b w:val="0"/>
                      <w:bCs/>
                      <w:color w:val="auto"/>
                      <w:sz w:val="21"/>
                      <w:szCs w:val="21"/>
                    </w:rPr>
                    <w:t>*</w:t>
                  </w:r>
                </w:p>
              </w:tc>
              <w:tc>
                <w:tcPr>
                  <w:tcW w:w="971" w:type="dxa"/>
                  <w:shd w:val="clear" w:color="auto" w:fill="auto"/>
                  <w:vAlign w:val="center"/>
                </w:tcPr>
                <w:p w14:paraId="17382D57">
                  <w:pPr>
                    <w:adjustRightInd w:val="0"/>
                    <w:snapToGrid w:val="0"/>
                    <w:jc w:val="center"/>
                    <w:rPr>
                      <w:color w:val="auto"/>
                      <w:szCs w:val="21"/>
                    </w:rPr>
                  </w:pPr>
                  <w:r>
                    <w:rPr>
                      <w:rFonts w:hint="eastAsia"/>
                      <w:color w:val="auto"/>
                      <w:szCs w:val="21"/>
                    </w:rPr>
                    <w:t>设备维护</w:t>
                  </w:r>
                </w:p>
              </w:tc>
              <w:tc>
                <w:tcPr>
                  <w:tcW w:w="469" w:type="dxa"/>
                  <w:vMerge w:val="continue"/>
                  <w:vAlign w:val="center"/>
                </w:tcPr>
                <w:p w14:paraId="17382D58">
                  <w:pPr>
                    <w:adjustRightInd w:val="0"/>
                    <w:snapToGrid w:val="0"/>
                    <w:jc w:val="center"/>
                    <w:rPr>
                      <w:color w:val="auto"/>
                      <w:szCs w:val="21"/>
                    </w:rPr>
                  </w:pPr>
                </w:p>
              </w:tc>
              <w:tc>
                <w:tcPr>
                  <w:tcW w:w="361" w:type="dxa"/>
                  <w:shd w:val="clear" w:color="auto" w:fill="auto"/>
                  <w:vAlign w:val="center"/>
                </w:tcPr>
                <w:p w14:paraId="17382D59">
                  <w:pPr>
                    <w:adjustRightInd w:val="0"/>
                    <w:snapToGrid w:val="0"/>
                    <w:jc w:val="center"/>
                    <w:rPr>
                      <w:color w:val="auto"/>
                      <w:szCs w:val="21"/>
                    </w:rPr>
                  </w:pPr>
                  <w:r>
                    <w:rPr>
                      <w:rFonts w:hint="eastAsia"/>
                      <w:color w:val="auto"/>
                      <w:szCs w:val="21"/>
                    </w:rPr>
                    <w:t>固</w:t>
                  </w:r>
                </w:p>
              </w:tc>
              <w:tc>
                <w:tcPr>
                  <w:tcW w:w="695" w:type="dxa"/>
                  <w:shd w:val="clear" w:color="auto" w:fill="auto"/>
                  <w:vAlign w:val="center"/>
                </w:tcPr>
                <w:p w14:paraId="17382D5A">
                  <w:pPr>
                    <w:adjustRightInd w:val="0"/>
                    <w:snapToGrid w:val="0"/>
                    <w:jc w:val="center"/>
                    <w:rPr>
                      <w:color w:val="auto"/>
                      <w:spacing w:val="-11"/>
                      <w:szCs w:val="21"/>
                    </w:rPr>
                  </w:pPr>
                  <w:r>
                    <w:rPr>
                      <w:rFonts w:hint="eastAsia"/>
                      <w:color w:val="auto"/>
                      <w:spacing w:val="-11"/>
                      <w:szCs w:val="21"/>
                    </w:rPr>
                    <w:t>HW49</w:t>
                  </w:r>
                </w:p>
              </w:tc>
              <w:tc>
                <w:tcPr>
                  <w:tcW w:w="1133" w:type="dxa"/>
                  <w:shd w:val="clear" w:color="auto" w:fill="auto"/>
                  <w:vAlign w:val="center"/>
                </w:tcPr>
                <w:p w14:paraId="17382D5B">
                  <w:pPr>
                    <w:adjustRightInd w:val="0"/>
                    <w:snapToGrid w:val="0"/>
                    <w:jc w:val="center"/>
                    <w:rPr>
                      <w:color w:val="auto"/>
                      <w:spacing w:val="-11"/>
                      <w:szCs w:val="21"/>
                    </w:rPr>
                  </w:pPr>
                  <w:r>
                    <w:rPr>
                      <w:rFonts w:hint="eastAsia"/>
                      <w:color w:val="auto"/>
                      <w:spacing w:val="-11"/>
                      <w:szCs w:val="21"/>
                    </w:rPr>
                    <w:t>900-041-49</w:t>
                  </w:r>
                </w:p>
              </w:tc>
              <w:tc>
                <w:tcPr>
                  <w:tcW w:w="469" w:type="dxa"/>
                  <w:shd w:val="clear" w:color="auto" w:fill="auto"/>
                  <w:vAlign w:val="center"/>
                </w:tcPr>
                <w:p w14:paraId="17382D5C">
                  <w:pPr>
                    <w:adjustRightInd w:val="0"/>
                    <w:snapToGrid w:val="0"/>
                    <w:jc w:val="center"/>
                    <w:rPr>
                      <w:color w:val="auto"/>
                      <w:szCs w:val="21"/>
                    </w:rPr>
                  </w:pPr>
                  <w:r>
                    <w:rPr>
                      <w:rFonts w:hint="eastAsia"/>
                      <w:color w:val="auto"/>
                      <w:szCs w:val="21"/>
                    </w:rPr>
                    <w:t>T/In</w:t>
                  </w:r>
                </w:p>
              </w:tc>
              <w:tc>
                <w:tcPr>
                  <w:tcW w:w="713" w:type="dxa"/>
                  <w:shd w:val="clear" w:color="auto" w:fill="auto"/>
                  <w:vAlign w:val="center"/>
                </w:tcPr>
                <w:p w14:paraId="17382D5D">
                  <w:pPr>
                    <w:adjustRightInd w:val="0"/>
                    <w:snapToGrid w:val="0"/>
                    <w:jc w:val="center"/>
                    <w:rPr>
                      <w:color w:val="auto"/>
                      <w:szCs w:val="21"/>
                    </w:rPr>
                  </w:pPr>
                  <w:r>
                    <w:rPr>
                      <w:rFonts w:hint="eastAsia"/>
                      <w:color w:val="auto"/>
                      <w:szCs w:val="21"/>
                    </w:rPr>
                    <w:t>0.1</w:t>
                  </w:r>
                </w:p>
              </w:tc>
              <w:tc>
                <w:tcPr>
                  <w:tcW w:w="1050" w:type="dxa"/>
                  <w:shd w:val="clear" w:color="auto" w:fill="auto"/>
                  <w:vAlign w:val="center"/>
                </w:tcPr>
                <w:p w14:paraId="17382D5E">
                  <w:pPr>
                    <w:adjustRightInd w:val="0"/>
                    <w:snapToGrid w:val="0"/>
                    <w:jc w:val="center"/>
                    <w:rPr>
                      <w:color w:val="auto"/>
                      <w:szCs w:val="21"/>
                    </w:rPr>
                  </w:pPr>
                  <w:r>
                    <w:rPr>
                      <w:rFonts w:hint="eastAsia"/>
                      <w:color w:val="auto"/>
                      <w:szCs w:val="21"/>
                    </w:rPr>
                    <w:t>袋装</w:t>
                  </w:r>
                </w:p>
              </w:tc>
              <w:tc>
                <w:tcPr>
                  <w:tcW w:w="1266" w:type="dxa"/>
                  <w:vMerge w:val="restart"/>
                  <w:vAlign w:val="center"/>
                </w:tcPr>
                <w:p w14:paraId="17382D5F">
                  <w:pPr>
                    <w:adjustRightInd w:val="0"/>
                    <w:snapToGrid w:val="0"/>
                    <w:jc w:val="center"/>
                    <w:rPr>
                      <w:color w:val="auto"/>
                      <w:szCs w:val="21"/>
                    </w:rPr>
                  </w:pPr>
                  <w:r>
                    <w:rPr>
                      <w:rFonts w:hint="eastAsia"/>
                      <w:color w:val="auto"/>
                      <w:szCs w:val="21"/>
                    </w:rPr>
                    <w:t>委托环卫人员统一清运</w:t>
                  </w:r>
                </w:p>
              </w:tc>
            </w:tr>
            <w:tr w14:paraId="17382D6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302" w:type="dxa"/>
                  <w:vAlign w:val="center"/>
                </w:tcPr>
                <w:p w14:paraId="17382D61">
                  <w:pPr>
                    <w:adjustRightInd w:val="0"/>
                    <w:snapToGrid w:val="0"/>
                    <w:jc w:val="center"/>
                    <w:rPr>
                      <w:rFonts w:hint="default" w:eastAsia="宋体"/>
                      <w:color w:val="auto"/>
                      <w:szCs w:val="21"/>
                      <w:lang w:val="en-US" w:eastAsia="zh-CN"/>
                    </w:rPr>
                  </w:pPr>
                  <w:r>
                    <w:rPr>
                      <w:rFonts w:hint="eastAsia"/>
                      <w:color w:val="auto"/>
                      <w:szCs w:val="21"/>
                      <w:lang w:val="en-US" w:eastAsia="zh-CN"/>
                    </w:rPr>
                    <w:t>19</w:t>
                  </w:r>
                </w:p>
              </w:tc>
              <w:tc>
                <w:tcPr>
                  <w:tcW w:w="1025" w:type="dxa"/>
                  <w:vAlign w:val="center"/>
                </w:tcPr>
                <w:p w14:paraId="17382D62">
                  <w:pPr>
                    <w:pStyle w:val="107"/>
                    <w:spacing w:line="240" w:lineRule="auto"/>
                    <w:ind w:firstLine="0" w:firstLineChars="0"/>
                    <w:jc w:val="center"/>
                    <w:rPr>
                      <w:rFonts w:ascii="Times New Roman" w:hAnsi="Times New Roman"/>
                      <w:b w:val="0"/>
                      <w:color w:val="auto"/>
                      <w:sz w:val="21"/>
                      <w:szCs w:val="21"/>
                    </w:rPr>
                  </w:pPr>
                  <w:r>
                    <w:rPr>
                      <w:rFonts w:ascii="Times New Roman" w:hAnsi="Times New Roman"/>
                      <w:b w:val="0"/>
                      <w:color w:val="auto"/>
                      <w:sz w:val="21"/>
                      <w:szCs w:val="21"/>
                    </w:rPr>
                    <w:t>生活垃圾</w:t>
                  </w:r>
                </w:p>
              </w:tc>
              <w:tc>
                <w:tcPr>
                  <w:tcW w:w="971" w:type="dxa"/>
                  <w:vAlign w:val="center"/>
                </w:tcPr>
                <w:p w14:paraId="17382D63">
                  <w:pPr>
                    <w:adjustRightInd w:val="0"/>
                    <w:snapToGrid w:val="0"/>
                    <w:jc w:val="center"/>
                    <w:rPr>
                      <w:color w:val="auto"/>
                      <w:szCs w:val="21"/>
                    </w:rPr>
                  </w:pPr>
                  <w:r>
                    <w:rPr>
                      <w:rFonts w:hint="eastAsia"/>
                      <w:color w:val="auto"/>
                      <w:szCs w:val="21"/>
                    </w:rPr>
                    <w:t>员工工作、生活</w:t>
                  </w:r>
                </w:p>
              </w:tc>
              <w:tc>
                <w:tcPr>
                  <w:tcW w:w="469" w:type="dxa"/>
                  <w:vAlign w:val="center"/>
                </w:tcPr>
                <w:p w14:paraId="17382D64">
                  <w:pPr>
                    <w:adjustRightInd w:val="0"/>
                    <w:snapToGrid w:val="0"/>
                    <w:jc w:val="center"/>
                    <w:rPr>
                      <w:color w:val="auto"/>
                      <w:szCs w:val="21"/>
                    </w:rPr>
                  </w:pPr>
                  <w:r>
                    <w:rPr>
                      <w:rFonts w:hint="eastAsia"/>
                      <w:color w:val="auto"/>
                      <w:szCs w:val="21"/>
                    </w:rPr>
                    <w:t>生活固废</w:t>
                  </w:r>
                </w:p>
              </w:tc>
              <w:tc>
                <w:tcPr>
                  <w:tcW w:w="361" w:type="dxa"/>
                  <w:vAlign w:val="center"/>
                </w:tcPr>
                <w:p w14:paraId="17382D65">
                  <w:pPr>
                    <w:adjustRightInd w:val="0"/>
                    <w:snapToGrid w:val="0"/>
                    <w:jc w:val="center"/>
                    <w:rPr>
                      <w:color w:val="auto"/>
                      <w:szCs w:val="21"/>
                    </w:rPr>
                  </w:pPr>
                  <w:r>
                    <w:rPr>
                      <w:rFonts w:hint="eastAsia"/>
                      <w:color w:val="auto"/>
                      <w:szCs w:val="21"/>
                    </w:rPr>
                    <w:t>固</w:t>
                  </w:r>
                </w:p>
              </w:tc>
              <w:tc>
                <w:tcPr>
                  <w:tcW w:w="695" w:type="dxa"/>
                  <w:vAlign w:val="center"/>
                </w:tcPr>
                <w:p w14:paraId="17382D66">
                  <w:pPr>
                    <w:adjustRightInd w:val="0"/>
                    <w:snapToGrid w:val="0"/>
                    <w:jc w:val="center"/>
                    <w:rPr>
                      <w:color w:val="auto"/>
                      <w:spacing w:val="-11"/>
                      <w:szCs w:val="21"/>
                    </w:rPr>
                  </w:pPr>
                  <w:r>
                    <w:rPr>
                      <w:rFonts w:hint="eastAsia" w:cs="宋体"/>
                      <w:color w:val="auto"/>
                      <w:szCs w:val="21"/>
                    </w:rPr>
                    <w:t>SW64</w:t>
                  </w:r>
                </w:p>
              </w:tc>
              <w:tc>
                <w:tcPr>
                  <w:tcW w:w="1133" w:type="dxa"/>
                  <w:vAlign w:val="center"/>
                </w:tcPr>
                <w:p w14:paraId="17382D67">
                  <w:pPr>
                    <w:adjustRightInd w:val="0"/>
                    <w:snapToGrid w:val="0"/>
                    <w:jc w:val="center"/>
                    <w:rPr>
                      <w:color w:val="auto"/>
                      <w:spacing w:val="-11"/>
                      <w:szCs w:val="21"/>
                    </w:rPr>
                  </w:pPr>
                  <w:r>
                    <w:rPr>
                      <w:rFonts w:hint="eastAsia" w:cs="宋体"/>
                      <w:color w:val="auto"/>
                      <w:szCs w:val="21"/>
                    </w:rPr>
                    <w:t>900-099-S64</w:t>
                  </w:r>
                </w:p>
              </w:tc>
              <w:tc>
                <w:tcPr>
                  <w:tcW w:w="469" w:type="dxa"/>
                  <w:vAlign w:val="center"/>
                </w:tcPr>
                <w:p w14:paraId="17382D68">
                  <w:pPr>
                    <w:adjustRightInd w:val="0"/>
                    <w:snapToGrid w:val="0"/>
                    <w:jc w:val="center"/>
                    <w:rPr>
                      <w:color w:val="auto"/>
                      <w:szCs w:val="21"/>
                    </w:rPr>
                  </w:pPr>
                  <w:r>
                    <w:rPr>
                      <w:rFonts w:hint="eastAsia"/>
                      <w:color w:val="auto"/>
                      <w:szCs w:val="21"/>
                    </w:rPr>
                    <w:t>/</w:t>
                  </w:r>
                </w:p>
              </w:tc>
              <w:tc>
                <w:tcPr>
                  <w:tcW w:w="713" w:type="dxa"/>
                  <w:vAlign w:val="center"/>
                </w:tcPr>
                <w:p w14:paraId="17382D69">
                  <w:pPr>
                    <w:adjustRightInd w:val="0"/>
                    <w:snapToGrid w:val="0"/>
                    <w:jc w:val="center"/>
                    <w:rPr>
                      <w:color w:val="auto"/>
                      <w:szCs w:val="21"/>
                    </w:rPr>
                  </w:pPr>
                  <w:r>
                    <w:rPr>
                      <w:rFonts w:hint="eastAsia"/>
                      <w:color w:val="auto"/>
                      <w:szCs w:val="21"/>
                    </w:rPr>
                    <w:t>1.8</w:t>
                  </w:r>
                </w:p>
              </w:tc>
              <w:tc>
                <w:tcPr>
                  <w:tcW w:w="1050" w:type="dxa"/>
                  <w:vAlign w:val="center"/>
                </w:tcPr>
                <w:p w14:paraId="17382D6A">
                  <w:pPr>
                    <w:adjustRightInd w:val="0"/>
                    <w:snapToGrid w:val="0"/>
                    <w:jc w:val="center"/>
                    <w:rPr>
                      <w:color w:val="auto"/>
                      <w:szCs w:val="21"/>
                    </w:rPr>
                  </w:pPr>
                  <w:r>
                    <w:rPr>
                      <w:rFonts w:hint="eastAsia"/>
                      <w:color w:val="auto"/>
                      <w:szCs w:val="21"/>
                    </w:rPr>
                    <w:t>垃圾桶装</w:t>
                  </w:r>
                </w:p>
              </w:tc>
              <w:tc>
                <w:tcPr>
                  <w:tcW w:w="1266" w:type="dxa"/>
                  <w:vMerge w:val="continue"/>
                  <w:vAlign w:val="center"/>
                </w:tcPr>
                <w:p w14:paraId="17382D6B">
                  <w:pPr>
                    <w:adjustRightInd w:val="0"/>
                    <w:snapToGrid w:val="0"/>
                    <w:jc w:val="center"/>
                    <w:rPr>
                      <w:color w:val="auto"/>
                      <w:szCs w:val="21"/>
                    </w:rPr>
                  </w:pPr>
                </w:p>
              </w:tc>
            </w:tr>
          </w:tbl>
          <w:p w14:paraId="17382D6D">
            <w:pPr>
              <w:spacing w:after="120" w:afterLines="50"/>
              <w:rPr>
                <w:color w:val="auto"/>
                <w:szCs w:val="21"/>
              </w:rPr>
            </w:pPr>
            <w:r>
              <w:rPr>
                <w:color w:val="auto"/>
                <w:szCs w:val="21"/>
              </w:rPr>
              <w:t>注：*根据《国家危险废物名录》（202</w:t>
            </w:r>
            <w:r>
              <w:rPr>
                <w:rFonts w:hint="eastAsia"/>
                <w:color w:val="auto"/>
                <w:szCs w:val="21"/>
                <w:lang w:val="en-US" w:eastAsia="zh-CN"/>
              </w:rPr>
              <w:t>5</w:t>
            </w:r>
            <w:r>
              <w:rPr>
                <w:color w:val="auto"/>
                <w:szCs w:val="21"/>
              </w:rPr>
              <w:t>）危险废物豁免管理清单要求</w:t>
            </w:r>
            <w:r>
              <w:rPr>
                <w:rFonts w:hint="eastAsia"/>
                <w:color w:val="auto"/>
                <w:szCs w:val="21"/>
              </w:rPr>
              <w:t>，</w:t>
            </w:r>
            <w:r>
              <w:rPr>
                <w:color w:val="auto"/>
                <w:szCs w:val="21"/>
              </w:rPr>
              <w:t>废弃的含油抹布、劳保用品未分类收集时全过程不按照危险废物管理，因而拟建项目废弃的含油抹布、劳保手套混入生活垃圾委托环卫清运</w:t>
            </w:r>
            <w:r>
              <w:rPr>
                <w:rFonts w:hint="eastAsia"/>
                <w:color w:val="auto"/>
                <w:szCs w:val="21"/>
              </w:rPr>
              <w:t>。</w:t>
            </w:r>
          </w:p>
          <w:p w14:paraId="17382D6E">
            <w:pPr>
              <w:widowControl/>
              <w:autoSpaceDE w:val="0"/>
              <w:autoSpaceDN w:val="0"/>
              <w:adjustRightInd w:val="0"/>
              <w:snapToGrid w:val="0"/>
              <w:spacing w:before="120" w:beforeLines="50" w:line="360" w:lineRule="auto"/>
              <w:ind w:firstLine="482"/>
              <w:jc w:val="left"/>
              <w:rPr>
                <w:b/>
                <w:bCs/>
                <w:color w:val="auto"/>
                <w:sz w:val="24"/>
              </w:rPr>
            </w:pPr>
            <w:r>
              <w:rPr>
                <w:b/>
                <w:bCs/>
                <w:color w:val="auto"/>
                <w:sz w:val="24"/>
              </w:rPr>
              <w:t>4.2固废影响分析</w:t>
            </w:r>
          </w:p>
          <w:p w14:paraId="17382D6F">
            <w:pPr>
              <w:spacing w:line="360" w:lineRule="auto"/>
              <w:ind w:firstLine="480" w:firstLineChars="200"/>
              <w:rPr>
                <w:color w:val="auto"/>
                <w:sz w:val="24"/>
              </w:rPr>
            </w:pPr>
            <w:r>
              <w:rPr>
                <w:color w:val="auto"/>
                <w:sz w:val="24"/>
              </w:rPr>
              <w:t>各类固体废物应分类收集，分别在独立区域内暂存。危险废物和生活垃圾不得混入一般工业固体废物贮存、处置场，一般工业固废贮存、处置场的建设应符合</w:t>
            </w:r>
            <w:r>
              <w:rPr>
                <w:rStyle w:val="4048"/>
                <w:color w:val="auto"/>
              </w:rPr>
              <w:t>《一般工业固体废物贮存和填埋污染控制标准》（GB18599-2020）的相关要求。</w:t>
            </w:r>
            <w:r>
              <w:rPr>
                <w:color w:val="auto"/>
                <w:sz w:val="24"/>
              </w:rPr>
              <w:t>危险废物收集、贮存、运输应符合《危险废物收集贮存运输技术规范》（HJ 2025-2012）和《危险废物贮存污染控制标准》（GB 18597-2023）规定。</w:t>
            </w:r>
          </w:p>
          <w:p w14:paraId="17382D70">
            <w:pPr>
              <w:spacing w:line="360" w:lineRule="auto"/>
              <w:ind w:firstLine="480" w:firstLineChars="200"/>
              <w:jc w:val="left"/>
              <w:rPr>
                <w:color w:val="auto"/>
                <w:sz w:val="24"/>
              </w:rPr>
            </w:pPr>
            <w:r>
              <w:rPr>
                <w:color w:val="auto"/>
                <w:sz w:val="24"/>
              </w:rPr>
              <w:t>（1）一般固废管理要求</w:t>
            </w:r>
          </w:p>
          <w:p w14:paraId="17382D71">
            <w:pPr>
              <w:autoSpaceDE w:val="0"/>
              <w:autoSpaceDN w:val="0"/>
              <w:adjustRightInd w:val="0"/>
              <w:spacing w:line="360" w:lineRule="auto"/>
              <w:ind w:firstLine="480" w:firstLineChars="200"/>
              <w:jc w:val="left"/>
              <w:rPr>
                <w:color w:val="auto"/>
                <w:kern w:val="0"/>
                <w:sz w:val="24"/>
              </w:rPr>
            </w:pPr>
            <w:r>
              <w:rPr>
                <w:color w:val="auto"/>
                <w:kern w:val="0"/>
                <w:sz w:val="24"/>
              </w:rPr>
              <w:t>为避免本项目产生的一般工业固废对环境造成的影响，主要是</w:t>
            </w:r>
            <w:r>
              <w:rPr>
                <w:rFonts w:hint="eastAsia"/>
                <w:color w:val="auto"/>
                <w:kern w:val="0"/>
                <w:sz w:val="24"/>
              </w:rPr>
              <w:t>管理</w:t>
            </w:r>
            <w:r>
              <w:rPr>
                <w:color w:val="auto"/>
                <w:kern w:val="0"/>
                <w:sz w:val="24"/>
              </w:rPr>
              <w:t>好固废的收集、转运等环节。一般固废临时贮存按照</w:t>
            </w:r>
            <w:r>
              <w:rPr>
                <w:rStyle w:val="4048"/>
                <w:color w:val="auto"/>
              </w:rPr>
              <w:t>《一般工业固体废物贮存和填埋污染控制标准》（GB18599-2020）</w:t>
            </w:r>
            <w:r>
              <w:rPr>
                <w:color w:val="auto"/>
                <w:kern w:val="0"/>
                <w:sz w:val="24"/>
              </w:rPr>
              <w:t>相关要求建设，地面基础及内墙采取防渗措施（其中内墙防渗层做到0.5m高），使用防水混凝土，地面做防滑处理，一般固体废物临时贮存房渗透系数达1.0×10</w:t>
            </w:r>
            <w:r>
              <w:rPr>
                <w:rFonts w:hint="eastAsia"/>
                <w:color w:val="auto"/>
                <w:kern w:val="0"/>
                <w:sz w:val="24"/>
                <w:vertAlign w:val="superscript"/>
              </w:rPr>
              <w:t>-7</w:t>
            </w:r>
            <w:r>
              <w:rPr>
                <w:color w:val="auto"/>
                <w:kern w:val="0"/>
                <w:sz w:val="24"/>
              </w:rPr>
              <w:t>cm/s，其后由综合利用厂家定期运走。因此，本项目的一般工业固体废物和生活垃圾基本不会对建设项目周围环境造成明显的不良影响。</w:t>
            </w:r>
          </w:p>
          <w:p w14:paraId="17382D72">
            <w:pPr>
              <w:spacing w:line="360" w:lineRule="auto"/>
              <w:ind w:firstLine="480" w:firstLineChars="200"/>
              <w:jc w:val="left"/>
              <w:rPr>
                <w:color w:val="auto"/>
                <w:sz w:val="24"/>
              </w:rPr>
            </w:pPr>
            <w:r>
              <w:rPr>
                <w:color w:val="auto"/>
                <w:sz w:val="24"/>
              </w:rPr>
              <w:t>（2）危险废物管理要求</w:t>
            </w:r>
          </w:p>
          <w:p w14:paraId="17382D73">
            <w:pPr>
              <w:spacing w:line="360" w:lineRule="auto"/>
              <w:ind w:firstLine="480" w:firstLineChars="200"/>
              <w:jc w:val="left"/>
              <w:rPr>
                <w:color w:val="auto"/>
                <w:sz w:val="24"/>
              </w:rPr>
            </w:pPr>
            <w:r>
              <w:rPr>
                <w:color w:val="auto"/>
                <w:sz w:val="24"/>
              </w:rPr>
              <w:t>1）贮存设施污染防治措施</w:t>
            </w:r>
          </w:p>
          <w:p w14:paraId="17382D74">
            <w:pPr>
              <w:spacing w:line="360" w:lineRule="auto"/>
              <w:ind w:firstLine="480" w:firstLineChars="200"/>
              <w:rPr>
                <w:color w:val="auto"/>
                <w:sz w:val="24"/>
              </w:rPr>
            </w:pPr>
            <w:r>
              <w:rPr>
                <w:color w:val="auto"/>
                <w:sz w:val="24"/>
              </w:rPr>
              <w:t>本项目投产运行后，危险废物应尽快委托有资质单位处置，不宜存放过长时间；若由于危废处置单位暂时无法转移固废，需将固废暂时存储在本项目厂区内，则需修建临时贮存场所，且暂存期不得超过一年；应做到以下几点：</w:t>
            </w:r>
          </w:p>
          <w:p w14:paraId="17382D75">
            <w:pPr>
              <w:spacing w:line="360" w:lineRule="auto"/>
              <w:ind w:firstLine="480" w:firstLineChars="200"/>
              <w:rPr>
                <w:color w:val="auto"/>
                <w:sz w:val="24"/>
              </w:rPr>
            </w:pPr>
            <w:r>
              <w:rPr>
                <w:color w:val="auto"/>
                <w:sz w:val="24"/>
              </w:rPr>
              <w:t>①贮存场所应符合(GB18597-2023)规定的贮存控制标准，有符合要求的专用标志。</w:t>
            </w:r>
          </w:p>
          <w:p w14:paraId="17382D76">
            <w:pPr>
              <w:spacing w:line="360" w:lineRule="auto"/>
              <w:ind w:firstLine="480" w:firstLineChars="200"/>
              <w:rPr>
                <w:color w:val="auto"/>
                <w:sz w:val="24"/>
              </w:rPr>
            </w:pPr>
            <w:r>
              <w:rPr>
                <w:color w:val="auto"/>
                <w:sz w:val="24"/>
              </w:rPr>
              <w:t>②贮存区内禁止混放不相容危险废物。</w:t>
            </w:r>
          </w:p>
          <w:p w14:paraId="17382D77">
            <w:pPr>
              <w:spacing w:line="360" w:lineRule="auto"/>
              <w:ind w:firstLine="480" w:firstLineChars="200"/>
              <w:rPr>
                <w:color w:val="auto"/>
                <w:sz w:val="24"/>
              </w:rPr>
            </w:pPr>
            <w:r>
              <w:rPr>
                <w:color w:val="auto"/>
                <w:sz w:val="24"/>
              </w:rPr>
              <w:t>③贮存区考虑相应的给排水和防渗设施。</w:t>
            </w:r>
          </w:p>
          <w:p w14:paraId="17382D78">
            <w:pPr>
              <w:spacing w:line="360" w:lineRule="auto"/>
              <w:ind w:firstLine="480" w:firstLineChars="200"/>
              <w:rPr>
                <w:color w:val="auto"/>
                <w:sz w:val="24"/>
              </w:rPr>
            </w:pPr>
            <w:r>
              <w:rPr>
                <w:color w:val="auto"/>
                <w:sz w:val="24"/>
              </w:rPr>
              <w:t>④贮存区符合消防要求。</w:t>
            </w:r>
          </w:p>
          <w:p w14:paraId="17382D79">
            <w:pPr>
              <w:spacing w:line="360" w:lineRule="auto"/>
              <w:ind w:firstLine="480" w:firstLineChars="200"/>
              <w:rPr>
                <w:color w:val="auto"/>
                <w:sz w:val="24"/>
              </w:rPr>
            </w:pPr>
            <w:r>
              <w:rPr>
                <w:color w:val="auto"/>
                <w:sz w:val="24"/>
              </w:rPr>
              <w:t>⑤贮存容器必须有明显标志，具有耐腐蚀、耐压、密封和不与所贮存的废物发生反应等特性。</w:t>
            </w:r>
          </w:p>
          <w:p w14:paraId="17382D7A">
            <w:pPr>
              <w:spacing w:line="360" w:lineRule="auto"/>
              <w:ind w:firstLine="480" w:firstLineChars="200"/>
              <w:rPr>
                <w:color w:val="auto"/>
                <w:sz w:val="24"/>
              </w:rPr>
            </w:pPr>
            <w:r>
              <w:rPr>
                <w:color w:val="auto"/>
                <w:sz w:val="24"/>
              </w:rPr>
              <w:t>⑥基础防渗层为至少1m厚黏土层(渗透系数≤10</w:t>
            </w:r>
            <w:r>
              <w:rPr>
                <w:color w:val="auto"/>
                <w:sz w:val="24"/>
                <w:vertAlign w:val="superscript"/>
              </w:rPr>
              <w:t>-7</w:t>
            </w:r>
            <w:r>
              <w:rPr>
                <w:color w:val="auto"/>
                <w:sz w:val="24"/>
              </w:rPr>
              <w:t>cm/s)，或2mm厚高密度聚乙烯，或至少2mm厚的其他人工材料，渗透系数≤10</w:t>
            </w:r>
            <w:r>
              <w:rPr>
                <w:color w:val="auto"/>
                <w:sz w:val="24"/>
                <w:vertAlign w:val="superscript"/>
              </w:rPr>
              <w:t>-10</w:t>
            </w:r>
            <w:r>
              <w:rPr>
                <w:color w:val="auto"/>
                <w:sz w:val="24"/>
              </w:rPr>
              <w:t>cm/s。</w:t>
            </w:r>
          </w:p>
          <w:p w14:paraId="5D2BFF87">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本项目拟设置1座20m</w:t>
            </w:r>
            <w:r>
              <w:rPr>
                <w:rFonts w:hint="default" w:ascii="Times New Roman" w:hAnsi="Times New Roman" w:eastAsia="宋体" w:cs="Times New Roman"/>
                <w:color w:val="auto"/>
                <w:sz w:val="24"/>
                <w:szCs w:val="24"/>
                <w:vertAlign w:val="superscript"/>
              </w:rPr>
              <w:t>2</w:t>
            </w:r>
            <w:r>
              <w:rPr>
                <w:rFonts w:hint="default" w:ascii="Times New Roman" w:hAnsi="Times New Roman" w:eastAsia="宋体" w:cs="Times New Roman"/>
                <w:color w:val="auto"/>
                <w:sz w:val="24"/>
                <w:szCs w:val="24"/>
              </w:rPr>
              <w:t>危废暂存间，分类贮存各种危险废物。一般情况下，1平方米的仓库贮存能力是1吨；有货架的，1平方米的仓库贮存能力是1.5吨</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即危废暂存间的最大暂存量为20t</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auto"/>
                <w:sz w:val="24"/>
                <w:szCs w:val="24"/>
                <w:lang w:val="en-US" w:eastAsia="zh-CN"/>
              </w:rPr>
              <w:t>本企业危险废物最大产生量为1.4836t/a（废机油0.24t/a、废机油桶0.06t/a、废防锈油0.05t/a、废防锈油包装桶0.025t/a、废活性炭1.1086t/a），可</w:t>
            </w:r>
            <w:r>
              <w:rPr>
                <w:rFonts w:hint="default" w:ascii="Times New Roman" w:hAnsi="Times New Roman" w:eastAsia="宋体" w:cs="Times New Roman"/>
                <w:color w:val="auto"/>
                <w:sz w:val="24"/>
                <w:szCs w:val="24"/>
              </w:rPr>
              <w:t>满足《工业危险废物产生单位规范化管理实施指南（苏环办</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2014</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232号）》中</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贮存场所面积至少应满足正常生产15日产生的各类危废贮存需要</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的要求。</w:t>
            </w:r>
          </w:p>
          <w:p w14:paraId="17382D7B">
            <w:pPr>
              <w:spacing w:line="360" w:lineRule="auto"/>
              <w:ind w:firstLine="480" w:firstLineChars="200"/>
              <w:jc w:val="left"/>
              <w:rPr>
                <w:color w:val="auto"/>
                <w:sz w:val="24"/>
              </w:rPr>
            </w:pPr>
            <w:r>
              <w:rPr>
                <w:color w:val="auto"/>
                <w:sz w:val="24"/>
              </w:rPr>
              <w:t>库房内各种危废按照不同的类别和性质，分别存放于专门的包装物中，分类存放在各自的堆放区内，堆放时从第一堆放区开始堆放，依此类推。各堆放区之间应保留0.9m的间距。危废暂存间地面基础及内墙采取防渗措施，地面、裙角均作环氧树脂防腐处理。库房设置通排风设施，设有安全照明设施，并设置干粉灭火器，库房外设有室外消火栓。</w:t>
            </w:r>
          </w:p>
          <w:p w14:paraId="17382D7C">
            <w:pPr>
              <w:spacing w:line="360" w:lineRule="auto"/>
              <w:ind w:firstLine="480" w:firstLineChars="200"/>
              <w:jc w:val="left"/>
              <w:rPr>
                <w:color w:val="auto"/>
                <w:sz w:val="24"/>
              </w:rPr>
            </w:pPr>
            <w:r>
              <w:rPr>
                <w:color w:val="auto"/>
                <w:sz w:val="24"/>
              </w:rPr>
              <w:t>企业按照《危险废物识别标志设置技术规范》（HJ 1276-2022）要求设置危险废物识别标志。</w:t>
            </w:r>
          </w:p>
          <w:p w14:paraId="17382D7D">
            <w:pPr>
              <w:spacing w:line="360" w:lineRule="auto"/>
              <w:ind w:firstLine="480" w:firstLineChars="200"/>
              <w:jc w:val="left"/>
              <w:rPr>
                <w:color w:val="auto"/>
                <w:sz w:val="24"/>
              </w:rPr>
            </w:pPr>
            <w:r>
              <w:rPr>
                <w:color w:val="auto"/>
                <w:sz w:val="24"/>
              </w:rPr>
              <w:t>2）运输过程污染控制</w:t>
            </w:r>
          </w:p>
          <w:p w14:paraId="17382D7E">
            <w:pPr>
              <w:spacing w:line="360" w:lineRule="auto"/>
              <w:ind w:firstLine="480" w:firstLineChars="200"/>
              <w:rPr>
                <w:color w:val="auto"/>
                <w:sz w:val="24"/>
              </w:rPr>
            </w:pPr>
            <w:r>
              <w:rPr>
                <w:color w:val="auto"/>
                <w:sz w:val="24"/>
              </w:rPr>
              <w:t>危险废物运输中应做到以下几点：</w:t>
            </w:r>
          </w:p>
          <w:p w14:paraId="17382D7F">
            <w:pPr>
              <w:spacing w:line="360" w:lineRule="auto"/>
              <w:ind w:firstLine="480" w:firstLineChars="200"/>
              <w:rPr>
                <w:color w:val="auto"/>
                <w:sz w:val="24"/>
              </w:rPr>
            </w:pPr>
            <w:r>
              <w:rPr>
                <w:color w:val="auto"/>
                <w:sz w:val="24"/>
              </w:rPr>
              <w:t>①危险废物的运输车辆须经主管单位检查，并持有有关单位签发的许可证，负责运输的司机应通过培训，持有证明文件。</w:t>
            </w:r>
          </w:p>
          <w:p w14:paraId="17382D80">
            <w:pPr>
              <w:spacing w:line="360" w:lineRule="auto"/>
              <w:ind w:firstLine="480" w:firstLineChars="200"/>
              <w:rPr>
                <w:color w:val="auto"/>
                <w:sz w:val="24"/>
              </w:rPr>
            </w:pPr>
            <w:r>
              <w:rPr>
                <w:color w:val="auto"/>
                <w:sz w:val="24"/>
              </w:rPr>
              <w:t>②承载危险废物的车辆须有明显的标志或适当的危险符号，以引起注意。</w:t>
            </w:r>
          </w:p>
          <w:p w14:paraId="17382D81">
            <w:pPr>
              <w:spacing w:line="360" w:lineRule="auto"/>
              <w:ind w:firstLine="480" w:firstLineChars="200"/>
              <w:rPr>
                <w:color w:val="auto"/>
                <w:sz w:val="24"/>
              </w:rPr>
            </w:pPr>
            <w:r>
              <w:rPr>
                <w:color w:val="auto"/>
                <w:sz w:val="24"/>
              </w:rPr>
              <w:t>③载有危险废物的车辆在公路上行驶时，需持有运输许可证，其上应注明废物来源、性质和运往地点。</w:t>
            </w:r>
          </w:p>
          <w:p w14:paraId="17382D82">
            <w:pPr>
              <w:spacing w:line="360" w:lineRule="auto"/>
              <w:ind w:firstLine="480" w:firstLineChars="200"/>
              <w:rPr>
                <w:color w:val="auto"/>
                <w:sz w:val="24"/>
              </w:rPr>
            </w:pPr>
            <w:r>
              <w:rPr>
                <w:color w:val="auto"/>
                <w:sz w:val="24"/>
              </w:rPr>
              <w:t>④组织危险废物的运输单位，在事先需</w:t>
            </w:r>
            <w:r>
              <w:rPr>
                <w:rFonts w:hint="eastAsia"/>
                <w:color w:val="auto"/>
                <w:sz w:val="24"/>
              </w:rPr>
              <w:t>做出</w:t>
            </w:r>
            <w:r>
              <w:rPr>
                <w:color w:val="auto"/>
                <w:sz w:val="24"/>
              </w:rPr>
              <w:t>周密的运输计划和行驶路线，其中包括有效的废物泄漏情况下的应急措施。</w:t>
            </w:r>
          </w:p>
          <w:p w14:paraId="17382D83">
            <w:pPr>
              <w:spacing w:line="360" w:lineRule="auto"/>
              <w:ind w:firstLine="480" w:firstLineChars="200"/>
              <w:rPr>
                <w:color w:val="auto"/>
                <w:sz w:val="24"/>
              </w:rPr>
            </w:pPr>
            <w:r>
              <w:rPr>
                <w:color w:val="auto"/>
                <w:sz w:val="24"/>
              </w:rPr>
              <w:t>危废处置单位在清运过程中要避免危废发生跑冒滴漏等现象，清运路线要尽量避开水源或环境敏感点，确保危废不排入周边环境。</w:t>
            </w:r>
          </w:p>
          <w:p w14:paraId="17382D84">
            <w:pPr>
              <w:spacing w:line="360" w:lineRule="auto"/>
              <w:ind w:firstLine="480" w:firstLineChars="200"/>
              <w:jc w:val="left"/>
              <w:rPr>
                <w:color w:val="auto"/>
                <w:sz w:val="24"/>
              </w:rPr>
            </w:pPr>
            <w:r>
              <w:rPr>
                <w:color w:val="auto"/>
                <w:sz w:val="24"/>
              </w:rPr>
              <w:t>3）危险废物处置可行性分析</w:t>
            </w:r>
          </w:p>
          <w:p w14:paraId="17382D86">
            <w:pPr>
              <w:adjustRightInd w:val="0"/>
              <w:snapToGrid w:val="0"/>
              <w:spacing w:line="360" w:lineRule="auto"/>
              <w:ind w:firstLine="480" w:firstLineChars="200"/>
              <w:rPr>
                <w:color w:val="auto"/>
                <w:sz w:val="24"/>
              </w:rPr>
            </w:pPr>
            <w:r>
              <w:rPr>
                <w:color w:val="auto"/>
                <w:kern w:val="0"/>
                <w:sz w:val="24"/>
              </w:rPr>
              <w:t>危险废物全部交由有危险废物处理资质的公司进行无害化处置。经调查企业涉及的危险废物淮安市均有相应的处置单位，因此，项目危险废物委外处置可行。</w:t>
            </w:r>
            <w:r>
              <w:rPr>
                <w:color w:val="auto"/>
                <w:sz w:val="24"/>
              </w:rPr>
              <w:t>（3）固体废物管理</w:t>
            </w:r>
          </w:p>
          <w:p w14:paraId="17382D87">
            <w:pPr>
              <w:adjustRightInd w:val="0"/>
              <w:snapToGrid w:val="0"/>
              <w:spacing w:line="360" w:lineRule="auto"/>
              <w:ind w:firstLine="480" w:firstLineChars="200"/>
              <w:rPr>
                <w:color w:val="auto"/>
                <w:kern w:val="0"/>
                <w:sz w:val="24"/>
              </w:rPr>
            </w:pPr>
            <w:r>
              <w:rPr>
                <w:color w:val="auto"/>
                <w:kern w:val="0"/>
                <w:sz w:val="24"/>
              </w:rPr>
              <w:t>根据《中华人民共和国固体废物污染环境防治法》，固体废物的管理，实行减量化、资源化、无害化管理，全过程管理和分类管理的原则。即对固体废物污染环境的防治，实行减少固体废物的产生量和危害性，充分合理利用和无害化处置固体废物，促进清洁生产和循环经济的发展。全过程的管理是指对固体废物从产生、收集、贮存、运输、利用直到最终处置的全过程实现一体化的管理。</w:t>
            </w:r>
          </w:p>
          <w:p w14:paraId="17382D88">
            <w:pPr>
              <w:adjustRightInd w:val="0"/>
              <w:snapToGrid w:val="0"/>
              <w:spacing w:line="360" w:lineRule="auto"/>
              <w:ind w:firstLine="480" w:firstLineChars="200"/>
              <w:rPr>
                <w:color w:val="auto"/>
                <w:kern w:val="0"/>
                <w:sz w:val="24"/>
              </w:rPr>
            </w:pPr>
            <w:r>
              <w:rPr>
                <w:color w:val="auto"/>
                <w:kern w:val="0"/>
                <w:sz w:val="24"/>
              </w:rPr>
              <w:t>公司在采取处理废物的同时，加强对废物的统计和管理，特别是对危险废物的管理。为防止废物散逸、流失，采取有害废物分类收集存放、专人负责管理等措施，废物的存放和转运处置贮存场所须按照国家固体废物贮存有关要求设置，外运处置固体废物必须落实具体去向，向环保主管部门申请并办好转移手续，手续齐全，统计准确无误，这些废物管理和统计措施可以保证产生的废物分类得到妥善处置，不会产生二次污染，对环境及人体不会造成危害。</w:t>
            </w:r>
          </w:p>
          <w:p w14:paraId="17382D89">
            <w:pPr>
              <w:adjustRightInd w:val="0"/>
              <w:snapToGrid w:val="0"/>
              <w:spacing w:line="360" w:lineRule="auto"/>
              <w:ind w:firstLine="480" w:firstLineChars="200"/>
              <w:rPr>
                <w:color w:val="auto"/>
                <w:sz w:val="24"/>
              </w:rPr>
            </w:pPr>
            <w:r>
              <w:rPr>
                <w:color w:val="auto"/>
                <w:sz w:val="24"/>
              </w:rPr>
              <w:t>对照《省生态环境厅关于印发&lt;江苏省固体废物全过程环境监管工作意见&gt;的通知》（苏环办[2024]16号），本项目与苏环办[2024]16号相符性分析见表</w:t>
            </w:r>
            <w:r>
              <w:rPr>
                <w:rFonts w:hint="eastAsia"/>
                <w:color w:val="auto"/>
                <w:sz w:val="24"/>
              </w:rPr>
              <w:t>4-22</w:t>
            </w:r>
            <w:r>
              <w:rPr>
                <w:color w:val="auto"/>
                <w:sz w:val="24"/>
              </w:rPr>
              <w:t>。</w:t>
            </w:r>
          </w:p>
          <w:p w14:paraId="17382D8A">
            <w:pPr>
              <w:adjustRightInd w:val="0"/>
              <w:snapToGrid w:val="0"/>
              <w:jc w:val="center"/>
              <w:rPr>
                <w:b/>
                <w:bCs/>
                <w:color w:val="auto"/>
                <w:sz w:val="24"/>
              </w:rPr>
            </w:pPr>
            <w:r>
              <w:rPr>
                <w:rFonts w:hint="eastAsia"/>
                <w:b/>
                <w:bCs/>
                <w:color w:val="auto"/>
                <w:sz w:val="24"/>
              </w:rPr>
              <w:t>表4-22本项目与苏环办[2024]16号相符性分析</w:t>
            </w:r>
          </w:p>
          <w:tbl>
            <w:tblPr>
              <w:tblStyle w:val="88"/>
              <w:tblW w:w="8526"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28" w:type="dxa"/>
                <w:bottom w:w="0" w:type="dxa"/>
                <w:right w:w="28" w:type="dxa"/>
              </w:tblCellMar>
            </w:tblPr>
            <w:tblGrid>
              <w:gridCol w:w="461"/>
              <w:gridCol w:w="4813"/>
              <w:gridCol w:w="2597"/>
              <w:gridCol w:w="655"/>
            </w:tblGrid>
            <w:tr w14:paraId="17382D8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8B">
                  <w:pPr>
                    <w:widowControl/>
                    <w:adjustRightInd w:val="0"/>
                    <w:snapToGrid w:val="0"/>
                    <w:spacing w:line="300" w:lineRule="exact"/>
                    <w:jc w:val="center"/>
                    <w:rPr>
                      <w:b/>
                      <w:bCs/>
                      <w:color w:val="auto"/>
                      <w:kern w:val="0"/>
                      <w:szCs w:val="21"/>
                    </w:rPr>
                  </w:pPr>
                  <w:r>
                    <w:rPr>
                      <w:b/>
                      <w:bCs/>
                      <w:color w:val="auto"/>
                      <w:kern w:val="0"/>
                      <w:szCs w:val="21"/>
                    </w:rPr>
                    <w:t>序号</w:t>
                  </w:r>
                </w:p>
              </w:tc>
              <w:tc>
                <w:tcPr>
                  <w:tcW w:w="4813" w:type="dxa"/>
                  <w:tcBorders>
                    <w:tl2br w:val="nil"/>
                    <w:tr2bl w:val="nil"/>
                  </w:tcBorders>
                  <w:vAlign w:val="center"/>
                </w:tcPr>
                <w:p w14:paraId="17382D8C">
                  <w:pPr>
                    <w:widowControl/>
                    <w:adjustRightInd w:val="0"/>
                    <w:snapToGrid w:val="0"/>
                    <w:spacing w:line="300" w:lineRule="exact"/>
                    <w:jc w:val="center"/>
                    <w:rPr>
                      <w:b/>
                      <w:bCs/>
                      <w:color w:val="auto"/>
                      <w:kern w:val="0"/>
                      <w:szCs w:val="21"/>
                    </w:rPr>
                  </w:pPr>
                  <w:r>
                    <w:rPr>
                      <w:b/>
                      <w:bCs/>
                      <w:color w:val="auto"/>
                      <w:kern w:val="0"/>
                      <w:szCs w:val="21"/>
                    </w:rPr>
                    <w:t>文件要求</w:t>
                  </w:r>
                </w:p>
              </w:tc>
              <w:tc>
                <w:tcPr>
                  <w:tcW w:w="2597" w:type="dxa"/>
                  <w:tcBorders>
                    <w:tl2br w:val="nil"/>
                    <w:tr2bl w:val="nil"/>
                  </w:tcBorders>
                  <w:vAlign w:val="center"/>
                </w:tcPr>
                <w:p w14:paraId="17382D8D">
                  <w:pPr>
                    <w:widowControl/>
                    <w:adjustRightInd w:val="0"/>
                    <w:snapToGrid w:val="0"/>
                    <w:spacing w:line="300" w:lineRule="exact"/>
                    <w:jc w:val="center"/>
                    <w:rPr>
                      <w:b/>
                      <w:bCs/>
                      <w:color w:val="auto"/>
                      <w:kern w:val="0"/>
                      <w:szCs w:val="21"/>
                    </w:rPr>
                  </w:pPr>
                  <w:r>
                    <w:rPr>
                      <w:b/>
                      <w:bCs/>
                      <w:color w:val="auto"/>
                      <w:kern w:val="0"/>
                      <w:szCs w:val="21"/>
                    </w:rPr>
                    <w:t>相符性分析</w:t>
                  </w:r>
                </w:p>
              </w:tc>
              <w:tc>
                <w:tcPr>
                  <w:tcW w:w="655" w:type="dxa"/>
                  <w:tcBorders>
                    <w:tl2br w:val="nil"/>
                    <w:tr2bl w:val="nil"/>
                  </w:tcBorders>
                  <w:vAlign w:val="center"/>
                </w:tcPr>
                <w:p w14:paraId="17382D8E">
                  <w:pPr>
                    <w:widowControl/>
                    <w:adjustRightInd w:val="0"/>
                    <w:snapToGrid w:val="0"/>
                    <w:spacing w:line="300" w:lineRule="exact"/>
                    <w:jc w:val="center"/>
                    <w:rPr>
                      <w:b/>
                      <w:bCs/>
                      <w:color w:val="auto"/>
                      <w:kern w:val="0"/>
                      <w:szCs w:val="21"/>
                    </w:rPr>
                  </w:pPr>
                  <w:r>
                    <w:rPr>
                      <w:b/>
                      <w:bCs/>
                      <w:color w:val="auto"/>
                      <w:kern w:val="0"/>
                      <w:szCs w:val="21"/>
                    </w:rPr>
                    <w:t>相符性</w:t>
                  </w:r>
                </w:p>
              </w:tc>
            </w:tr>
            <w:tr w14:paraId="17382D9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90">
                  <w:pPr>
                    <w:widowControl/>
                    <w:adjustRightInd w:val="0"/>
                    <w:snapToGrid w:val="0"/>
                    <w:spacing w:line="300" w:lineRule="exact"/>
                    <w:jc w:val="center"/>
                    <w:rPr>
                      <w:bCs/>
                      <w:color w:val="auto"/>
                      <w:kern w:val="0"/>
                      <w:szCs w:val="21"/>
                    </w:rPr>
                  </w:pPr>
                  <w:r>
                    <w:rPr>
                      <w:bCs/>
                      <w:color w:val="auto"/>
                      <w:kern w:val="0"/>
                      <w:szCs w:val="21"/>
                    </w:rPr>
                    <w:t>1</w:t>
                  </w:r>
                </w:p>
              </w:tc>
              <w:tc>
                <w:tcPr>
                  <w:tcW w:w="4813" w:type="dxa"/>
                  <w:tcBorders>
                    <w:tl2br w:val="nil"/>
                    <w:tr2bl w:val="nil"/>
                  </w:tcBorders>
                  <w:vAlign w:val="center"/>
                </w:tcPr>
                <w:p w14:paraId="17382D91">
                  <w:pPr>
                    <w:widowControl/>
                    <w:adjustRightInd w:val="0"/>
                    <w:snapToGrid w:val="0"/>
                    <w:spacing w:line="300" w:lineRule="exact"/>
                    <w:rPr>
                      <w:bCs/>
                      <w:color w:val="auto"/>
                      <w:kern w:val="0"/>
                      <w:szCs w:val="21"/>
                    </w:rPr>
                  </w:pPr>
                  <w:r>
                    <w:rPr>
                      <w:b/>
                      <w:bCs/>
                      <w:color w:val="auto"/>
                      <w:szCs w:val="21"/>
                    </w:rPr>
                    <w:t>1.落实规划环评要求。</w:t>
                  </w:r>
                  <w:r>
                    <w:rPr>
                      <w:color w:val="auto"/>
                      <w:szCs w:val="21"/>
                    </w:rPr>
                    <w:t>化工园区规划环评要对本区域内固体废物产生种类、数量及其利用处置方式进行详细分析阐述，明确源头减量总体目标、具体措施，以及补齐区域利用处置能力短板的具体建设项目，力争实现区域内固体废物就近利用处置。</w:t>
                  </w:r>
                </w:p>
              </w:tc>
              <w:tc>
                <w:tcPr>
                  <w:tcW w:w="2597" w:type="dxa"/>
                  <w:tcBorders>
                    <w:tl2br w:val="nil"/>
                    <w:tr2bl w:val="nil"/>
                  </w:tcBorders>
                  <w:vAlign w:val="center"/>
                </w:tcPr>
                <w:p w14:paraId="17382D92">
                  <w:pPr>
                    <w:widowControl/>
                    <w:adjustRightInd w:val="0"/>
                    <w:snapToGrid w:val="0"/>
                    <w:spacing w:line="300" w:lineRule="exact"/>
                    <w:rPr>
                      <w:bCs/>
                      <w:color w:val="auto"/>
                      <w:kern w:val="0"/>
                      <w:szCs w:val="21"/>
                    </w:rPr>
                  </w:pPr>
                  <w:r>
                    <w:rPr>
                      <w:bCs/>
                      <w:color w:val="auto"/>
                      <w:kern w:val="0"/>
                      <w:szCs w:val="21"/>
                    </w:rPr>
                    <w:t>本项目位于</w:t>
                  </w:r>
                  <w:r>
                    <w:rPr>
                      <w:rFonts w:hint="eastAsia"/>
                      <w:color w:val="auto"/>
                      <w:szCs w:val="21"/>
                    </w:rPr>
                    <w:t>淮安市淮阴区马头镇东港路一号</w:t>
                  </w:r>
                  <w:r>
                    <w:rPr>
                      <w:color w:val="auto"/>
                      <w:szCs w:val="21"/>
                    </w:rPr>
                    <w:t>，不在化工园区内。</w:t>
                  </w:r>
                </w:p>
              </w:tc>
              <w:tc>
                <w:tcPr>
                  <w:tcW w:w="655" w:type="dxa"/>
                  <w:tcBorders>
                    <w:tl2br w:val="nil"/>
                    <w:tr2bl w:val="nil"/>
                  </w:tcBorders>
                  <w:vAlign w:val="center"/>
                </w:tcPr>
                <w:p w14:paraId="17382D93">
                  <w:pPr>
                    <w:widowControl/>
                    <w:adjustRightInd w:val="0"/>
                    <w:snapToGrid w:val="0"/>
                    <w:spacing w:line="300" w:lineRule="exact"/>
                    <w:jc w:val="center"/>
                    <w:rPr>
                      <w:bCs/>
                      <w:color w:val="auto"/>
                      <w:kern w:val="0"/>
                      <w:szCs w:val="21"/>
                    </w:rPr>
                  </w:pPr>
                  <w:r>
                    <w:rPr>
                      <w:rFonts w:hint="eastAsia"/>
                      <w:bCs/>
                      <w:color w:val="auto"/>
                      <w:kern w:val="0"/>
                      <w:szCs w:val="21"/>
                    </w:rPr>
                    <w:t>相符</w:t>
                  </w:r>
                </w:p>
              </w:tc>
            </w:tr>
            <w:tr w14:paraId="17382D9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95">
                  <w:pPr>
                    <w:widowControl/>
                    <w:adjustRightInd w:val="0"/>
                    <w:snapToGrid w:val="0"/>
                    <w:spacing w:line="300" w:lineRule="exact"/>
                    <w:jc w:val="center"/>
                    <w:rPr>
                      <w:bCs/>
                      <w:color w:val="auto"/>
                      <w:kern w:val="0"/>
                      <w:szCs w:val="21"/>
                    </w:rPr>
                  </w:pPr>
                  <w:r>
                    <w:rPr>
                      <w:bCs/>
                      <w:color w:val="auto"/>
                      <w:kern w:val="0"/>
                      <w:szCs w:val="21"/>
                    </w:rPr>
                    <w:t>2</w:t>
                  </w:r>
                </w:p>
              </w:tc>
              <w:tc>
                <w:tcPr>
                  <w:tcW w:w="4813" w:type="dxa"/>
                  <w:tcBorders>
                    <w:tl2br w:val="nil"/>
                    <w:tr2bl w:val="nil"/>
                  </w:tcBorders>
                  <w:vAlign w:val="center"/>
                </w:tcPr>
                <w:p w14:paraId="17382D96">
                  <w:pPr>
                    <w:widowControl/>
                    <w:adjustRightInd w:val="0"/>
                    <w:snapToGrid w:val="0"/>
                    <w:spacing w:line="300" w:lineRule="exact"/>
                    <w:rPr>
                      <w:bCs/>
                      <w:color w:val="auto"/>
                      <w:kern w:val="0"/>
                      <w:szCs w:val="21"/>
                    </w:rPr>
                  </w:pPr>
                  <w:r>
                    <w:rPr>
                      <w:b/>
                      <w:bCs/>
                      <w:color w:val="auto"/>
                      <w:szCs w:val="21"/>
                    </w:rPr>
                    <w:t>2.规范项目环评审批。</w:t>
                  </w:r>
                  <w:r>
                    <w:rPr>
                      <w:color w:val="auto"/>
                      <w:szCs w:val="21"/>
                    </w:rPr>
                    <w:t>建设项目环评要评价产生的固体废物种类、数量、来源和属性，论述贮存、转移和利用处置方式合规性、合理性，提出切实可行的污染防治对策措施。所有产物要按照以下五类属性给予明确并规范表述：目标产物（产品、副产品）、鉴别属于产品（符合国家、地方或行业定为“再生产品”，不得出现“中间产物”“再生产物”等标准）、可定向用于特定用途按产品管理（如符合团体标准）、一般固体废物和危险废物。不得将不符合GB34330、HJ 1091等标准的产物不规范表述，严禁以“副产品”名义逃避监管。不能排除危险特性的固体废物，须在环评文件中明确具体鉴别方案，鉴别前按危险废物管理，鉴别后根据结论按一般固废或危险废物管理。危险废物经营单位项目环评审批要点要与危险废物经营许可审查要求衔接一致。</w:t>
                  </w:r>
                </w:p>
              </w:tc>
              <w:tc>
                <w:tcPr>
                  <w:tcW w:w="2597" w:type="dxa"/>
                  <w:tcBorders>
                    <w:tl2br w:val="nil"/>
                    <w:tr2bl w:val="nil"/>
                  </w:tcBorders>
                  <w:vAlign w:val="center"/>
                </w:tcPr>
                <w:p w14:paraId="17382D97">
                  <w:pPr>
                    <w:widowControl/>
                    <w:adjustRightInd w:val="0"/>
                    <w:snapToGrid w:val="0"/>
                    <w:spacing w:line="300" w:lineRule="exact"/>
                    <w:rPr>
                      <w:bCs/>
                      <w:color w:val="auto"/>
                      <w:kern w:val="0"/>
                      <w:szCs w:val="21"/>
                    </w:rPr>
                  </w:pPr>
                  <w:r>
                    <w:rPr>
                      <w:bCs/>
                      <w:color w:val="auto"/>
                      <w:kern w:val="0"/>
                      <w:szCs w:val="21"/>
                    </w:rPr>
                    <w:t>本项目评价了</w:t>
                  </w:r>
                  <w:r>
                    <w:rPr>
                      <w:color w:val="auto"/>
                      <w:szCs w:val="21"/>
                    </w:rPr>
                    <w:t>固体废物种类、数量、来源和属性，论述了贮存、转移和利用处置方式合规性、合理性，提出切实可行的污染防治对策措施，项目产物按照要求明确属性。</w:t>
                  </w:r>
                  <w:r>
                    <w:rPr>
                      <w:bCs/>
                      <w:color w:val="auto"/>
                      <w:kern w:val="0"/>
                      <w:szCs w:val="21"/>
                    </w:rPr>
                    <w:t>企业不涉及副产品、再生产品等。</w:t>
                  </w:r>
                </w:p>
                <w:p w14:paraId="17382D98">
                  <w:pPr>
                    <w:widowControl/>
                    <w:adjustRightInd w:val="0"/>
                    <w:snapToGrid w:val="0"/>
                    <w:spacing w:line="300" w:lineRule="exact"/>
                    <w:rPr>
                      <w:bCs/>
                      <w:color w:val="auto"/>
                      <w:kern w:val="0"/>
                      <w:szCs w:val="21"/>
                    </w:rPr>
                  </w:pPr>
                </w:p>
              </w:tc>
              <w:tc>
                <w:tcPr>
                  <w:tcW w:w="655" w:type="dxa"/>
                  <w:tcBorders>
                    <w:tl2br w:val="nil"/>
                    <w:tr2bl w:val="nil"/>
                  </w:tcBorders>
                  <w:vAlign w:val="center"/>
                </w:tcPr>
                <w:p w14:paraId="17382D99">
                  <w:pPr>
                    <w:widowControl/>
                    <w:adjustRightInd w:val="0"/>
                    <w:snapToGrid w:val="0"/>
                    <w:spacing w:line="300" w:lineRule="exact"/>
                    <w:jc w:val="center"/>
                    <w:rPr>
                      <w:bCs/>
                      <w:color w:val="auto"/>
                      <w:kern w:val="0"/>
                      <w:szCs w:val="21"/>
                    </w:rPr>
                  </w:pPr>
                  <w:r>
                    <w:rPr>
                      <w:rFonts w:hint="eastAsia"/>
                      <w:bCs/>
                      <w:color w:val="auto"/>
                      <w:kern w:val="0"/>
                      <w:szCs w:val="21"/>
                    </w:rPr>
                    <w:t>相符</w:t>
                  </w:r>
                </w:p>
              </w:tc>
            </w:tr>
            <w:tr w14:paraId="17382D9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9B">
                  <w:pPr>
                    <w:widowControl/>
                    <w:adjustRightInd w:val="0"/>
                    <w:snapToGrid w:val="0"/>
                    <w:spacing w:line="300" w:lineRule="exact"/>
                    <w:jc w:val="center"/>
                    <w:rPr>
                      <w:bCs/>
                      <w:color w:val="auto"/>
                      <w:kern w:val="0"/>
                      <w:szCs w:val="21"/>
                    </w:rPr>
                  </w:pPr>
                  <w:r>
                    <w:rPr>
                      <w:bCs/>
                      <w:color w:val="auto"/>
                      <w:kern w:val="0"/>
                      <w:szCs w:val="21"/>
                    </w:rPr>
                    <w:t>3</w:t>
                  </w:r>
                </w:p>
              </w:tc>
              <w:tc>
                <w:tcPr>
                  <w:tcW w:w="4813" w:type="dxa"/>
                  <w:tcBorders>
                    <w:tl2br w:val="nil"/>
                    <w:tr2bl w:val="nil"/>
                  </w:tcBorders>
                  <w:vAlign w:val="center"/>
                </w:tcPr>
                <w:p w14:paraId="17382D9C">
                  <w:pPr>
                    <w:widowControl/>
                    <w:adjustRightInd w:val="0"/>
                    <w:snapToGrid w:val="0"/>
                    <w:spacing w:line="300" w:lineRule="exact"/>
                    <w:rPr>
                      <w:bCs/>
                      <w:color w:val="auto"/>
                      <w:kern w:val="0"/>
                      <w:szCs w:val="21"/>
                    </w:rPr>
                  </w:pPr>
                  <w:r>
                    <w:rPr>
                      <w:b/>
                      <w:bCs/>
                      <w:color w:val="auto"/>
                      <w:szCs w:val="21"/>
                    </w:rPr>
                    <w:t>3.落实排污许可制度。</w:t>
                  </w:r>
                  <w:r>
                    <w:rPr>
                      <w:color w:val="auto"/>
                      <w:szCs w:val="21"/>
                    </w:rPr>
                    <w:t>企业要在排污许可管理系统中全面、准确申报工业固体废物产生种类，以及贮存设施和利用处置等相关情况，并对其真实性负责。实际产生、转移、贮存和利用处置情况对照项目环评发生变动的，要根据变动情况及时采取重新报批环评、纳入环境保护竣工验收等手续，并及时变更排污许可。</w:t>
                  </w:r>
                </w:p>
              </w:tc>
              <w:tc>
                <w:tcPr>
                  <w:tcW w:w="2597" w:type="dxa"/>
                  <w:tcBorders>
                    <w:tl2br w:val="nil"/>
                    <w:tr2bl w:val="nil"/>
                  </w:tcBorders>
                  <w:vAlign w:val="center"/>
                </w:tcPr>
                <w:p w14:paraId="17382D9D">
                  <w:pPr>
                    <w:widowControl/>
                    <w:adjustRightInd w:val="0"/>
                    <w:snapToGrid w:val="0"/>
                    <w:spacing w:line="300" w:lineRule="exact"/>
                    <w:rPr>
                      <w:bCs/>
                      <w:color w:val="auto"/>
                      <w:kern w:val="0"/>
                      <w:szCs w:val="21"/>
                    </w:rPr>
                  </w:pPr>
                  <w:r>
                    <w:rPr>
                      <w:bCs/>
                      <w:color w:val="auto"/>
                      <w:kern w:val="0"/>
                      <w:szCs w:val="21"/>
                    </w:rPr>
                    <w:t>企业按照要求，</w:t>
                  </w:r>
                  <w:r>
                    <w:rPr>
                      <w:color w:val="auto"/>
                      <w:szCs w:val="21"/>
                    </w:rPr>
                    <w:t>在排污许可管理系统中全面、准确申报工业固体废物产生种类，以及贮存设施和利用处置等相关情况，并对其真实性负责。</w:t>
                  </w:r>
                </w:p>
              </w:tc>
              <w:tc>
                <w:tcPr>
                  <w:tcW w:w="655" w:type="dxa"/>
                  <w:tcBorders>
                    <w:tl2br w:val="nil"/>
                    <w:tr2bl w:val="nil"/>
                  </w:tcBorders>
                  <w:vAlign w:val="center"/>
                </w:tcPr>
                <w:p w14:paraId="17382D9E">
                  <w:pPr>
                    <w:widowControl/>
                    <w:adjustRightInd w:val="0"/>
                    <w:snapToGrid w:val="0"/>
                    <w:spacing w:line="300" w:lineRule="exact"/>
                    <w:jc w:val="center"/>
                    <w:rPr>
                      <w:bCs/>
                      <w:color w:val="auto"/>
                      <w:kern w:val="0"/>
                      <w:szCs w:val="21"/>
                    </w:rPr>
                  </w:pPr>
                  <w:r>
                    <w:rPr>
                      <w:rFonts w:hint="eastAsia"/>
                      <w:bCs/>
                      <w:color w:val="auto"/>
                      <w:kern w:val="0"/>
                      <w:szCs w:val="21"/>
                    </w:rPr>
                    <w:t>相符</w:t>
                  </w:r>
                </w:p>
              </w:tc>
            </w:tr>
            <w:tr w14:paraId="17382DA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A0">
                  <w:pPr>
                    <w:widowControl/>
                    <w:adjustRightInd w:val="0"/>
                    <w:snapToGrid w:val="0"/>
                    <w:spacing w:line="300" w:lineRule="exact"/>
                    <w:jc w:val="center"/>
                    <w:rPr>
                      <w:bCs/>
                      <w:color w:val="auto"/>
                      <w:kern w:val="0"/>
                      <w:szCs w:val="21"/>
                    </w:rPr>
                  </w:pPr>
                  <w:r>
                    <w:rPr>
                      <w:bCs/>
                      <w:color w:val="auto"/>
                      <w:kern w:val="0"/>
                      <w:szCs w:val="21"/>
                    </w:rPr>
                    <w:t>4</w:t>
                  </w:r>
                </w:p>
              </w:tc>
              <w:tc>
                <w:tcPr>
                  <w:tcW w:w="4813" w:type="dxa"/>
                  <w:tcBorders>
                    <w:tl2br w:val="nil"/>
                    <w:tr2bl w:val="nil"/>
                  </w:tcBorders>
                  <w:vAlign w:val="center"/>
                </w:tcPr>
                <w:p w14:paraId="17382DA1">
                  <w:pPr>
                    <w:widowControl/>
                    <w:adjustRightInd w:val="0"/>
                    <w:snapToGrid w:val="0"/>
                    <w:spacing w:line="300" w:lineRule="exact"/>
                    <w:rPr>
                      <w:bCs/>
                      <w:color w:val="auto"/>
                      <w:kern w:val="0"/>
                      <w:szCs w:val="21"/>
                    </w:rPr>
                  </w:pPr>
                  <w:r>
                    <w:rPr>
                      <w:b/>
                      <w:bCs/>
                      <w:color w:val="auto"/>
                      <w:szCs w:val="21"/>
                    </w:rPr>
                    <w:t>4.规范危废经营许可。</w:t>
                  </w:r>
                  <w:r>
                    <w:rPr>
                      <w:color w:val="auto"/>
                      <w:szCs w:val="21"/>
                    </w:rPr>
                    <w:t>核准危险废物经营许可时，应当符合经营单位建设项目环评和排污许可要求，并重点审查经营单位分析检测能力、贮存管理和产物去向等情况。许可证上应载明核准利用处置的危险废物类别并附带相应文字说明，许可条件中应明确违反后需采取的相应惩戒措施。</w:t>
                  </w:r>
                </w:p>
              </w:tc>
              <w:tc>
                <w:tcPr>
                  <w:tcW w:w="2597" w:type="dxa"/>
                  <w:tcBorders>
                    <w:tl2br w:val="nil"/>
                    <w:tr2bl w:val="nil"/>
                  </w:tcBorders>
                  <w:vAlign w:val="center"/>
                </w:tcPr>
                <w:p w14:paraId="17382DA2">
                  <w:pPr>
                    <w:widowControl/>
                    <w:adjustRightInd w:val="0"/>
                    <w:snapToGrid w:val="0"/>
                    <w:spacing w:line="300" w:lineRule="exact"/>
                    <w:rPr>
                      <w:bCs/>
                      <w:color w:val="auto"/>
                      <w:kern w:val="0"/>
                      <w:szCs w:val="21"/>
                    </w:rPr>
                  </w:pPr>
                  <w:r>
                    <w:rPr>
                      <w:bCs/>
                      <w:color w:val="auto"/>
                      <w:kern w:val="0"/>
                      <w:szCs w:val="21"/>
                    </w:rPr>
                    <w:t>本项目不涉及。</w:t>
                  </w:r>
                </w:p>
              </w:tc>
              <w:tc>
                <w:tcPr>
                  <w:tcW w:w="655" w:type="dxa"/>
                  <w:tcBorders>
                    <w:tl2br w:val="nil"/>
                    <w:tr2bl w:val="nil"/>
                  </w:tcBorders>
                  <w:vAlign w:val="center"/>
                </w:tcPr>
                <w:p w14:paraId="17382DA3">
                  <w:pPr>
                    <w:widowControl/>
                    <w:adjustRightInd w:val="0"/>
                    <w:snapToGrid w:val="0"/>
                    <w:spacing w:line="300" w:lineRule="exact"/>
                    <w:jc w:val="center"/>
                    <w:rPr>
                      <w:bCs/>
                      <w:color w:val="auto"/>
                      <w:kern w:val="0"/>
                      <w:szCs w:val="21"/>
                    </w:rPr>
                  </w:pPr>
                  <w:r>
                    <w:rPr>
                      <w:rFonts w:hint="eastAsia"/>
                      <w:bCs/>
                      <w:color w:val="auto"/>
                      <w:kern w:val="0"/>
                      <w:szCs w:val="21"/>
                    </w:rPr>
                    <w:t>相符</w:t>
                  </w:r>
                </w:p>
              </w:tc>
            </w:tr>
            <w:tr w14:paraId="17382DA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A5">
                  <w:pPr>
                    <w:widowControl/>
                    <w:adjustRightInd w:val="0"/>
                    <w:snapToGrid w:val="0"/>
                    <w:spacing w:line="300" w:lineRule="exact"/>
                    <w:jc w:val="center"/>
                    <w:rPr>
                      <w:bCs/>
                      <w:color w:val="auto"/>
                      <w:kern w:val="0"/>
                      <w:szCs w:val="21"/>
                    </w:rPr>
                  </w:pPr>
                  <w:r>
                    <w:rPr>
                      <w:bCs/>
                      <w:color w:val="auto"/>
                      <w:kern w:val="0"/>
                      <w:szCs w:val="21"/>
                    </w:rPr>
                    <w:t>5</w:t>
                  </w:r>
                </w:p>
              </w:tc>
              <w:tc>
                <w:tcPr>
                  <w:tcW w:w="4813" w:type="dxa"/>
                  <w:tcBorders>
                    <w:tl2br w:val="nil"/>
                    <w:tr2bl w:val="nil"/>
                  </w:tcBorders>
                  <w:vAlign w:val="center"/>
                </w:tcPr>
                <w:p w14:paraId="17382DA6">
                  <w:pPr>
                    <w:widowControl/>
                    <w:adjustRightInd w:val="0"/>
                    <w:snapToGrid w:val="0"/>
                    <w:spacing w:line="300" w:lineRule="exact"/>
                    <w:rPr>
                      <w:b/>
                      <w:bCs/>
                      <w:color w:val="auto"/>
                      <w:szCs w:val="21"/>
                    </w:rPr>
                  </w:pPr>
                  <w:r>
                    <w:rPr>
                      <w:b/>
                      <w:bCs/>
                      <w:color w:val="auto"/>
                      <w:szCs w:val="21"/>
                    </w:rPr>
                    <w:t>6.规范贮存管理要求。</w:t>
                  </w:r>
                  <w:r>
                    <w:rPr>
                      <w:bCs/>
                      <w:color w:val="auto"/>
                      <w:szCs w:val="21"/>
                    </w:rPr>
                    <w:t>根据《危险废物贮存污染控制标准》（GB 18597—2023），企业可根据实际情况选择采用危险废物贮存设施或贮存点两类方式进行贮存，符合相应的污染控制标准；不具备建设贮存设施条件、选用贮存点方式的，除符合国家关于贮存点控制要求外，还要执行《江苏省危险废物集中收集体系建设工作方案（试行）》（</w:t>
                  </w:r>
                  <w:r>
                    <w:rPr>
                      <w:color w:val="auto"/>
                      <w:szCs w:val="21"/>
                    </w:rPr>
                    <w:t>苏环办〔2021〕290号）中关于</w:t>
                  </w:r>
                  <w:r>
                    <w:rPr>
                      <w:bCs/>
                      <w:color w:val="auto"/>
                      <w:szCs w:val="21"/>
                    </w:rPr>
                    <w:t>贮存周期和贮存量的要求，I级、Ⅱ级、III级危险废物贮存时间分别不得超过30天、60天、90天，最大贮存量不得超过1吨。</w:t>
                  </w:r>
                </w:p>
              </w:tc>
              <w:tc>
                <w:tcPr>
                  <w:tcW w:w="2597" w:type="dxa"/>
                  <w:tcBorders>
                    <w:tl2br w:val="nil"/>
                    <w:tr2bl w:val="nil"/>
                  </w:tcBorders>
                  <w:vAlign w:val="center"/>
                </w:tcPr>
                <w:p w14:paraId="17382DA7">
                  <w:pPr>
                    <w:widowControl/>
                    <w:adjustRightInd w:val="0"/>
                    <w:snapToGrid w:val="0"/>
                    <w:spacing w:line="300" w:lineRule="exact"/>
                    <w:rPr>
                      <w:bCs/>
                      <w:color w:val="auto"/>
                      <w:kern w:val="0"/>
                      <w:szCs w:val="21"/>
                    </w:rPr>
                  </w:pPr>
                  <w:r>
                    <w:rPr>
                      <w:bCs/>
                      <w:color w:val="auto"/>
                      <w:szCs w:val="21"/>
                    </w:rPr>
                    <w:t>企业根据《危险废物贮存污染控制标准》（GB 18597-2023）的要求落实管理，采用危险废物贮存设施进行贮存，符合相应的污染控制标准</w:t>
                  </w:r>
                  <w:r>
                    <w:rPr>
                      <w:bCs/>
                      <w:color w:val="auto"/>
                      <w:kern w:val="0"/>
                      <w:szCs w:val="21"/>
                    </w:rPr>
                    <w:t>。</w:t>
                  </w:r>
                </w:p>
              </w:tc>
              <w:tc>
                <w:tcPr>
                  <w:tcW w:w="655" w:type="dxa"/>
                  <w:tcBorders>
                    <w:tl2br w:val="nil"/>
                    <w:tr2bl w:val="nil"/>
                  </w:tcBorders>
                  <w:vAlign w:val="center"/>
                </w:tcPr>
                <w:p w14:paraId="17382DA8">
                  <w:pPr>
                    <w:widowControl/>
                    <w:adjustRightInd w:val="0"/>
                    <w:snapToGrid w:val="0"/>
                    <w:spacing w:line="300" w:lineRule="exact"/>
                    <w:jc w:val="center"/>
                    <w:rPr>
                      <w:bCs/>
                      <w:color w:val="auto"/>
                      <w:kern w:val="0"/>
                      <w:szCs w:val="21"/>
                    </w:rPr>
                  </w:pPr>
                  <w:r>
                    <w:rPr>
                      <w:rFonts w:hint="eastAsia"/>
                      <w:bCs/>
                      <w:color w:val="auto"/>
                      <w:kern w:val="0"/>
                      <w:szCs w:val="21"/>
                    </w:rPr>
                    <w:t>相符</w:t>
                  </w:r>
                </w:p>
              </w:tc>
            </w:tr>
            <w:tr w14:paraId="17382DA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AA">
                  <w:pPr>
                    <w:widowControl/>
                    <w:adjustRightInd w:val="0"/>
                    <w:snapToGrid w:val="0"/>
                    <w:spacing w:line="300" w:lineRule="exact"/>
                    <w:jc w:val="center"/>
                    <w:rPr>
                      <w:bCs/>
                      <w:color w:val="auto"/>
                      <w:kern w:val="0"/>
                      <w:szCs w:val="21"/>
                    </w:rPr>
                  </w:pPr>
                  <w:r>
                    <w:rPr>
                      <w:bCs/>
                      <w:color w:val="auto"/>
                      <w:kern w:val="0"/>
                      <w:szCs w:val="21"/>
                    </w:rPr>
                    <w:t>6</w:t>
                  </w:r>
                </w:p>
              </w:tc>
              <w:tc>
                <w:tcPr>
                  <w:tcW w:w="4813" w:type="dxa"/>
                  <w:tcBorders>
                    <w:tl2br w:val="nil"/>
                    <w:tr2bl w:val="nil"/>
                  </w:tcBorders>
                  <w:vAlign w:val="center"/>
                </w:tcPr>
                <w:p w14:paraId="17382DAB">
                  <w:pPr>
                    <w:widowControl/>
                    <w:adjustRightInd w:val="0"/>
                    <w:snapToGrid w:val="0"/>
                    <w:spacing w:line="300" w:lineRule="exact"/>
                    <w:rPr>
                      <w:b/>
                      <w:bCs/>
                      <w:color w:val="auto"/>
                      <w:szCs w:val="21"/>
                    </w:rPr>
                  </w:pPr>
                  <w:r>
                    <w:rPr>
                      <w:b/>
                      <w:bCs/>
                      <w:color w:val="auto"/>
                      <w:szCs w:val="21"/>
                    </w:rPr>
                    <w:t>8.强化转移过程管理。</w:t>
                  </w:r>
                  <w:r>
                    <w:rPr>
                      <w:bCs/>
                      <w:color w:val="auto"/>
                      <w:szCs w:val="21"/>
                    </w:rPr>
                    <w:t>全面落实危险废物转移电子联单制度，实行省内全域扫描“二维码”转移。加强与危险货物道路运输电子运单数据共享，实现运输轨迹可溯可</w:t>
                  </w:r>
                  <w:r>
                    <w:rPr>
                      <w:color w:val="auto"/>
                      <w:szCs w:val="21"/>
                    </w:rPr>
                    <w:t>查。危险废物产生单位须依法核实经营单位主体资格和技术能力，直接签订委托合同，并向经营单位提供相关危险废物产生工艺、具体成分，以及是否易燃易爆等信息，违法委托的，应当与造成环境污染和生态破坏的受托方承担连带责任；经营单位须按合同及包装物扫码签收危险废物，签收人、车辆信息等须拍照上传至系统，严禁“空转”二维码。积极推行一般工业固体废物转移电子联单制度，优先选择环境风险较大的污泥、矿渣等固体废物试行。</w:t>
                  </w:r>
                </w:p>
              </w:tc>
              <w:tc>
                <w:tcPr>
                  <w:tcW w:w="2597" w:type="dxa"/>
                  <w:tcBorders>
                    <w:tl2br w:val="nil"/>
                    <w:tr2bl w:val="nil"/>
                  </w:tcBorders>
                  <w:vAlign w:val="center"/>
                </w:tcPr>
                <w:p w14:paraId="17382DAC">
                  <w:pPr>
                    <w:widowControl/>
                    <w:adjustRightInd w:val="0"/>
                    <w:snapToGrid w:val="0"/>
                    <w:spacing w:line="300" w:lineRule="exact"/>
                    <w:rPr>
                      <w:bCs/>
                      <w:color w:val="auto"/>
                      <w:kern w:val="0"/>
                      <w:szCs w:val="21"/>
                    </w:rPr>
                  </w:pPr>
                  <w:r>
                    <w:rPr>
                      <w:bCs/>
                      <w:color w:val="auto"/>
                      <w:kern w:val="0"/>
                      <w:szCs w:val="21"/>
                    </w:rPr>
                    <w:t>企业按照要求填报</w:t>
                  </w:r>
                  <w:r>
                    <w:rPr>
                      <w:bCs/>
                      <w:color w:val="auto"/>
                      <w:szCs w:val="21"/>
                    </w:rPr>
                    <w:t>危险废物转移电子联单，</w:t>
                  </w:r>
                  <w:r>
                    <w:rPr>
                      <w:color w:val="auto"/>
                      <w:szCs w:val="21"/>
                    </w:rPr>
                    <w:t>按合同及包装物扫码签收危险废物，签收人、车辆信息等按要求拍照上传至系统，严禁“空转”二维码。按要求落实一般工业固体废物转移电子联单制度。</w:t>
                  </w:r>
                </w:p>
              </w:tc>
              <w:tc>
                <w:tcPr>
                  <w:tcW w:w="655" w:type="dxa"/>
                  <w:tcBorders>
                    <w:tl2br w:val="nil"/>
                    <w:tr2bl w:val="nil"/>
                  </w:tcBorders>
                  <w:vAlign w:val="center"/>
                </w:tcPr>
                <w:p w14:paraId="17382DAD">
                  <w:pPr>
                    <w:widowControl/>
                    <w:adjustRightInd w:val="0"/>
                    <w:snapToGrid w:val="0"/>
                    <w:spacing w:line="300" w:lineRule="exact"/>
                    <w:jc w:val="center"/>
                    <w:rPr>
                      <w:bCs/>
                      <w:color w:val="auto"/>
                      <w:kern w:val="0"/>
                      <w:szCs w:val="21"/>
                    </w:rPr>
                  </w:pPr>
                  <w:r>
                    <w:rPr>
                      <w:rFonts w:hint="eastAsia"/>
                      <w:bCs/>
                      <w:color w:val="auto"/>
                      <w:kern w:val="0"/>
                      <w:szCs w:val="21"/>
                    </w:rPr>
                    <w:t>相符</w:t>
                  </w:r>
                </w:p>
              </w:tc>
            </w:tr>
            <w:tr w14:paraId="17382DB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AF">
                  <w:pPr>
                    <w:widowControl/>
                    <w:adjustRightInd w:val="0"/>
                    <w:snapToGrid w:val="0"/>
                    <w:spacing w:line="300" w:lineRule="exact"/>
                    <w:jc w:val="center"/>
                    <w:rPr>
                      <w:bCs/>
                      <w:color w:val="auto"/>
                      <w:kern w:val="0"/>
                      <w:szCs w:val="21"/>
                    </w:rPr>
                  </w:pPr>
                  <w:r>
                    <w:rPr>
                      <w:bCs/>
                      <w:color w:val="auto"/>
                      <w:kern w:val="0"/>
                      <w:szCs w:val="21"/>
                    </w:rPr>
                    <w:t>7</w:t>
                  </w:r>
                </w:p>
              </w:tc>
              <w:tc>
                <w:tcPr>
                  <w:tcW w:w="4813" w:type="dxa"/>
                  <w:tcBorders>
                    <w:tl2br w:val="nil"/>
                    <w:tr2bl w:val="nil"/>
                  </w:tcBorders>
                  <w:vAlign w:val="center"/>
                </w:tcPr>
                <w:p w14:paraId="17382DB0">
                  <w:pPr>
                    <w:widowControl/>
                    <w:adjustRightInd w:val="0"/>
                    <w:snapToGrid w:val="0"/>
                    <w:spacing w:line="300" w:lineRule="exact"/>
                    <w:rPr>
                      <w:b/>
                      <w:bCs/>
                      <w:color w:val="auto"/>
                      <w:szCs w:val="21"/>
                    </w:rPr>
                  </w:pPr>
                  <w:r>
                    <w:rPr>
                      <w:b/>
                      <w:bCs/>
                      <w:color w:val="auto"/>
                      <w:szCs w:val="21"/>
                    </w:rPr>
                    <w:t>9.落实信息公开制度。</w:t>
                  </w:r>
                  <w:r>
                    <w:rPr>
                      <w:bCs/>
                      <w:color w:val="auto"/>
                      <w:szCs w:val="21"/>
                    </w:rPr>
                    <w:t>危险废物环境重点监管单位要在出入口、设施内部、危险废物运输车辆通道等关键位置设置视频监控并与中控室联网，通过设立公开栏、标志牌等方式，主动公开危险废物产生和利用处置等有关信息。集中焚烧处置单位及有自建危废焚烧处置设施的单位要</w:t>
                  </w:r>
                  <w:r>
                    <w:rPr>
                      <w:color w:val="auto"/>
                      <w:szCs w:val="21"/>
                    </w:rPr>
                    <w:t>依法及时公开二燃室温度等工况运行指标以及污染物排放指标、浓</w:t>
                  </w:r>
                  <w:r>
                    <w:rPr>
                      <w:bCs/>
                      <w:color w:val="auto"/>
                      <w:szCs w:val="21"/>
                    </w:rPr>
                    <w:t>度等有关信息，并联网至属地生态环境部门。危险废物经营单位应同步公开许可证、许可条件等全文信息。</w:t>
                  </w:r>
                </w:p>
              </w:tc>
              <w:tc>
                <w:tcPr>
                  <w:tcW w:w="2597" w:type="dxa"/>
                  <w:tcBorders>
                    <w:tl2br w:val="nil"/>
                    <w:tr2bl w:val="nil"/>
                  </w:tcBorders>
                  <w:vAlign w:val="center"/>
                </w:tcPr>
                <w:p w14:paraId="17382DB1">
                  <w:pPr>
                    <w:widowControl/>
                    <w:adjustRightInd w:val="0"/>
                    <w:snapToGrid w:val="0"/>
                    <w:spacing w:line="300" w:lineRule="exact"/>
                    <w:rPr>
                      <w:bCs/>
                      <w:color w:val="auto"/>
                      <w:kern w:val="0"/>
                      <w:szCs w:val="21"/>
                    </w:rPr>
                  </w:pPr>
                  <w:r>
                    <w:rPr>
                      <w:bCs/>
                      <w:color w:val="auto"/>
                      <w:kern w:val="0"/>
                      <w:szCs w:val="21"/>
                    </w:rPr>
                    <w:t>企业</w:t>
                  </w:r>
                  <w:r>
                    <w:rPr>
                      <w:bCs/>
                      <w:color w:val="auto"/>
                      <w:szCs w:val="21"/>
                    </w:rPr>
                    <w:t>要在出入口、设施内部、危险废物运输车辆通道等关键位置设置视频监控并与中控室联网，通过设立公开栏、标志牌等方式，主动公开危险废物产生和利用处置等有关信息</w:t>
                  </w:r>
                  <w:r>
                    <w:rPr>
                      <w:color w:val="auto"/>
                      <w:szCs w:val="21"/>
                    </w:rPr>
                    <w:t>。</w:t>
                  </w:r>
                </w:p>
              </w:tc>
              <w:tc>
                <w:tcPr>
                  <w:tcW w:w="655" w:type="dxa"/>
                  <w:tcBorders>
                    <w:tl2br w:val="nil"/>
                    <w:tr2bl w:val="nil"/>
                  </w:tcBorders>
                  <w:vAlign w:val="center"/>
                </w:tcPr>
                <w:p w14:paraId="17382DB2">
                  <w:pPr>
                    <w:widowControl/>
                    <w:adjustRightInd w:val="0"/>
                    <w:snapToGrid w:val="0"/>
                    <w:spacing w:line="300" w:lineRule="exact"/>
                    <w:jc w:val="center"/>
                    <w:rPr>
                      <w:bCs/>
                      <w:color w:val="auto"/>
                      <w:kern w:val="0"/>
                      <w:szCs w:val="21"/>
                    </w:rPr>
                  </w:pPr>
                  <w:r>
                    <w:rPr>
                      <w:rFonts w:hint="eastAsia"/>
                      <w:bCs/>
                      <w:color w:val="auto"/>
                      <w:kern w:val="0"/>
                      <w:szCs w:val="21"/>
                    </w:rPr>
                    <w:t>相符</w:t>
                  </w:r>
                </w:p>
              </w:tc>
            </w:tr>
            <w:tr w14:paraId="17382DB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B4">
                  <w:pPr>
                    <w:widowControl/>
                    <w:adjustRightInd w:val="0"/>
                    <w:snapToGrid w:val="0"/>
                    <w:spacing w:line="300" w:lineRule="exact"/>
                    <w:jc w:val="center"/>
                    <w:rPr>
                      <w:bCs/>
                      <w:color w:val="auto"/>
                      <w:kern w:val="0"/>
                      <w:szCs w:val="21"/>
                    </w:rPr>
                  </w:pPr>
                  <w:r>
                    <w:rPr>
                      <w:bCs/>
                      <w:color w:val="auto"/>
                      <w:kern w:val="0"/>
                      <w:szCs w:val="21"/>
                    </w:rPr>
                    <w:t>8</w:t>
                  </w:r>
                </w:p>
              </w:tc>
              <w:tc>
                <w:tcPr>
                  <w:tcW w:w="4813" w:type="dxa"/>
                  <w:tcBorders>
                    <w:tl2br w:val="nil"/>
                    <w:tr2bl w:val="nil"/>
                  </w:tcBorders>
                  <w:vAlign w:val="center"/>
                </w:tcPr>
                <w:p w14:paraId="17382DB5">
                  <w:pPr>
                    <w:widowControl/>
                    <w:adjustRightInd w:val="0"/>
                    <w:snapToGrid w:val="0"/>
                    <w:spacing w:line="300" w:lineRule="exact"/>
                    <w:rPr>
                      <w:b/>
                      <w:bCs/>
                      <w:color w:val="auto"/>
                      <w:szCs w:val="21"/>
                    </w:rPr>
                  </w:pPr>
                  <w:r>
                    <w:rPr>
                      <w:b/>
                      <w:bCs/>
                      <w:color w:val="auto"/>
                      <w:szCs w:val="21"/>
                    </w:rPr>
                    <w:t>12.推进固废就近利用处置</w:t>
                  </w:r>
                  <w:r>
                    <w:rPr>
                      <w:bCs/>
                      <w:color w:val="auto"/>
                      <w:szCs w:val="21"/>
                    </w:rPr>
                    <w:t>。各地要提请属地政府，根据实际需求统筹推进本地危险废物利用处置能力建设。依托固废管理信息系统就近利用处置提醒功能，及时引导企业合理选择利用处置去向，实现危险废物市内消纳率逐步提升，防范长距离运输带来的环境风险。</w:t>
                  </w:r>
                </w:p>
              </w:tc>
              <w:tc>
                <w:tcPr>
                  <w:tcW w:w="2597" w:type="dxa"/>
                  <w:tcBorders>
                    <w:tl2br w:val="nil"/>
                    <w:tr2bl w:val="nil"/>
                  </w:tcBorders>
                  <w:vAlign w:val="center"/>
                </w:tcPr>
                <w:p w14:paraId="17382DB6">
                  <w:pPr>
                    <w:widowControl/>
                    <w:adjustRightInd w:val="0"/>
                    <w:snapToGrid w:val="0"/>
                    <w:spacing w:line="300" w:lineRule="exact"/>
                    <w:rPr>
                      <w:bCs/>
                      <w:color w:val="auto"/>
                      <w:kern w:val="0"/>
                      <w:szCs w:val="21"/>
                    </w:rPr>
                  </w:pPr>
                  <w:r>
                    <w:rPr>
                      <w:bCs/>
                      <w:color w:val="auto"/>
                      <w:kern w:val="0"/>
                      <w:szCs w:val="21"/>
                    </w:rPr>
                    <w:t>本项目危废拟在淮安市范围内就近处置危废</w:t>
                  </w:r>
                  <w:r>
                    <w:rPr>
                      <w:bCs/>
                      <w:color w:val="auto"/>
                      <w:szCs w:val="21"/>
                    </w:rPr>
                    <w:t>，防范长距离运输带来的环境风险</w:t>
                  </w:r>
                </w:p>
              </w:tc>
              <w:tc>
                <w:tcPr>
                  <w:tcW w:w="655" w:type="dxa"/>
                  <w:tcBorders>
                    <w:tl2br w:val="nil"/>
                    <w:tr2bl w:val="nil"/>
                  </w:tcBorders>
                  <w:vAlign w:val="center"/>
                </w:tcPr>
                <w:p w14:paraId="17382DB7">
                  <w:pPr>
                    <w:widowControl/>
                    <w:adjustRightInd w:val="0"/>
                    <w:snapToGrid w:val="0"/>
                    <w:spacing w:line="300" w:lineRule="exact"/>
                    <w:jc w:val="center"/>
                    <w:rPr>
                      <w:bCs/>
                      <w:color w:val="auto"/>
                      <w:kern w:val="0"/>
                      <w:szCs w:val="21"/>
                    </w:rPr>
                  </w:pPr>
                  <w:r>
                    <w:rPr>
                      <w:rFonts w:hint="eastAsia"/>
                      <w:bCs/>
                      <w:color w:val="auto"/>
                      <w:kern w:val="0"/>
                      <w:szCs w:val="21"/>
                    </w:rPr>
                    <w:t>相符</w:t>
                  </w:r>
                </w:p>
              </w:tc>
            </w:tr>
            <w:tr w14:paraId="17382DB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B9">
                  <w:pPr>
                    <w:widowControl/>
                    <w:adjustRightInd w:val="0"/>
                    <w:snapToGrid w:val="0"/>
                    <w:spacing w:line="300" w:lineRule="exact"/>
                    <w:jc w:val="center"/>
                    <w:rPr>
                      <w:bCs/>
                      <w:color w:val="auto"/>
                      <w:kern w:val="0"/>
                      <w:szCs w:val="21"/>
                    </w:rPr>
                  </w:pPr>
                  <w:r>
                    <w:rPr>
                      <w:bCs/>
                      <w:color w:val="auto"/>
                      <w:kern w:val="0"/>
                      <w:szCs w:val="21"/>
                    </w:rPr>
                    <w:t>9</w:t>
                  </w:r>
                </w:p>
              </w:tc>
              <w:tc>
                <w:tcPr>
                  <w:tcW w:w="4813" w:type="dxa"/>
                  <w:tcBorders>
                    <w:tl2br w:val="nil"/>
                    <w:tr2bl w:val="nil"/>
                  </w:tcBorders>
                  <w:vAlign w:val="center"/>
                </w:tcPr>
                <w:p w14:paraId="17382DBA">
                  <w:pPr>
                    <w:widowControl/>
                    <w:adjustRightInd w:val="0"/>
                    <w:snapToGrid w:val="0"/>
                    <w:spacing w:line="300" w:lineRule="exact"/>
                    <w:rPr>
                      <w:b/>
                      <w:bCs/>
                      <w:color w:val="auto"/>
                      <w:szCs w:val="21"/>
                    </w:rPr>
                  </w:pPr>
                  <w:r>
                    <w:rPr>
                      <w:b/>
                      <w:bCs/>
                      <w:color w:val="auto"/>
                      <w:szCs w:val="21"/>
                    </w:rPr>
                    <w:t>13.加强企业产物监管。</w:t>
                  </w:r>
                  <w:r>
                    <w:rPr>
                      <w:bCs/>
                      <w:color w:val="auto"/>
                      <w:szCs w:val="21"/>
                    </w:rPr>
                    <w:t>危险废物利用单位的所有产物须按照本文件第2条明确的五类属性进行分类管理，其中按产品管理的需要对其特征污染物开展检测分析，严防污染物向下游转移。</w:t>
                  </w:r>
                  <w:r>
                    <w:rPr>
                      <w:color w:val="auto"/>
                      <w:szCs w:val="21"/>
                    </w:rPr>
                    <w:t>全国性行业协会或江苏省地方行业协会制定的团体标准若包括危险废物来源、利用工艺、利用产物功能性指标、有效成分含量、特征污染物含量和利用产物用途的，可作为用于工业生产替代原料的综合利用产物环境风险评价的依据，其环境风险评价要重点阐述标准落实情况。严格执行风险评价要求的利用产物</w:t>
                  </w:r>
                  <w:r>
                    <w:rPr>
                      <w:bCs/>
                      <w:color w:val="auto"/>
                      <w:szCs w:val="21"/>
                    </w:rPr>
                    <w:t>可</w:t>
                  </w:r>
                  <w:r>
                    <w:rPr>
                      <w:color w:val="auto"/>
                      <w:szCs w:val="21"/>
                    </w:rPr>
                    <w:t>按照产品管理。</w:t>
                  </w:r>
                </w:p>
              </w:tc>
              <w:tc>
                <w:tcPr>
                  <w:tcW w:w="2597" w:type="dxa"/>
                  <w:tcBorders>
                    <w:tl2br w:val="nil"/>
                    <w:tr2bl w:val="nil"/>
                  </w:tcBorders>
                  <w:vAlign w:val="center"/>
                </w:tcPr>
                <w:p w14:paraId="17382DBB">
                  <w:pPr>
                    <w:widowControl/>
                    <w:adjustRightInd w:val="0"/>
                    <w:snapToGrid w:val="0"/>
                    <w:spacing w:line="300" w:lineRule="exact"/>
                    <w:rPr>
                      <w:bCs/>
                      <w:color w:val="auto"/>
                      <w:kern w:val="0"/>
                      <w:szCs w:val="21"/>
                    </w:rPr>
                  </w:pPr>
                  <w:r>
                    <w:rPr>
                      <w:bCs/>
                      <w:color w:val="auto"/>
                      <w:kern w:val="0"/>
                      <w:szCs w:val="21"/>
                    </w:rPr>
                    <w:t>本次项目不涉及危废利用。</w:t>
                  </w:r>
                </w:p>
              </w:tc>
              <w:tc>
                <w:tcPr>
                  <w:tcW w:w="655" w:type="dxa"/>
                  <w:tcBorders>
                    <w:tl2br w:val="nil"/>
                    <w:tr2bl w:val="nil"/>
                  </w:tcBorders>
                  <w:vAlign w:val="center"/>
                </w:tcPr>
                <w:p w14:paraId="17382DBC">
                  <w:pPr>
                    <w:widowControl/>
                    <w:adjustRightInd w:val="0"/>
                    <w:snapToGrid w:val="0"/>
                    <w:spacing w:line="300" w:lineRule="exact"/>
                    <w:jc w:val="center"/>
                    <w:rPr>
                      <w:bCs/>
                      <w:color w:val="auto"/>
                      <w:kern w:val="0"/>
                      <w:szCs w:val="21"/>
                    </w:rPr>
                  </w:pPr>
                  <w:r>
                    <w:rPr>
                      <w:rFonts w:hint="eastAsia"/>
                      <w:bCs/>
                      <w:color w:val="auto"/>
                      <w:kern w:val="0"/>
                      <w:szCs w:val="21"/>
                    </w:rPr>
                    <w:t>相符</w:t>
                  </w:r>
                </w:p>
              </w:tc>
            </w:tr>
            <w:tr w14:paraId="17382DC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BE">
                  <w:pPr>
                    <w:widowControl/>
                    <w:adjustRightInd w:val="0"/>
                    <w:snapToGrid w:val="0"/>
                    <w:spacing w:line="300" w:lineRule="exact"/>
                    <w:jc w:val="center"/>
                    <w:rPr>
                      <w:bCs/>
                      <w:color w:val="auto"/>
                      <w:kern w:val="0"/>
                      <w:szCs w:val="21"/>
                    </w:rPr>
                  </w:pPr>
                  <w:r>
                    <w:rPr>
                      <w:bCs/>
                      <w:color w:val="auto"/>
                      <w:kern w:val="0"/>
                      <w:szCs w:val="21"/>
                    </w:rPr>
                    <w:t>10</w:t>
                  </w:r>
                </w:p>
              </w:tc>
              <w:tc>
                <w:tcPr>
                  <w:tcW w:w="4813" w:type="dxa"/>
                  <w:tcBorders>
                    <w:tl2br w:val="nil"/>
                    <w:tr2bl w:val="nil"/>
                  </w:tcBorders>
                  <w:vAlign w:val="center"/>
                </w:tcPr>
                <w:p w14:paraId="17382DBF">
                  <w:pPr>
                    <w:widowControl/>
                    <w:adjustRightInd w:val="0"/>
                    <w:snapToGrid w:val="0"/>
                    <w:spacing w:line="300" w:lineRule="exact"/>
                    <w:rPr>
                      <w:b/>
                      <w:bCs/>
                      <w:color w:val="auto"/>
                      <w:szCs w:val="21"/>
                    </w:rPr>
                  </w:pPr>
                  <w:r>
                    <w:rPr>
                      <w:b/>
                      <w:bCs/>
                      <w:color w:val="auto"/>
                      <w:szCs w:val="21"/>
                    </w:rPr>
                    <w:t>15.规范一般工业固废管理。</w:t>
                  </w:r>
                  <w:r>
                    <w:rPr>
                      <w:color w:val="auto"/>
                      <w:szCs w:val="21"/>
                    </w:rPr>
                    <w:t>企业需按照《一般工业固体废物管理台账制定指南（试行）》（生态环境部2021年第82号公告）要求，建立一般工业固废台账，污泥、矿渣等同时还需在固废管理信息系统申报，电子台账已有内容，不再另外制作纸质台账。各地要对辖区内一般工业固废利用处置需求和能力进行摸排，建立收运处体系。一般工业固废用于矿山采坑回填和生态恢复的，参照《一般工业固体废物用于矿山采坑回填和生态恢复技术规范》（DB15/T 2763—2022）执行。</w:t>
                  </w:r>
                </w:p>
              </w:tc>
              <w:tc>
                <w:tcPr>
                  <w:tcW w:w="2597" w:type="dxa"/>
                  <w:tcBorders>
                    <w:tl2br w:val="nil"/>
                    <w:tr2bl w:val="nil"/>
                  </w:tcBorders>
                  <w:vAlign w:val="center"/>
                </w:tcPr>
                <w:p w14:paraId="17382DC0">
                  <w:pPr>
                    <w:widowControl/>
                    <w:adjustRightInd w:val="0"/>
                    <w:snapToGrid w:val="0"/>
                    <w:spacing w:line="300" w:lineRule="exact"/>
                    <w:rPr>
                      <w:bCs/>
                      <w:color w:val="auto"/>
                      <w:kern w:val="0"/>
                      <w:szCs w:val="21"/>
                    </w:rPr>
                  </w:pPr>
                  <w:r>
                    <w:rPr>
                      <w:color w:val="auto"/>
                      <w:szCs w:val="21"/>
                    </w:rPr>
                    <w:t>企业按照要求建立一般工业固废台账。</w:t>
                  </w:r>
                </w:p>
              </w:tc>
              <w:tc>
                <w:tcPr>
                  <w:tcW w:w="655" w:type="dxa"/>
                  <w:tcBorders>
                    <w:tl2br w:val="nil"/>
                    <w:tr2bl w:val="nil"/>
                  </w:tcBorders>
                  <w:vAlign w:val="center"/>
                </w:tcPr>
                <w:p w14:paraId="17382DC1">
                  <w:pPr>
                    <w:widowControl/>
                    <w:adjustRightInd w:val="0"/>
                    <w:snapToGrid w:val="0"/>
                    <w:spacing w:line="300" w:lineRule="exact"/>
                    <w:jc w:val="center"/>
                    <w:rPr>
                      <w:bCs/>
                      <w:color w:val="auto"/>
                      <w:kern w:val="0"/>
                      <w:szCs w:val="21"/>
                    </w:rPr>
                  </w:pPr>
                  <w:r>
                    <w:rPr>
                      <w:rFonts w:hint="eastAsia"/>
                      <w:bCs/>
                      <w:color w:val="auto"/>
                      <w:kern w:val="0"/>
                      <w:szCs w:val="21"/>
                    </w:rPr>
                    <w:t>相符</w:t>
                  </w:r>
                </w:p>
              </w:tc>
            </w:tr>
            <w:tr w14:paraId="17382DC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28" w:type="dxa"/>
                  <w:bottom w:w="0" w:type="dxa"/>
                  <w:right w:w="28" w:type="dxa"/>
                </w:tblCellMar>
              </w:tblPrEx>
              <w:trPr>
                <w:jc w:val="center"/>
              </w:trPr>
              <w:tc>
                <w:tcPr>
                  <w:tcW w:w="461" w:type="dxa"/>
                  <w:tcBorders>
                    <w:tl2br w:val="nil"/>
                    <w:tr2bl w:val="nil"/>
                  </w:tcBorders>
                  <w:vAlign w:val="center"/>
                </w:tcPr>
                <w:p w14:paraId="17382DC3">
                  <w:pPr>
                    <w:widowControl/>
                    <w:adjustRightInd w:val="0"/>
                    <w:snapToGrid w:val="0"/>
                    <w:spacing w:line="300" w:lineRule="exact"/>
                    <w:jc w:val="center"/>
                    <w:rPr>
                      <w:bCs/>
                      <w:color w:val="auto"/>
                      <w:kern w:val="0"/>
                      <w:szCs w:val="21"/>
                    </w:rPr>
                  </w:pPr>
                  <w:r>
                    <w:rPr>
                      <w:bCs/>
                      <w:color w:val="auto"/>
                      <w:kern w:val="0"/>
                      <w:szCs w:val="21"/>
                    </w:rPr>
                    <w:t>11</w:t>
                  </w:r>
                </w:p>
              </w:tc>
              <w:tc>
                <w:tcPr>
                  <w:tcW w:w="4813" w:type="dxa"/>
                  <w:tcBorders>
                    <w:tl2br w:val="nil"/>
                    <w:tr2bl w:val="nil"/>
                  </w:tcBorders>
                  <w:vAlign w:val="center"/>
                </w:tcPr>
                <w:p w14:paraId="17382DC4">
                  <w:pPr>
                    <w:widowControl/>
                    <w:adjustRightInd w:val="0"/>
                    <w:snapToGrid w:val="0"/>
                    <w:spacing w:line="300" w:lineRule="exact"/>
                    <w:rPr>
                      <w:b/>
                      <w:bCs/>
                      <w:color w:val="auto"/>
                      <w:szCs w:val="21"/>
                    </w:rPr>
                  </w:pPr>
                  <w:r>
                    <w:rPr>
                      <w:b/>
                      <w:bCs/>
                      <w:color w:val="auto"/>
                      <w:szCs w:val="21"/>
                    </w:rPr>
                    <w:t>20.推动清洁生产审核。</w:t>
                  </w:r>
                  <w:r>
                    <w:rPr>
                      <w:color w:val="auto"/>
                      <w:szCs w:val="21"/>
                    </w:rPr>
                    <w:t>推动危</w:t>
                  </w:r>
                  <w:r>
                    <w:rPr>
                      <w:bCs/>
                      <w:color w:val="auto"/>
                      <w:szCs w:val="21"/>
                    </w:rPr>
                    <w:t>险废物经营单位积极开展清洁生产审核，持续提升利用处置工艺技术水平，减少环境污染。鼓励危险废物经营单位按照省厅绿色发展领军企业评选要求积极创建，力争培育一批绿色领军企业，省厅在行政审批、财政税收、绿色金融、跨区域转移等方面给予政策激励。</w:t>
                  </w:r>
                </w:p>
              </w:tc>
              <w:tc>
                <w:tcPr>
                  <w:tcW w:w="2597" w:type="dxa"/>
                  <w:tcBorders>
                    <w:tl2br w:val="nil"/>
                    <w:tr2bl w:val="nil"/>
                  </w:tcBorders>
                  <w:vAlign w:val="center"/>
                </w:tcPr>
                <w:p w14:paraId="17382DC5">
                  <w:pPr>
                    <w:widowControl/>
                    <w:adjustRightInd w:val="0"/>
                    <w:snapToGrid w:val="0"/>
                    <w:spacing w:line="300" w:lineRule="exact"/>
                    <w:rPr>
                      <w:bCs/>
                      <w:color w:val="auto"/>
                      <w:kern w:val="0"/>
                      <w:szCs w:val="21"/>
                    </w:rPr>
                  </w:pPr>
                  <w:r>
                    <w:rPr>
                      <w:color w:val="auto"/>
                      <w:szCs w:val="21"/>
                    </w:rPr>
                    <w:t>本企业不属于危废经营单位。</w:t>
                  </w:r>
                </w:p>
              </w:tc>
              <w:tc>
                <w:tcPr>
                  <w:tcW w:w="655" w:type="dxa"/>
                  <w:tcBorders>
                    <w:tl2br w:val="nil"/>
                    <w:tr2bl w:val="nil"/>
                  </w:tcBorders>
                  <w:vAlign w:val="center"/>
                </w:tcPr>
                <w:p w14:paraId="17382DC6">
                  <w:pPr>
                    <w:widowControl/>
                    <w:adjustRightInd w:val="0"/>
                    <w:snapToGrid w:val="0"/>
                    <w:spacing w:line="300" w:lineRule="exact"/>
                    <w:jc w:val="center"/>
                    <w:rPr>
                      <w:bCs/>
                      <w:color w:val="auto"/>
                      <w:kern w:val="0"/>
                      <w:szCs w:val="21"/>
                    </w:rPr>
                  </w:pPr>
                  <w:r>
                    <w:rPr>
                      <w:rFonts w:hint="eastAsia"/>
                      <w:bCs/>
                      <w:color w:val="auto"/>
                      <w:kern w:val="0"/>
                      <w:szCs w:val="21"/>
                    </w:rPr>
                    <w:t>相符</w:t>
                  </w:r>
                </w:p>
              </w:tc>
            </w:tr>
          </w:tbl>
          <w:p w14:paraId="17382DC8">
            <w:pPr>
              <w:adjustRightInd w:val="0"/>
              <w:snapToGrid w:val="0"/>
              <w:spacing w:line="360" w:lineRule="auto"/>
              <w:ind w:firstLine="480" w:firstLineChars="200"/>
              <w:rPr>
                <w:color w:val="auto"/>
                <w:sz w:val="24"/>
              </w:rPr>
            </w:pPr>
            <w:r>
              <w:rPr>
                <w:color w:val="auto"/>
                <w:sz w:val="24"/>
              </w:rPr>
              <w:t>企业应加强危险废物申报与管理，具体包括：</w:t>
            </w:r>
          </w:p>
          <w:p w14:paraId="17382DC9">
            <w:pPr>
              <w:adjustRightInd w:val="0"/>
              <w:snapToGrid w:val="0"/>
              <w:spacing w:line="360" w:lineRule="auto"/>
              <w:ind w:firstLine="480" w:firstLineChars="200"/>
              <w:rPr>
                <w:color w:val="auto"/>
                <w:sz w:val="24"/>
              </w:rPr>
            </w:pPr>
            <w:r>
              <w:rPr>
                <w:color w:val="auto"/>
                <w:sz w:val="24"/>
              </w:rPr>
              <w:fldChar w:fldCharType="begin"/>
            </w:r>
            <w:r>
              <w:rPr>
                <w:color w:val="auto"/>
                <w:sz w:val="24"/>
              </w:rPr>
              <w:instrText xml:space="preserve"> = 1 \* GB3 \* MERGEFORMAT </w:instrText>
            </w:r>
            <w:r>
              <w:rPr>
                <w:color w:val="auto"/>
                <w:sz w:val="24"/>
              </w:rPr>
              <w:fldChar w:fldCharType="separate"/>
            </w:r>
            <w:r>
              <w:rPr>
                <w:color w:val="auto"/>
                <w:sz w:val="24"/>
              </w:rPr>
              <w:t>①</w:t>
            </w:r>
            <w:r>
              <w:rPr>
                <w:color w:val="auto"/>
                <w:sz w:val="24"/>
              </w:rPr>
              <w:fldChar w:fldCharType="end"/>
            </w:r>
            <w:r>
              <w:rPr>
                <w:color w:val="auto"/>
                <w:sz w:val="24"/>
              </w:rPr>
              <w:t>强化危险废物申报登记</w:t>
            </w:r>
          </w:p>
          <w:p w14:paraId="17382DCA">
            <w:pPr>
              <w:adjustRightInd w:val="0"/>
              <w:snapToGrid w:val="0"/>
              <w:spacing w:line="360" w:lineRule="auto"/>
              <w:ind w:firstLine="480" w:firstLineChars="200"/>
              <w:rPr>
                <w:color w:val="auto"/>
                <w:sz w:val="24"/>
              </w:rPr>
            </w:pPr>
            <w:r>
              <w:rPr>
                <w:color w:val="auto"/>
                <w:sz w:val="24"/>
              </w:rPr>
              <w:t>企业应按规定申报危险废物产生、贮存、转移、利用处置等信息，制定危险废物年度管理计划并备案。管理计划如需调整变更的，应重新在系统中申请备案。</w:t>
            </w:r>
          </w:p>
          <w:p w14:paraId="17382DCB">
            <w:pPr>
              <w:adjustRightInd w:val="0"/>
              <w:snapToGrid w:val="0"/>
              <w:spacing w:line="360" w:lineRule="auto"/>
              <w:ind w:firstLine="480" w:firstLineChars="200"/>
              <w:rPr>
                <w:color w:val="auto"/>
                <w:sz w:val="24"/>
              </w:rPr>
            </w:pPr>
            <w:r>
              <w:rPr>
                <w:color w:val="auto"/>
                <w:sz w:val="24"/>
              </w:rPr>
              <w:t>企业应结合自身实际，建立危险废物台账，如实记载危险废物的种类、数量、性质、产生环节、流向、贮存、利用处置等信息，如实规范申报，申报数据应与台账、管理计划数据相一致。</w:t>
            </w:r>
          </w:p>
          <w:p w14:paraId="17382DCC">
            <w:pPr>
              <w:adjustRightInd w:val="0"/>
              <w:snapToGrid w:val="0"/>
              <w:spacing w:line="360" w:lineRule="auto"/>
              <w:ind w:firstLine="480" w:firstLineChars="200"/>
              <w:rPr>
                <w:color w:val="auto"/>
                <w:sz w:val="24"/>
              </w:rPr>
            </w:pPr>
            <w:r>
              <w:rPr>
                <w:color w:val="auto"/>
                <w:sz w:val="24"/>
              </w:rPr>
              <w:fldChar w:fldCharType="begin"/>
            </w:r>
            <w:r>
              <w:rPr>
                <w:color w:val="auto"/>
                <w:sz w:val="24"/>
              </w:rPr>
              <w:instrText xml:space="preserve"> = 2 \* GB3 \* MERGEFORMAT </w:instrText>
            </w:r>
            <w:r>
              <w:rPr>
                <w:color w:val="auto"/>
                <w:sz w:val="24"/>
              </w:rPr>
              <w:fldChar w:fldCharType="separate"/>
            </w:r>
            <w:r>
              <w:rPr>
                <w:color w:val="auto"/>
                <w:sz w:val="24"/>
              </w:rPr>
              <w:t>②</w:t>
            </w:r>
            <w:r>
              <w:rPr>
                <w:color w:val="auto"/>
                <w:sz w:val="24"/>
              </w:rPr>
              <w:fldChar w:fldCharType="end"/>
            </w:r>
            <w:r>
              <w:rPr>
                <w:color w:val="auto"/>
                <w:sz w:val="24"/>
              </w:rPr>
              <w:t>落实信息公开制度</w:t>
            </w:r>
          </w:p>
          <w:p w14:paraId="17382DCE">
            <w:pPr>
              <w:adjustRightInd w:val="0"/>
              <w:snapToGrid w:val="0"/>
              <w:spacing w:line="360" w:lineRule="auto"/>
              <w:ind w:firstLine="480" w:firstLineChars="200"/>
              <w:rPr>
                <w:color w:val="auto"/>
                <w:sz w:val="24"/>
              </w:rPr>
            </w:pPr>
            <w:r>
              <w:rPr>
                <w:color w:val="auto"/>
                <w:sz w:val="24"/>
              </w:rPr>
              <w:t xml:space="preserve">加大企业危险废物信息公开力度，纳入重点排污单位的涉危企业应每年定期向社会发布企业年度环境报告。各地生态环境部门应督促危险废物产生单位和经营单位按照规范要求在厂区门口显著位置设置危险废物信息公开栏，主动公开危险废物产生、利用处置等情况；企业有官方网站的，在官网上同时公开相关信息。 </w:t>
            </w:r>
            <w:r>
              <w:rPr>
                <w:color w:val="auto"/>
                <w:sz w:val="24"/>
              </w:rPr>
              <w:fldChar w:fldCharType="begin"/>
            </w:r>
            <w:r>
              <w:rPr>
                <w:color w:val="auto"/>
                <w:sz w:val="24"/>
              </w:rPr>
              <w:instrText xml:space="preserve"> = 3 \* GB3 \* MERGEFORMAT </w:instrText>
            </w:r>
            <w:r>
              <w:rPr>
                <w:color w:val="auto"/>
                <w:sz w:val="24"/>
              </w:rPr>
              <w:fldChar w:fldCharType="separate"/>
            </w:r>
            <w:r>
              <w:rPr>
                <w:color w:val="auto"/>
                <w:sz w:val="24"/>
              </w:rPr>
              <w:t>③</w:t>
            </w:r>
            <w:r>
              <w:rPr>
                <w:color w:val="auto"/>
                <w:sz w:val="24"/>
              </w:rPr>
              <w:fldChar w:fldCharType="end"/>
            </w:r>
            <w:r>
              <w:rPr>
                <w:color w:val="auto"/>
                <w:sz w:val="24"/>
              </w:rPr>
              <w:t>危险废物处理过程要求</w:t>
            </w:r>
          </w:p>
          <w:p w14:paraId="17382DCF">
            <w:pPr>
              <w:adjustRightInd w:val="0"/>
              <w:snapToGrid w:val="0"/>
              <w:spacing w:line="360" w:lineRule="auto"/>
              <w:ind w:firstLine="480" w:firstLineChars="200"/>
              <w:rPr>
                <w:color w:val="auto"/>
                <w:sz w:val="24"/>
              </w:rPr>
            </w:pPr>
            <w:r>
              <w:rPr>
                <w:color w:val="auto"/>
                <w:sz w:val="24"/>
              </w:rPr>
              <w:t>项目在危险废物的转移时，按有关规定签订危险废物转移单，并需得到有关环境行政主管部门的批准。同时，在危险废物转移前，要设立专门场地严格按要求保存，不得随意堆放，防止对周围环境造成影响。</w:t>
            </w:r>
          </w:p>
          <w:p w14:paraId="17382DD0">
            <w:pPr>
              <w:adjustRightInd w:val="0"/>
              <w:snapToGrid w:val="0"/>
              <w:spacing w:line="360" w:lineRule="auto"/>
              <w:ind w:firstLine="480" w:firstLineChars="200"/>
              <w:rPr>
                <w:color w:val="auto"/>
                <w:sz w:val="24"/>
              </w:rPr>
            </w:pPr>
            <w:r>
              <w:rPr>
                <w:color w:val="auto"/>
                <w:sz w:val="24"/>
              </w:rPr>
              <w:t>处置单位应严格按照有关处置规定对废物进行处置，不得产生二次污染。本项目危险废物储存场所按危险废物相关要求储存，对周围环境不产生二次影响。若本项目危险废物在厂内暂存期间如管理不善，发生流失、渗漏，易造成土壤及水环境污染。因此，固体废物在厂内暂存期间应加强管理，堆放场地应防渗、防流失措施。此外，固体废物在外运过程可能发生抛洒、泄漏，造成土壤及水环境污染，对大气环境造成影响，危害沿线居民健康。因此，项目在危险废物的转移时，按有关规定签订危险废物转移单，并需得到有关环境行政主管部门的批准，且必须委托专门的危险废物运输单位，需具备一定的应急能力。</w:t>
            </w:r>
          </w:p>
          <w:p w14:paraId="17382DD1">
            <w:pPr>
              <w:adjustRightInd w:val="0"/>
              <w:snapToGrid w:val="0"/>
              <w:spacing w:line="360" w:lineRule="auto"/>
              <w:ind w:firstLine="480" w:firstLineChars="200"/>
              <w:rPr>
                <w:color w:val="auto"/>
                <w:sz w:val="24"/>
              </w:rPr>
            </w:pPr>
            <w:r>
              <w:rPr>
                <w:color w:val="auto"/>
                <w:sz w:val="24"/>
              </w:rPr>
              <w:fldChar w:fldCharType="begin"/>
            </w:r>
            <w:r>
              <w:rPr>
                <w:color w:val="auto"/>
                <w:sz w:val="24"/>
              </w:rPr>
              <w:instrText xml:space="preserve"> = 4 \* GB3 \* MERGEFORMAT </w:instrText>
            </w:r>
            <w:r>
              <w:rPr>
                <w:color w:val="auto"/>
                <w:sz w:val="24"/>
              </w:rPr>
              <w:fldChar w:fldCharType="separate"/>
            </w:r>
            <w:r>
              <w:rPr>
                <w:color w:val="auto"/>
                <w:sz w:val="24"/>
              </w:rPr>
              <w:t>④</w:t>
            </w:r>
            <w:r>
              <w:rPr>
                <w:color w:val="auto"/>
                <w:sz w:val="24"/>
              </w:rPr>
              <w:fldChar w:fldCharType="end"/>
            </w:r>
            <w:r>
              <w:rPr>
                <w:color w:val="auto"/>
                <w:sz w:val="24"/>
              </w:rPr>
              <w:t>规范危险废物贮存设施</w:t>
            </w:r>
          </w:p>
          <w:p w14:paraId="17382DD2">
            <w:pPr>
              <w:adjustRightInd w:val="0"/>
              <w:snapToGrid w:val="0"/>
              <w:spacing w:line="360" w:lineRule="auto"/>
              <w:ind w:firstLine="480" w:firstLineChars="200"/>
              <w:rPr>
                <w:color w:val="auto"/>
                <w:sz w:val="24"/>
              </w:rPr>
            </w:pPr>
            <w:r>
              <w:rPr>
                <w:color w:val="auto"/>
                <w:sz w:val="24"/>
              </w:rPr>
              <w:t>企业应严格执行《省生态环境厅关于印发江苏省危险废物贮存规范化管理专项整治行动方案的通知》（苏环办〔2019〕149号）要求，按照《环境保护图形标志固体废物贮存（处置）场》（GB15562.2-1995）和危险废物识别标识设置规范设置标志，配备通讯设备、照明设施和消防设施，设置气体导出口及气体净化装置，确保废气达标排放；在出入口、设施内部、危险废物运输车辆通道等关键位置按照危险废物贮存设施视频监控布设要求设置视频监控，并与中控室联网。企业应根据危险废物的种类和特性进行分区、分类贮存，设置防雨、防火、防雷、防扬散、防渗漏装置及泄漏液体收集装置。</w:t>
            </w:r>
          </w:p>
          <w:p w14:paraId="17382DD3">
            <w:pPr>
              <w:adjustRightInd w:val="0"/>
              <w:snapToGrid w:val="0"/>
              <w:spacing w:line="360" w:lineRule="auto"/>
              <w:ind w:firstLine="480" w:firstLineChars="200"/>
              <w:rPr>
                <w:color w:val="auto"/>
                <w:sz w:val="24"/>
              </w:rPr>
            </w:pPr>
            <w:r>
              <w:rPr>
                <w:color w:val="auto"/>
                <w:sz w:val="24"/>
              </w:rPr>
              <w:t>项目产生的固体废物严格按照上述措施处理处置和利用后，对周围环境及人体不会造成影响，亦不会造成二次污染，所采取的治理措施是可行的。</w:t>
            </w:r>
          </w:p>
          <w:p w14:paraId="17382DD4">
            <w:pPr>
              <w:autoSpaceDE w:val="0"/>
              <w:autoSpaceDN w:val="0"/>
              <w:adjustRightInd w:val="0"/>
              <w:snapToGrid w:val="0"/>
              <w:spacing w:line="360" w:lineRule="auto"/>
              <w:ind w:firstLine="482" w:firstLineChars="200"/>
              <w:rPr>
                <w:b/>
                <w:bCs/>
                <w:color w:val="auto"/>
                <w:sz w:val="24"/>
              </w:rPr>
            </w:pPr>
            <w:r>
              <w:rPr>
                <w:rFonts w:hint="eastAsia"/>
                <w:b/>
                <w:bCs/>
                <w:color w:val="auto"/>
                <w:sz w:val="24"/>
              </w:rPr>
              <w:t>5、地下水及土壤</w:t>
            </w:r>
          </w:p>
          <w:p w14:paraId="17382DD6">
            <w:pPr>
              <w:adjustRightInd w:val="0"/>
              <w:snapToGrid w:val="0"/>
              <w:spacing w:line="360" w:lineRule="auto"/>
              <w:ind w:firstLine="480" w:firstLineChars="200"/>
              <w:rPr>
                <w:color w:val="auto"/>
                <w:sz w:val="24"/>
              </w:rPr>
            </w:pPr>
            <w:r>
              <w:rPr>
                <w:rFonts w:hint="eastAsia"/>
                <w:color w:val="auto"/>
                <w:sz w:val="24"/>
              </w:rPr>
              <w:t>本项目地下水及土壤污染防治措施将采取主动控制和被动控制相结合的措施，从污染物产生、入渗、扩散、应急响应等全方位进行防控。1）源头控制</w:t>
            </w:r>
          </w:p>
          <w:p w14:paraId="17382DD7">
            <w:pPr>
              <w:adjustRightInd w:val="0"/>
              <w:snapToGrid w:val="0"/>
              <w:spacing w:line="360" w:lineRule="auto"/>
              <w:ind w:firstLine="480" w:firstLineChars="200"/>
              <w:rPr>
                <w:color w:val="auto"/>
                <w:sz w:val="24"/>
              </w:rPr>
            </w:pPr>
            <w:r>
              <w:rPr>
                <w:rFonts w:hint="eastAsia"/>
                <w:color w:val="auto"/>
                <w:sz w:val="24"/>
              </w:rPr>
              <w:t>企业尽量选择先进、成熟、可靠的工艺技术和较清洁的原辅材料，并对产生的废物进行合理的回用和治理，以尽可能从源头上减少污染物排放；严格按照国家相关规范要求，对工艺、管道、设备、原辅材料储存及处理构筑物采取相应的措施，以防止和降低污染物的跑、冒、滴、漏，将污染物泄漏的环境风险事故降低到最低程度；管线敷设尽量采用“可视化”原则，即管道尽可能地上敷设，做到污染物“早发现、早处理”，以减少由于埋地管道泄漏而可能造成的地下水污染。</w:t>
            </w:r>
          </w:p>
          <w:p w14:paraId="17382DD9">
            <w:pPr>
              <w:adjustRightInd w:val="0"/>
              <w:snapToGrid w:val="0"/>
              <w:spacing w:line="360" w:lineRule="auto"/>
              <w:ind w:firstLine="480" w:firstLineChars="200"/>
              <w:rPr>
                <w:color w:val="auto"/>
                <w:sz w:val="24"/>
              </w:rPr>
            </w:pPr>
            <w:r>
              <w:rPr>
                <w:rFonts w:hint="eastAsia"/>
                <w:color w:val="auto"/>
                <w:sz w:val="24"/>
              </w:rPr>
              <w:t>2）分区防控措施对厂区可能泄漏污染物的污染区地面进行防渗处理，并及时地将泄漏/渗漏的污染物收集起来进行处理，可有效防止洒落地面的污染物渗入地下。根据厂区各生产功能单元可能泄漏至地面区域的污染物性质和生产单元的构筑方式，将厂区划分为重点污染防治区、一般污染防治区和非污染防治区。重点污染防治区指对地下水环境有污染的物料或污染物泄漏后，不能及时发现和处理的区域或部位。</w:t>
            </w:r>
          </w:p>
          <w:p w14:paraId="17382DDA">
            <w:pPr>
              <w:adjustRightInd w:val="0"/>
              <w:snapToGrid w:val="0"/>
              <w:spacing w:line="360" w:lineRule="auto"/>
              <w:ind w:firstLine="480" w:firstLineChars="200"/>
              <w:rPr>
                <w:color w:val="auto"/>
                <w:sz w:val="24"/>
              </w:rPr>
            </w:pPr>
            <w:r>
              <w:rPr>
                <w:color w:val="auto"/>
                <w:sz w:val="24"/>
              </w:rPr>
              <w:t>根据《环境影响评价技术导则 地下水环境》（HJ610-2016）中的有关规定，将地下水污染防渗分区分为重点防渗区、一般防渗区和简单防渗区。防渗分区参照表及防渗分区划分表见下表。</w:t>
            </w:r>
          </w:p>
          <w:p w14:paraId="17382DDB">
            <w:pPr>
              <w:adjustRightInd w:val="0"/>
              <w:snapToGrid w:val="0"/>
              <w:jc w:val="center"/>
              <w:rPr>
                <w:b/>
                <w:bCs/>
                <w:color w:val="auto"/>
                <w:sz w:val="24"/>
              </w:rPr>
            </w:pPr>
            <w:r>
              <w:rPr>
                <w:rFonts w:hint="eastAsia"/>
                <w:b/>
                <w:bCs/>
                <w:color w:val="auto"/>
                <w:sz w:val="24"/>
              </w:rPr>
              <w:t>表4-23污染控制难易程度分级参照表</w:t>
            </w:r>
          </w:p>
          <w:tbl>
            <w:tblPr>
              <w:tblStyle w:val="89"/>
              <w:tblW w:w="8519" w:type="dxa"/>
              <w:tblInd w:w="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188"/>
              <w:gridCol w:w="6331"/>
            </w:tblGrid>
            <w:tr w14:paraId="17382DD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188" w:type="dxa"/>
                  <w:vAlign w:val="center"/>
                </w:tcPr>
                <w:p w14:paraId="17382DDC">
                  <w:pPr>
                    <w:pStyle w:val="136"/>
                    <w:spacing w:beforeLines="0" w:afterLines="0" w:line="240" w:lineRule="auto"/>
                    <w:rPr>
                      <w:rFonts w:ascii="Times New Roman"/>
                      <w:b/>
                      <w:bCs/>
                      <w:color w:val="auto"/>
                    </w:rPr>
                  </w:pPr>
                  <w:r>
                    <w:rPr>
                      <w:rFonts w:ascii="Times New Roman"/>
                      <w:b/>
                      <w:bCs/>
                      <w:color w:val="auto"/>
                    </w:rPr>
                    <w:t>污染控制难易程度</w:t>
                  </w:r>
                </w:p>
              </w:tc>
              <w:tc>
                <w:tcPr>
                  <w:tcW w:w="6331" w:type="dxa"/>
                  <w:vAlign w:val="center"/>
                </w:tcPr>
                <w:p w14:paraId="17382DDD">
                  <w:pPr>
                    <w:pStyle w:val="136"/>
                    <w:spacing w:beforeLines="0" w:afterLines="0" w:line="240" w:lineRule="auto"/>
                    <w:rPr>
                      <w:rFonts w:ascii="Times New Roman"/>
                      <w:b/>
                      <w:bCs/>
                      <w:color w:val="auto"/>
                    </w:rPr>
                  </w:pPr>
                  <w:r>
                    <w:rPr>
                      <w:rFonts w:ascii="Times New Roman"/>
                      <w:b/>
                      <w:bCs/>
                      <w:color w:val="auto"/>
                    </w:rPr>
                    <w:t>主要特征</w:t>
                  </w:r>
                </w:p>
              </w:tc>
            </w:tr>
            <w:tr w14:paraId="17382DE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188" w:type="dxa"/>
                  <w:vAlign w:val="center"/>
                </w:tcPr>
                <w:p w14:paraId="17382DDF">
                  <w:pPr>
                    <w:pStyle w:val="136"/>
                    <w:spacing w:beforeLines="0" w:afterLines="0" w:line="240" w:lineRule="auto"/>
                    <w:rPr>
                      <w:rFonts w:ascii="Times New Roman"/>
                      <w:color w:val="auto"/>
                    </w:rPr>
                  </w:pPr>
                  <w:r>
                    <w:rPr>
                      <w:rFonts w:ascii="Times New Roman"/>
                      <w:color w:val="auto"/>
                    </w:rPr>
                    <w:t>难</w:t>
                  </w:r>
                </w:p>
              </w:tc>
              <w:tc>
                <w:tcPr>
                  <w:tcW w:w="6331" w:type="dxa"/>
                  <w:vAlign w:val="center"/>
                </w:tcPr>
                <w:p w14:paraId="17382DE0">
                  <w:pPr>
                    <w:pStyle w:val="136"/>
                    <w:spacing w:beforeLines="0" w:afterLines="0" w:line="240" w:lineRule="auto"/>
                    <w:rPr>
                      <w:rFonts w:ascii="Times New Roman"/>
                      <w:color w:val="auto"/>
                    </w:rPr>
                  </w:pPr>
                  <w:r>
                    <w:rPr>
                      <w:rFonts w:ascii="Times New Roman"/>
                      <w:color w:val="auto"/>
                    </w:rPr>
                    <w:t>对地下水环境有污染的物料或污染物泄漏后，不能及时发现和处理</w:t>
                  </w:r>
                </w:p>
              </w:tc>
            </w:tr>
            <w:tr w14:paraId="17382DE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188" w:type="dxa"/>
                  <w:vAlign w:val="center"/>
                </w:tcPr>
                <w:p w14:paraId="17382DE2">
                  <w:pPr>
                    <w:pStyle w:val="136"/>
                    <w:spacing w:beforeLines="0" w:afterLines="0" w:line="240" w:lineRule="auto"/>
                    <w:rPr>
                      <w:rFonts w:ascii="Times New Roman"/>
                      <w:color w:val="auto"/>
                    </w:rPr>
                  </w:pPr>
                  <w:r>
                    <w:rPr>
                      <w:rFonts w:ascii="Times New Roman"/>
                      <w:color w:val="auto"/>
                    </w:rPr>
                    <w:t>易</w:t>
                  </w:r>
                </w:p>
              </w:tc>
              <w:tc>
                <w:tcPr>
                  <w:tcW w:w="6331" w:type="dxa"/>
                  <w:vAlign w:val="center"/>
                </w:tcPr>
                <w:p w14:paraId="17382DE3">
                  <w:pPr>
                    <w:pStyle w:val="136"/>
                    <w:spacing w:beforeLines="0" w:afterLines="0" w:line="240" w:lineRule="auto"/>
                    <w:rPr>
                      <w:rFonts w:ascii="Times New Roman"/>
                      <w:color w:val="auto"/>
                    </w:rPr>
                  </w:pPr>
                  <w:r>
                    <w:rPr>
                      <w:rFonts w:ascii="Times New Roman"/>
                      <w:color w:val="auto"/>
                    </w:rPr>
                    <w:t>对地下水环境有污染的物料或污染物泄漏后，可及时发现和处理</w:t>
                  </w:r>
                </w:p>
              </w:tc>
            </w:tr>
          </w:tbl>
          <w:p w14:paraId="17382DE5">
            <w:pPr>
              <w:adjustRightInd w:val="0"/>
              <w:snapToGrid w:val="0"/>
              <w:jc w:val="center"/>
              <w:rPr>
                <w:b/>
                <w:bCs/>
                <w:color w:val="auto"/>
                <w:sz w:val="24"/>
              </w:rPr>
            </w:pPr>
          </w:p>
          <w:p w14:paraId="17382DE6">
            <w:pPr>
              <w:adjustRightInd w:val="0"/>
              <w:snapToGrid w:val="0"/>
              <w:jc w:val="center"/>
              <w:rPr>
                <w:b/>
                <w:bCs/>
                <w:color w:val="auto"/>
                <w:sz w:val="24"/>
              </w:rPr>
            </w:pPr>
            <w:r>
              <w:rPr>
                <w:rFonts w:hint="eastAsia"/>
                <w:b/>
                <w:bCs/>
                <w:color w:val="auto"/>
                <w:sz w:val="24"/>
              </w:rPr>
              <w:t>表4-24天然包气带防污性能分级参照表</w:t>
            </w:r>
          </w:p>
          <w:tbl>
            <w:tblPr>
              <w:tblStyle w:val="89"/>
              <w:tblW w:w="8499"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03"/>
              <w:gridCol w:w="7396"/>
            </w:tblGrid>
            <w:tr w14:paraId="17382DE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03" w:type="dxa"/>
                  <w:vAlign w:val="center"/>
                </w:tcPr>
                <w:p w14:paraId="17382DE7">
                  <w:pPr>
                    <w:pStyle w:val="136"/>
                    <w:spacing w:beforeLines="0" w:afterLines="0" w:line="240" w:lineRule="auto"/>
                    <w:rPr>
                      <w:rFonts w:ascii="Times New Roman"/>
                      <w:b/>
                      <w:bCs/>
                      <w:color w:val="auto"/>
                      <w:szCs w:val="21"/>
                    </w:rPr>
                  </w:pPr>
                  <w:r>
                    <w:rPr>
                      <w:rFonts w:ascii="Times New Roman"/>
                      <w:b/>
                      <w:bCs/>
                      <w:color w:val="auto"/>
                      <w:szCs w:val="21"/>
                    </w:rPr>
                    <w:t>分级</w:t>
                  </w:r>
                </w:p>
              </w:tc>
              <w:tc>
                <w:tcPr>
                  <w:tcW w:w="7396" w:type="dxa"/>
                  <w:vAlign w:val="center"/>
                </w:tcPr>
                <w:p w14:paraId="17382DE8">
                  <w:pPr>
                    <w:pStyle w:val="136"/>
                    <w:spacing w:beforeLines="0" w:afterLines="0" w:line="240" w:lineRule="auto"/>
                    <w:rPr>
                      <w:rFonts w:ascii="Times New Roman"/>
                      <w:b/>
                      <w:bCs/>
                      <w:color w:val="auto"/>
                      <w:szCs w:val="21"/>
                    </w:rPr>
                  </w:pPr>
                  <w:r>
                    <w:rPr>
                      <w:rFonts w:ascii="Times New Roman"/>
                      <w:b/>
                      <w:bCs/>
                      <w:color w:val="auto"/>
                      <w:szCs w:val="21"/>
                    </w:rPr>
                    <w:t>包气带岩土的渗透性能</w:t>
                  </w:r>
                </w:p>
              </w:tc>
            </w:tr>
            <w:tr w14:paraId="17382DE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03" w:type="dxa"/>
                  <w:vAlign w:val="center"/>
                </w:tcPr>
                <w:p w14:paraId="17382DEA">
                  <w:pPr>
                    <w:pStyle w:val="136"/>
                    <w:spacing w:beforeLines="0" w:afterLines="0" w:line="240" w:lineRule="auto"/>
                    <w:rPr>
                      <w:rFonts w:ascii="Times New Roman"/>
                      <w:color w:val="auto"/>
                      <w:szCs w:val="21"/>
                    </w:rPr>
                  </w:pPr>
                  <w:r>
                    <w:rPr>
                      <w:rFonts w:ascii="Times New Roman"/>
                      <w:color w:val="auto"/>
                      <w:szCs w:val="21"/>
                    </w:rPr>
                    <w:t>强</w:t>
                  </w:r>
                </w:p>
              </w:tc>
              <w:tc>
                <w:tcPr>
                  <w:tcW w:w="7396" w:type="dxa"/>
                  <w:vAlign w:val="center"/>
                </w:tcPr>
                <w:p w14:paraId="17382DEB">
                  <w:pPr>
                    <w:pStyle w:val="136"/>
                    <w:spacing w:beforeLines="0" w:afterLines="0" w:line="240" w:lineRule="auto"/>
                    <w:rPr>
                      <w:rFonts w:ascii="Times New Roman"/>
                      <w:color w:val="auto"/>
                      <w:szCs w:val="21"/>
                    </w:rPr>
                  </w:pPr>
                  <w:r>
                    <w:rPr>
                      <w:rFonts w:ascii="Times New Roman"/>
                      <w:color w:val="auto"/>
                      <w:szCs w:val="21"/>
                    </w:rPr>
                    <w:t>岩（土）层单层厚度Mb≥1.0m，渗透系数K≤10</w:t>
                  </w:r>
                  <w:r>
                    <w:rPr>
                      <w:rFonts w:ascii="Times New Roman"/>
                      <w:color w:val="auto"/>
                      <w:szCs w:val="21"/>
                      <w:vertAlign w:val="superscript"/>
                    </w:rPr>
                    <w:t>-6</w:t>
                  </w:r>
                  <w:r>
                    <w:rPr>
                      <w:rFonts w:ascii="Times New Roman"/>
                      <w:color w:val="auto"/>
                      <w:szCs w:val="21"/>
                    </w:rPr>
                    <w:t>cm/s，且分布连续、稳定。</w:t>
                  </w:r>
                </w:p>
              </w:tc>
            </w:tr>
            <w:tr w14:paraId="17382DE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03" w:type="dxa"/>
                  <w:vAlign w:val="center"/>
                </w:tcPr>
                <w:p w14:paraId="17382DED">
                  <w:pPr>
                    <w:pStyle w:val="136"/>
                    <w:spacing w:beforeLines="0" w:afterLines="0" w:line="240" w:lineRule="auto"/>
                    <w:rPr>
                      <w:rFonts w:ascii="Times New Roman"/>
                      <w:color w:val="auto"/>
                      <w:szCs w:val="21"/>
                    </w:rPr>
                  </w:pPr>
                  <w:r>
                    <w:rPr>
                      <w:rFonts w:ascii="Times New Roman"/>
                      <w:color w:val="auto"/>
                      <w:szCs w:val="21"/>
                    </w:rPr>
                    <w:t>中</w:t>
                  </w:r>
                </w:p>
              </w:tc>
              <w:tc>
                <w:tcPr>
                  <w:tcW w:w="7396" w:type="dxa"/>
                  <w:vAlign w:val="center"/>
                </w:tcPr>
                <w:p w14:paraId="17382DEE">
                  <w:pPr>
                    <w:pStyle w:val="136"/>
                    <w:spacing w:beforeLines="0" w:afterLines="0" w:line="240" w:lineRule="auto"/>
                    <w:rPr>
                      <w:rFonts w:ascii="Times New Roman"/>
                      <w:color w:val="auto"/>
                      <w:szCs w:val="21"/>
                    </w:rPr>
                  </w:pPr>
                  <w:r>
                    <w:rPr>
                      <w:rFonts w:ascii="Times New Roman"/>
                      <w:color w:val="auto"/>
                      <w:szCs w:val="21"/>
                    </w:rPr>
                    <w:t>岩（土）层单层厚度0.5m≤Mb≤1.0m，渗透系数K≤10</w:t>
                  </w:r>
                  <w:r>
                    <w:rPr>
                      <w:rFonts w:ascii="Times New Roman"/>
                      <w:color w:val="auto"/>
                      <w:szCs w:val="21"/>
                      <w:vertAlign w:val="superscript"/>
                    </w:rPr>
                    <w:t>-6</w:t>
                  </w:r>
                  <w:r>
                    <w:rPr>
                      <w:rFonts w:ascii="Times New Roman"/>
                      <w:color w:val="auto"/>
                      <w:szCs w:val="21"/>
                    </w:rPr>
                    <w:t>cm/s，且分布连续、稳定。岩（土）层单层厚度Mb≥1.0m，渗透系数10</w:t>
                  </w:r>
                  <w:r>
                    <w:rPr>
                      <w:rFonts w:ascii="Times New Roman"/>
                      <w:color w:val="auto"/>
                      <w:szCs w:val="21"/>
                      <w:vertAlign w:val="superscript"/>
                    </w:rPr>
                    <w:t>-6</w:t>
                  </w:r>
                  <w:r>
                    <w:rPr>
                      <w:rFonts w:ascii="Times New Roman"/>
                      <w:color w:val="auto"/>
                      <w:szCs w:val="21"/>
                    </w:rPr>
                    <w:t>cm/s≤K≤10</w:t>
                  </w:r>
                  <w:r>
                    <w:rPr>
                      <w:rFonts w:ascii="Times New Roman"/>
                      <w:color w:val="auto"/>
                      <w:szCs w:val="21"/>
                      <w:vertAlign w:val="superscript"/>
                    </w:rPr>
                    <w:t>-4</w:t>
                  </w:r>
                  <w:r>
                    <w:rPr>
                      <w:rFonts w:ascii="Times New Roman"/>
                      <w:color w:val="auto"/>
                      <w:szCs w:val="21"/>
                    </w:rPr>
                    <w:t>cm/s，且分布连续、稳定。</w:t>
                  </w:r>
                </w:p>
              </w:tc>
            </w:tr>
            <w:tr w14:paraId="17382DF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03" w:type="dxa"/>
                  <w:vAlign w:val="center"/>
                </w:tcPr>
                <w:p w14:paraId="17382DF0">
                  <w:pPr>
                    <w:pStyle w:val="136"/>
                    <w:spacing w:beforeLines="0" w:afterLines="0" w:line="240" w:lineRule="auto"/>
                    <w:rPr>
                      <w:rFonts w:ascii="Times New Roman"/>
                      <w:color w:val="auto"/>
                      <w:szCs w:val="21"/>
                    </w:rPr>
                  </w:pPr>
                  <w:r>
                    <w:rPr>
                      <w:rFonts w:ascii="Times New Roman"/>
                      <w:color w:val="auto"/>
                      <w:szCs w:val="21"/>
                    </w:rPr>
                    <w:t>弱</w:t>
                  </w:r>
                </w:p>
              </w:tc>
              <w:tc>
                <w:tcPr>
                  <w:tcW w:w="7396" w:type="dxa"/>
                  <w:vAlign w:val="center"/>
                </w:tcPr>
                <w:p w14:paraId="17382DF1">
                  <w:pPr>
                    <w:pStyle w:val="136"/>
                    <w:spacing w:beforeLines="0" w:afterLines="0" w:line="240" w:lineRule="auto"/>
                    <w:rPr>
                      <w:rFonts w:ascii="Times New Roman"/>
                      <w:color w:val="auto"/>
                      <w:szCs w:val="21"/>
                    </w:rPr>
                  </w:pPr>
                  <w:r>
                    <w:rPr>
                      <w:rFonts w:ascii="Times New Roman"/>
                      <w:color w:val="auto"/>
                      <w:szCs w:val="21"/>
                    </w:rPr>
                    <w:t>岩（土）层不满足上述“强”和“中”条件。</w:t>
                  </w:r>
                </w:p>
              </w:tc>
            </w:tr>
          </w:tbl>
          <w:p w14:paraId="17382DF3">
            <w:pPr>
              <w:adjustRightInd w:val="0"/>
              <w:snapToGrid w:val="0"/>
              <w:jc w:val="center"/>
              <w:rPr>
                <w:b/>
                <w:bCs/>
                <w:color w:val="auto"/>
                <w:sz w:val="24"/>
              </w:rPr>
            </w:pPr>
          </w:p>
          <w:p w14:paraId="17382DF4">
            <w:pPr>
              <w:adjustRightInd w:val="0"/>
              <w:snapToGrid w:val="0"/>
              <w:jc w:val="center"/>
              <w:rPr>
                <w:b/>
                <w:bCs/>
                <w:color w:val="auto"/>
                <w:sz w:val="24"/>
              </w:rPr>
            </w:pPr>
            <w:r>
              <w:rPr>
                <w:rFonts w:hint="eastAsia"/>
                <w:b/>
                <w:bCs/>
                <w:color w:val="auto"/>
                <w:sz w:val="24"/>
              </w:rPr>
              <w:t>表4-25</w:t>
            </w:r>
            <w:r>
              <w:rPr>
                <w:rFonts w:hint="eastAsia"/>
                <w:b/>
                <w:bCs/>
                <w:color w:val="auto"/>
                <w:sz w:val="24"/>
                <w:lang w:val="en-US" w:eastAsia="zh-CN"/>
              </w:rPr>
              <w:t>地</w:t>
            </w:r>
            <w:r>
              <w:rPr>
                <w:rFonts w:hint="eastAsia"/>
                <w:b/>
                <w:bCs/>
                <w:color w:val="auto"/>
                <w:sz w:val="24"/>
              </w:rPr>
              <w:t>下水污染防渗分区参照表</w:t>
            </w:r>
          </w:p>
          <w:tbl>
            <w:tblPr>
              <w:tblStyle w:val="89"/>
              <w:tblW w:w="8497" w:type="dxa"/>
              <w:tblInd w:w="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429"/>
              <w:gridCol w:w="1404"/>
              <w:gridCol w:w="1360"/>
              <w:gridCol w:w="1729"/>
              <w:gridCol w:w="2575"/>
            </w:tblGrid>
            <w:tr w14:paraId="17382DF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29" w:type="dxa"/>
                  <w:vAlign w:val="center"/>
                </w:tcPr>
                <w:p w14:paraId="17382DF5">
                  <w:pPr>
                    <w:pStyle w:val="136"/>
                    <w:spacing w:beforeLines="0" w:afterLines="0" w:line="240" w:lineRule="auto"/>
                    <w:rPr>
                      <w:rFonts w:ascii="Times New Roman"/>
                      <w:b/>
                      <w:bCs/>
                      <w:color w:val="auto"/>
                      <w:szCs w:val="21"/>
                    </w:rPr>
                  </w:pPr>
                  <w:r>
                    <w:rPr>
                      <w:rFonts w:ascii="Times New Roman"/>
                      <w:b/>
                      <w:bCs/>
                      <w:color w:val="auto"/>
                      <w:szCs w:val="21"/>
                    </w:rPr>
                    <w:t>防渗分区</w:t>
                  </w:r>
                </w:p>
              </w:tc>
              <w:tc>
                <w:tcPr>
                  <w:tcW w:w="1404" w:type="dxa"/>
                  <w:vAlign w:val="center"/>
                </w:tcPr>
                <w:p w14:paraId="17382DF6">
                  <w:pPr>
                    <w:pStyle w:val="136"/>
                    <w:spacing w:beforeLines="0" w:afterLines="0" w:line="240" w:lineRule="auto"/>
                    <w:rPr>
                      <w:rFonts w:ascii="Times New Roman"/>
                      <w:b/>
                      <w:bCs/>
                      <w:color w:val="auto"/>
                      <w:szCs w:val="21"/>
                    </w:rPr>
                  </w:pPr>
                  <w:r>
                    <w:rPr>
                      <w:rFonts w:ascii="Times New Roman"/>
                      <w:b/>
                      <w:bCs/>
                      <w:color w:val="auto"/>
                      <w:szCs w:val="21"/>
                    </w:rPr>
                    <w:t>天然包气带防污性能</w:t>
                  </w:r>
                </w:p>
              </w:tc>
              <w:tc>
                <w:tcPr>
                  <w:tcW w:w="1360" w:type="dxa"/>
                  <w:vAlign w:val="center"/>
                </w:tcPr>
                <w:p w14:paraId="17382DF7">
                  <w:pPr>
                    <w:pStyle w:val="136"/>
                    <w:spacing w:beforeLines="0" w:afterLines="0" w:line="240" w:lineRule="auto"/>
                    <w:rPr>
                      <w:rFonts w:ascii="Times New Roman"/>
                      <w:b/>
                      <w:bCs/>
                      <w:color w:val="auto"/>
                      <w:szCs w:val="21"/>
                    </w:rPr>
                  </w:pPr>
                  <w:r>
                    <w:rPr>
                      <w:rFonts w:ascii="Times New Roman"/>
                      <w:b/>
                      <w:bCs/>
                      <w:color w:val="auto"/>
                      <w:szCs w:val="21"/>
                    </w:rPr>
                    <w:t>污染控制难易程度</w:t>
                  </w:r>
                </w:p>
              </w:tc>
              <w:tc>
                <w:tcPr>
                  <w:tcW w:w="1729" w:type="dxa"/>
                  <w:vAlign w:val="center"/>
                </w:tcPr>
                <w:p w14:paraId="17382DF8">
                  <w:pPr>
                    <w:pStyle w:val="136"/>
                    <w:spacing w:beforeLines="0" w:afterLines="0" w:line="240" w:lineRule="auto"/>
                    <w:rPr>
                      <w:rFonts w:ascii="Times New Roman"/>
                      <w:b/>
                      <w:bCs/>
                      <w:color w:val="auto"/>
                      <w:szCs w:val="21"/>
                    </w:rPr>
                  </w:pPr>
                  <w:r>
                    <w:rPr>
                      <w:rFonts w:ascii="Times New Roman"/>
                      <w:b/>
                      <w:bCs/>
                      <w:color w:val="auto"/>
                      <w:szCs w:val="21"/>
                    </w:rPr>
                    <w:t>污染物类型</w:t>
                  </w:r>
                </w:p>
              </w:tc>
              <w:tc>
                <w:tcPr>
                  <w:tcW w:w="2575" w:type="dxa"/>
                  <w:vAlign w:val="center"/>
                </w:tcPr>
                <w:p w14:paraId="17382DF9">
                  <w:pPr>
                    <w:pStyle w:val="136"/>
                    <w:spacing w:beforeLines="0" w:afterLines="0" w:line="240" w:lineRule="auto"/>
                    <w:rPr>
                      <w:rFonts w:ascii="Times New Roman"/>
                      <w:b/>
                      <w:bCs/>
                      <w:color w:val="auto"/>
                      <w:szCs w:val="21"/>
                    </w:rPr>
                  </w:pPr>
                  <w:r>
                    <w:rPr>
                      <w:rFonts w:ascii="Times New Roman"/>
                      <w:b/>
                      <w:bCs/>
                      <w:color w:val="auto"/>
                      <w:szCs w:val="21"/>
                    </w:rPr>
                    <w:t>防渗技术要求</w:t>
                  </w:r>
                </w:p>
              </w:tc>
            </w:tr>
            <w:tr w14:paraId="17382E00">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29" w:type="dxa"/>
                  <w:vMerge w:val="restart"/>
                  <w:vAlign w:val="center"/>
                </w:tcPr>
                <w:p w14:paraId="17382DFB">
                  <w:pPr>
                    <w:pStyle w:val="136"/>
                    <w:spacing w:beforeLines="0" w:afterLines="0" w:line="240" w:lineRule="auto"/>
                    <w:rPr>
                      <w:rFonts w:ascii="Times New Roman"/>
                      <w:color w:val="auto"/>
                      <w:szCs w:val="21"/>
                    </w:rPr>
                  </w:pPr>
                  <w:r>
                    <w:rPr>
                      <w:rFonts w:ascii="Times New Roman"/>
                      <w:color w:val="auto"/>
                      <w:szCs w:val="21"/>
                    </w:rPr>
                    <w:t>重点防渗区</w:t>
                  </w:r>
                </w:p>
              </w:tc>
              <w:tc>
                <w:tcPr>
                  <w:tcW w:w="1404" w:type="dxa"/>
                  <w:vAlign w:val="center"/>
                </w:tcPr>
                <w:p w14:paraId="17382DFC">
                  <w:pPr>
                    <w:pStyle w:val="136"/>
                    <w:spacing w:beforeLines="0" w:afterLines="0" w:line="240" w:lineRule="auto"/>
                    <w:rPr>
                      <w:rFonts w:ascii="Times New Roman"/>
                      <w:color w:val="auto"/>
                      <w:szCs w:val="21"/>
                    </w:rPr>
                  </w:pPr>
                  <w:r>
                    <w:rPr>
                      <w:rFonts w:ascii="Times New Roman"/>
                      <w:color w:val="auto"/>
                      <w:szCs w:val="21"/>
                    </w:rPr>
                    <w:t>弱</w:t>
                  </w:r>
                </w:p>
              </w:tc>
              <w:tc>
                <w:tcPr>
                  <w:tcW w:w="1360" w:type="dxa"/>
                  <w:vAlign w:val="center"/>
                </w:tcPr>
                <w:p w14:paraId="17382DFD">
                  <w:pPr>
                    <w:pStyle w:val="136"/>
                    <w:spacing w:beforeLines="0" w:afterLines="0" w:line="240" w:lineRule="auto"/>
                    <w:rPr>
                      <w:rFonts w:ascii="Times New Roman"/>
                      <w:color w:val="auto"/>
                      <w:szCs w:val="21"/>
                    </w:rPr>
                  </w:pPr>
                  <w:r>
                    <w:rPr>
                      <w:rFonts w:ascii="Times New Roman"/>
                      <w:color w:val="auto"/>
                      <w:szCs w:val="21"/>
                    </w:rPr>
                    <w:t>难</w:t>
                  </w:r>
                </w:p>
              </w:tc>
              <w:tc>
                <w:tcPr>
                  <w:tcW w:w="1729" w:type="dxa"/>
                  <w:vMerge w:val="restart"/>
                  <w:vAlign w:val="center"/>
                </w:tcPr>
                <w:p w14:paraId="17382DFE">
                  <w:pPr>
                    <w:pStyle w:val="136"/>
                    <w:spacing w:beforeLines="0" w:afterLines="0" w:line="240" w:lineRule="auto"/>
                    <w:rPr>
                      <w:rFonts w:ascii="Times New Roman"/>
                      <w:color w:val="auto"/>
                      <w:szCs w:val="21"/>
                    </w:rPr>
                  </w:pPr>
                  <w:r>
                    <w:rPr>
                      <w:rFonts w:ascii="Times New Roman"/>
                      <w:color w:val="auto"/>
                      <w:szCs w:val="21"/>
                    </w:rPr>
                    <w:t>重金属、持久性有机污染物</w:t>
                  </w:r>
                </w:p>
              </w:tc>
              <w:tc>
                <w:tcPr>
                  <w:tcW w:w="2575" w:type="dxa"/>
                  <w:vMerge w:val="restart"/>
                  <w:vAlign w:val="center"/>
                </w:tcPr>
                <w:p w14:paraId="17382DFF">
                  <w:pPr>
                    <w:pStyle w:val="136"/>
                    <w:spacing w:beforeLines="0" w:afterLines="0" w:line="240" w:lineRule="auto"/>
                    <w:rPr>
                      <w:rFonts w:ascii="Times New Roman"/>
                      <w:color w:val="auto"/>
                      <w:szCs w:val="21"/>
                    </w:rPr>
                  </w:pPr>
                  <w:r>
                    <w:rPr>
                      <w:rFonts w:ascii="Times New Roman"/>
                      <w:color w:val="auto"/>
                      <w:szCs w:val="21"/>
                    </w:rPr>
                    <w:t>等效黏土防渗层Mb≥6.0m，K≤10</w:t>
                  </w:r>
                  <w:r>
                    <w:rPr>
                      <w:rFonts w:ascii="Times New Roman"/>
                      <w:color w:val="auto"/>
                      <w:szCs w:val="21"/>
                      <w:vertAlign w:val="superscript"/>
                    </w:rPr>
                    <w:t>-7</w:t>
                  </w:r>
                  <w:r>
                    <w:rPr>
                      <w:rFonts w:ascii="Times New Roman"/>
                      <w:color w:val="auto"/>
                      <w:szCs w:val="21"/>
                    </w:rPr>
                    <w:t>cm/s；或参照GB18598执行</w:t>
                  </w:r>
                </w:p>
              </w:tc>
            </w:tr>
            <w:tr w14:paraId="17382E0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29" w:type="dxa"/>
                  <w:vMerge w:val="continue"/>
                  <w:vAlign w:val="center"/>
                </w:tcPr>
                <w:p w14:paraId="17382E01">
                  <w:pPr>
                    <w:pStyle w:val="136"/>
                    <w:spacing w:beforeLines="0" w:afterLines="0" w:line="240" w:lineRule="auto"/>
                    <w:rPr>
                      <w:rFonts w:ascii="Times New Roman"/>
                      <w:color w:val="auto"/>
                      <w:szCs w:val="21"/>
                    </w:rPr>
                  </w:pPr>
                </w:p>
              </w:tc>
              <w:tc>
                <w:tcPr>
                  <w:tcW w:w="1404" w:type="dxa"/>
                  <w:vAlign w:val="center"/>
                </w:tcPr>
                <w:p w14:paraId="17382E02">
                  <w:pPr>
                    <w:pStyle w:val="136"/>
                    <w:spacing w:beforeLines="0" w:afterLines="0" w:line="240" w:lineRule="auto"/>
                    <w:rPr>
                      <w:rFonts w:ascii="Times New Roman"/>
                      <w:color w:val="auto"/>
                      <w:szCs w:val="21"/>
                    </w:rPr>
                  </w:pPr>
                  <w:r>
                    <w:rPr>
                      <w:rFonts w:ascii="Times New Roman"/>
                      <w:color w:val="auto"/>
                      <w:szCs w:val="21"/>
                    </w:rPr>
                    <w:t>中-强</w:t>
                  </w:r>
                </w:p>
              </w:tc>
              <w:tc>
                <w:tcPr>
                  <w:tcW w:w="1360" w:type="dxa"/>
                  <w:vAlign w:val="center"/>
                </w:tcPr>
                <w:p w14:paraId="17382E03">
                  <w:pPr>
                    <w:pStyle w:val="136"/>
                    <w:spacing w:beforeLines="0" w:afterLines="0" w:line="240" w:lineRule="auto"/>
                    <w:rPr>
                      <w:rFonts w:ascii="Times New Roman"/>
                      <w:color w:val="auto"/>
                      <w:szCs w:val="21"/>
                    </w:rPr>
                  </w:pPr>
                  <w:r>
                    <w:rPr>
                      <w:rFonts w:ascii="Times New Roman"/>
                      <w:color w:val="auto"/>
                      <w:szCs w:val="21"/>
                    </w:rPr>
                    <w:t>难</w:t>
                  </w:r>
                </w:p>
              </w:tc>
              <w:tc>
                <w:tcPr>
                  <w:tcW w:w="1729" w:type="dxa"/>
                  <w:vMerge w:val="continue"/>
                  <w:vAlign w:val="center"/>
                </w:tcPr>
                <w:p w14:paraId="17382E04">
                  <w:pPr>
                    <w:pStyle w:val="136"/>
                    <w:spacing w:beforeLines="0" w:afterLines="0" w:line="240" w:lineRule="auto"/>
                    <w:rPr>
                      <w:rFonts w:ascii="Times New Roman"/>
                      <w:color w:val="auto"/>
                      <w:szCs w:val="21"/>
                    </w:rPr>
                  </w:pPr>
                </w:p>
              </w:tc>
              <w:tc>
                <w:tcPr>
                  <w:tcW w:w="2575" w:type="dxa"/>
                  <w:vMerge w:val="continue"/>
                  <w:vAlign w:val="center"/>
                </w:tcPr>
                <w:p w14:paraId="17382E05">
                  <w:pPr>
                    <w:pStyle w:val="136"/>
                    <w:spacing w:beforeLines="0" w:afterLines="0" w:line="240" w:lineRule="auto"/>
                    <w:rPr>
                      <w:rFonts w:ascii="Times New Roman"/>
                      <w:color w:val="auto"/>
                      <w:szCs w:val="21"/>
                    </w:rPr>
                  </w:pPr>
                </w:p>
              </w:tc>
            </w:tr>
            <w:tr w14:paraId="17382E0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29" w:type="dxa"/>
                  <w:vMerge w:val="restart"/>
                  <w:vAlign w:val="center"/>
                </w:tcPr>
                <w:p w14:paraId="17382E07">
                  <w:pPr>
                    <w:pStyle w:val="136"/>
                    <w:spacing w:beforeLines="0" w:afterLines="0" w:line="240" w:lineRule="auto"/>
                    <w:rPr>
                      <w:rFonts w:ascii="Times New Roman"/>
                      <w:color w:val="auto"/>
                      <w:szCs w:val="21"/>
                    </w:rPr>
                  </w:pPr>
                  <w:r>
                    <w:rPr>
                      <w:rFonts w:ascii="Times New Roman"/>
                      <w:color w:val="auto"/>
                      <w:szCs w:val="21"/>
                    </w:rPr>
                    <w:t>一般防渗区</w:t>
                  </w:r>
                </w:p>
              </w:tc>
              <w:tc>
                <w:tcPr>
                  <w:tcW w:w="1404" w:type="dxa"/>
                  <w:vAlign w:val="center"/>
                </w:tcPr>
                <w:p w14:paraId="17382E08">
                  <w:pPr>
                    <w:pStyle w:val="136"/>
                    <w:spacing w:beforeLines="0" w:afterLines="0" w:line="240" w:lineRule="auto"/>
                    <w:rPr>
                      <w:rFonts w:ascii="Times New Roman"/>
                      <w:color w:val="auto"/>
                      <w:szCs w:val="21"/>
                    </w:rPr>
                  </w:pPr>
                  <w:r>
                    <w:rPr>
                      <w:rFonts w:ascii="Times New Roman"/>
                      <w:color w:val="auto"/>
                      <w:szCs w:val="21"/>
                    </w:rPr>
                    <w:t>中-强</w:t>
                  </w:r>
                </w:p>
              </w:tc>
              <w:tc>
                <w:tcPr>
                  <w:tcW w:w="1360" w:type="dxa"/>
                  <w:vAlign w:val="center"/>
                </w:tcPr>
                <w:p w14:paraId="17382E09">
                  <w:pPr>
                    <w:pStyle w:val="136"/>
                    <w:spacing w:beforeLines="0" w:afterLines="0" w:line="240" w:lineRule="auto"/>
                    <w:rPr>
                      <w:rFonts w:ascii="Times New Roman"/>
                      <w:color w:val="auto"/>
                      <w:szCs w:val="21"/>
                    </w:rPr>
                  </w:pPr>
                  <w:r>
                    <w:rPr>
                      <w:rFonts w:ascii="Times New Roman"/>
                      <w:color w:val="auto"/>
                      <w:szCs w:val="21"/>
                    </w:rPr>
                    <w:t>易</w:t>
                  </w:r>
                </w:p>
              </w:tc>
              <w:tc>
                <w:tcPr>
                  <w:tcW w:w="1729" w:type="dxa"/>
                  <w:vMerge w:val="restart"/>
                  <w:vAlign w:val="center"/>
                </w:tcPr>
                <w:p w14:paraId="17382E0A">
                  <w:pPr>
                    <w:pStyle w:val="136"/>
                    <w:spacing w:beforeLines="0" w:afterLines="0" w:line="240" w:lineRule="auto"/>
                    <w:rPr>
                      <w:rFonts w:ascii="Times New Roman"/>
                      <w:color w:val="auto"/>
                      <w:szCs w:val="21"/>
                    </w:rPr>
                  </w:pPr>
                  <w:r>
                    <w:rPr>
                      <w:rFonts w:ascii="Times New Roman"/>
                      <w:color w:val="auto"/>
                      <w:szCs w:val="21"/>
                    </w:rPr>
                    <w:t>其他类型</w:t>
                  </w:r>
                </w:p>
              </w:tc>
              <w:tc>
                <w:tcPr>
                  <w:tcW w:w="2575" w:type="dxa"/>
                  <w:vMerge w:val="restart"/>
                  <w:vAlign w:val="center"/>
                </w:tcPr>
                <w:p w14:paraId="17382E0B">
                  <w:pPr>
                    <w:pStyle w:val="136"/>
                    <w:spacing w:beforeLines="0" w:afterLines="0" w:line="240" w:lineRule="auto"/>
                    <w:rPr>
                      <w:rFonts w:ascii="Times New Roman"/>
                      <w:color w:val="auto"/>
                      <w:szCs w:val="21"/>
                    </w:rPr>
                  </w:pPr>
                  <w:r>
                    <w:rPr>
                      <w:rFonts w:ascii="Times New Roman"/>
                      <w:color w:val="auto"/>
                      <w:szCs w:val="21"/>
                    </w:rPr>
                    <w:t>等效黏土防渗层Mb≥1.5m，K≤10</w:t>
                  </w:r>
                  <w:r>
                    <w:rPr>
                      <w:rFonts w:ascii="Times New Roman"/>
                      <w:color w:val="auto"/>
                      <w:szCs w:val="21"/>
                      <w:vertAlign w:val="superscript"/>
                    </w:rPr>
                    <w:t>-7</w:t>
                  </w:r>
                  <w:r>
                    <w:rPr>
                      <w:rFonts w:ascii="Times New Roman"/>
                      <w:color w:val="auto"/>
                      <w:szCs w:val="21"/>
                    </w:rPr>
                    <w:t>cm/s；或参照GB16889执行</w:t>
                  </w:r>
                </w:p>
              </w:tc>
            </w:tr>
            <w:tr w14:paraId="17382E1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29" w:type="dxa"/>
                  <w:vMerge w:val="continue"/>
                  <w:vAlign w:val="center"/>
                </w:tcPr>
                <w:p w14:paraId="17382E0D">
                  <w:pPr>
                    <w:pStyle w:val="136"/>
                    <w:spacing w:beforeLines="0" w:afterLines="0" w:line="240" w:lineRule="auto"/>
                    <w:rPr>
                      <w:rFonts w:ascii="Times New Roman"/>
                      <w:color w:val="auto"/>
                      <w:szCs w:val="21"/>
                    </w:rPr>
                  </w:pPr>
                </w:p>
              </w:tc>
              <w:tc>
                <w:tcPr>
                  <w:tcW w:w="1404" w:type="dxa"/>
                  <w:vAlign w:val="center"/>
                </w:tcPr>
                <w:p w14:paraId="17382E0E">
                  <w:pPr>
                    <w:pStyle w:val="136"/>
                    <w:spacing w:beforeLines="0" w:afterLines="0" w:line="240" w:lineRule="auto"/>
                    <w:rPr>
                      <w:rFonts w:ascii="Times New Roman"/>
                      <w:color w:val="auto"/>
                      <w:szCs w:val="21"/>
                    </w:rPr>
                  </w:pPr>
                  <w:r>
                    <w:rPr>
                      <w:rFonts w:ascii="Times New Roman"/>
                      <w:color w:val="auto"/>
                      <w:szCs w:val="21"/>
                    </w:rPr>
                    <w:t>弱</w:t>
                  </w:r>
                </w:p>
              </w:tc>
              <w:tc>
                <w:tcPr>
                  <w:tcW w:w="1360" w:type="dxa"/>
                  <w:vAlign w:val="center"/>
                </w:tcPr>
                <w:p w14:paraId="17382E0F">
                  <w:pPr>
                    <w:pStyle w:val="136"/>
                    <w:spacing w:beforeLines="0" w:afterLines="0" w:line="240" w:lineRule="auto"/>
                    <w:rPr>
                      <w:rFonts w:ascii="Times New Roman"/>
                      <w:color w:val="auto"/>
                      <w:szCs w:val="21"/>
                    </w:rPr>
                  </w:pPr>
                  <w:r>
                    <w:rPr>
                      <w:rFonts w:ascii="Times New Roman"/>
                      <w:color w:val="auto"/>
                      <w:szCs w:val="21"/>
                    </w:rPr>
                    <w:t>易-难</w:t>
                  </w:r>
                </w:p>
              </w:tc>
              <w:tc>
                <w:tcPr>
                  <w:tcW w:w="1729" w:type="dxa"/>
                  <w:vMerge w:val="continue"/>
                  <w:vAlign w:val="center"/>
                </w:tcPr>
                <w:p w14:paraId="17382E10">
                  <w:pPr>
                    <w:pStyle w:val="136"/>
                    <w:spacing w:beforeLines="0" w:afterLines="0" w:line="240" w:lineRule="auto"/>
                    <w:rPr>
                      <w:rFonts w:ascii="Times New Roman"/>
                      <w:color w:val="auto"/>
                      <w:szCs w:val="21"/>
                    </w:rPr>
                  </w:pPr>
                </w:p>
              </w:tc>
              <w:tc>
                <w:tcPr>
                  <w:tcW w:w="2575" w:type="dxa"/>
                  <w:vMerge w:val="continue"/>
                  <w:vAlign w:val="center"/>
                </w:tcPr>
                <w:p w14:paraId="17382E11">
                  <w:pPr>
                    <w:pStyle w:val="136"/>
                    <w:spacing w:beforeLines="0" w:afterLines="0" w:line="240" w:lineRule="auto"/>
                    <w:rPr>
                      <w:rFonts w:ascii="Times New Roman"/>
                      <w:color w:val="auto"/>
                      <w:szCs w:val="21"/>
                    </w:rPr>
                  </w:pPr>
                </w:p>
              </w:tc>
            </w:tr>
            <w:tr w14:paraId="17382E1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29" w:type="dxa"/>
                  <w:vMerge w:val="continue"/>
                  <w:vAlign w:val="center"/>
                </w:tcPr>
                <w:p w14:paraId="17382E13">
                  <w:pPr>
                    <w:pStyle w:val="136"/>
                    <w:spacing w:beforeLines="0" w:afterLines="0" w:line="240" w:lineRule="auto"/>
                    <w:rPr>
                      <w:rFonts w:ascii="Times New Roman"/>
                      <w:color w:val="auto"/>
                      <w:szCs w:val="21"/>
                    </w:rPr>
                  </w:pPr>
                </w:p>
              </w:tc>
              <w:tc>
                <w:tcPr>
                  <w:tcW w:w="1404" w:type="dxa"/>
                  <w:vAlign w:val="center"/>
                </w:tcPr>
                <w:p w14:paraId="17382E14">
                  <w:pPr>
                    <w:pStyle w:val="136"/>
                    <w:spacing w:beforeLines="0" w:afterLines="0" w:line="240" w:lineRule="auto"/>
                    <w:rPr>
                      <w:rFonts w:ascii="Times New Roman"/>
                      <w:color w:val="auto"/>
                      <w:szCs w:val="21"/>
                    </w:rPr>
                  </w:pPr>
                  <w:r>
                    <w:rPr>
                      <w:rFonts w:ascii="Times New Roman"/>
                      <w:color w:val="auto"/>
                      <w:szCs w:val="21"/>
                    </w:rPr>
                    <w:t>中-强</w:t>
                  </w:r>
                </w:p>
              </w:tc>
              <w:tc>
                <w:tcPr>
                  <w:tcW w:w="1360" w:type="dxa"/>
                  <w:vAlign w:val="center"/>
                </w:tcPr>
                <w:p w14:paraId="17382E15">
                  <w:pPr>
                    <w:pStyle w:val="136"/>
                    <w:spacing w:beforeLines="0" w:afterLines="0" w:line="240" w:lineRule="auto"/>
                    <w:rPr>
                      <w:rFonts w:ascii="Times New Roman"/>
                      <w:color w:val="auto"/>
                      <w:szCs w:val="21"/>
                    </w:rPr>
                  </w:pPr>
                  <w:r>
                    <w:rPr>
                      <w:rFonts w:ascii="Times New Roman"/>
                      <w:color w:val="auto"/>
                      <w:szCs w:val="21"/>
                    </w:rPr>
                    <w:t>易</w:t>
                  </w:r>
                </w:p>
              </w:tc>
              <w:tc>
                <w:tcPr>
                  <w:tcW w:w="1729" w:type="dxa"/>
                  <w:vAlign w:val="center"/>
                </w:tcPr>
                <w:p w14:paraId="17382E16">
                  <w:pPr>
                    <w:pStyle w:val="136"/>
                    <w:spacing w:beforeLines="0" w:afterLines="0" w:line="240" w:lineRule="auto"/>
                    <w:rPr>
                      <w:rFonts w:ascii="Times New Roman"/>
                      <w:color w:val="auto"/>
                      <w:szCs w:val="21"/>
                    </w:rPr>
                  </w:pPr>
                  <w:r>
                    <w:rPr>
                      <w:rFonts w:ascii="Times New Roman"/>
                      <w:color w:val="auto"/>
                      <w:szCs w:val="21"/>
                    </w:rPr>
                    <w:t>重金属、持久性有机污染物</w:t>
                  </w:r>
                </w:p>
              </w:tc>
              <w:tc>
                <w:tcPr>
                  <w:tcW w:w="2575" w:type="dxa"/>
                  <w:vMerge w:val="continue"/>
                  <w:vAlign w:val="center"/>
                </w:tcPr>
                <w:p w14:paraId="17382E17">
                  <w:pPr>
                    <w:pStyle w:val="136"/>
                    <w:spacing w:beforeLines="0" w:afterLines="0" w:line="240" w:lineRule="auto"/>
                    <w:rPr>
                      <w:rFonts w:ascii="Times New Roman"/>
                      <w:color w:val="auto"/>
                      <w:szCs w:val="21"/>
                    </w:rPr>
                  </w:pPr>
                </w:p>
              </w:tc>
            </w:tr>
            <w:tr w14:paraId="17382E1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429" w:type="dxa"/>
                  <w:vAlign w:val="center"/>
                </w:tcPr>
                <w:p w14:paraId="17382E19">
                  <w:pPr>
                    <w:pStyle w:val="136"/>
                    <w:spacing w:beforeLines="0" w:afterLines="0" w:line="240" w:lineRule="auto"/>
                    <w:rPr>
                      <w:rFonts w:ascii="Times New Roman"/>
                      <w:color w:val="auto"/>
                      <w:szCs w:val="21"/>
                    </w:rPr>
                  </w:pPr>
                  <w:r>
                    <w:rPr>
                      <w:rFonts w:ascii="Times New Roman"/>
                      <w:color w:val="auto"/>
                      <w:szCs w:val="21"/>
                    </w:rPr>
                    <w:t>简单防渗区</w:t>
                  </w:r>
                </w:p>
              </w:tc>
              <w:tc>
                <w:tcPr>
                  <w:tcW w:w="1404" w:type="dxa"/>
                  <w:vAlign w:val="center"/>
                </w:tcPr>
                <w:p w14:paraId="17382E1A">
                  <w:pPr>
                    <w:pStyle w:val="136"/>
                    <w:spacing w:beforeLines="0" w:afterLines="0" w:line="240" w:lineRule="auto"/>
                    <w:rPr>
                      <w:rFonts w:ascii="Times New Roman"/>
                      <w:color w:val="auto"/>
                      <w:szCs w:val="21"/>
                    </w:rPr>
                  </w:pPr>
                  <w:r>
                    <w:rPr>
                      <w:rFonts w:ascii="Times New Roman"/>
                      <w:color w:val="auto"/>
                      <w:szCs w:val="21"/>
                    </w:rPr>
                    <w:t>中-强</w:t>
                  </w:r>
                </w:p>
              </w:tc>
              <w:tc>
                <w:tcPr>
                  <w:tcW w:w="1360" w:type="dxa"/>
                  <w:vAlign w:val="center"/>
                </w:tcPr>
                <w:p w14:paraId="17382E1B">
                  <w:pPr>
                    <w:pStyle w:val="136"/>
                    <w:spacing w:beforeLines="0" w:afterLines="0" w:line="240" w:lineRule="auto"/>
                    <w:rPr>
                      <w:rFonts w:ascii="Times New Roman"/>
                      <w:color w:val="auto"/>
                      <w:szCs w:val="21"/>
                    </w:rPr>
                  </w:pPr>
                  <w:r>
                    <w:rPr>
                      <w:rFonts w:ascii="Times New Roman"/>
                      <w:color w:val="auto"/>
                      <w:szCs w:val="21"/>
                    </w:rPr>
                    <w:t>易</w:t>
                  </w:r>
                </w:p>
              </w:tc>
              <w:tc>
                <w:tcPr>
                  <w:tcW w:w="1729" w:type="dxa"/>
                  <w:vAlign w:val="center"/>
                </w:tcPr>
                <w:p w14:paraId="17382E1C">
                  <w:pPr>
                    <w:pStyle w:val="136"/>
                    <w:spacing w:beforeLines="0" w:afterLines="0" w:line="240" w:lineRule="auto"/>
                    <w:rPr>
                      <w:rFonts w:ascii="Times New Roman"/>
                      <w:color w:val="auto"/>
                      <w:szCs w:val="21"/>
                    </w:rPr>
                  </w:pPr>
                  <w:r>
                    <w:rPr>
                      <w:rFonts w:ascii="Times New Roman"/>
                      <w:color w:val="auto"/>
                      <w:szCs w:val="21"/>
                    </w:rPr>
                    <w:t>其他类型</w:t>
                  </w:r>
                </w:p>
              </w:tc>
              <w:tc>
                <w:tcPr>
                  <w:tcW w:w="2575" w:type="dxa"/>
                  <w:vAlign w:val="center"/>
                </w:tcPr>
                <w:p w14:paraId="17382E1D">
                  <w:pPr>
                    <w:pStyle w:val="136"/>
                    <w:spacing w:beforeLines="0" w:afterLines="0" w:line="240" w:lineRule="auto"/>
                    <w:rPr>
                      <w:rFonts w:ascii="Times New Roman"/>
                      <w:color w:val="auto"/>
                      <w:szCs w:val="21"/>
                    </w:rPr>
                  </w:pPr>
                  <w:r>
                    <w:rPr>
                      <w:rFonts w:ascii="Times New Roman"/>
                      <w:color w:val="auto"/>
                      <w:szCs w:val="21"/>
                    </w:rPr>
                    <w:t>一般地面硬化</w:t>
                  </w:r>
                </w:p>
              </w:tc>
            </w:tr>
          </w:tbl>
          <w:p w14:paraId="17382E1F">
            <w:pPr>
              <w:adjustRightInd w:val="0"/>
              <w:snapToGrid w:val="0"/>
              <w:jc w:val="center"/>
              <w:rPr>
                <w:b/>
                <w:bCs/>
                <w:color w:val="auto"/>
                <w:sz w:val="24"/>
              </w:rPr>
            </w:pPr>
          </w:p>
          <w:p w14:paraId="17382E20">
            <w:pPr>
              <w:adjustRightInd w:val="0"/>
              <w:snapToGrid w:val="0"/>
              <w:jc w:val="center"/>
              <w:rPr>
                <w:b/>
                <w:bCs/>
                <w:color w:val="auto"/>
                <w:sz w:val="24"/>
              </w:rPr>
            </w:pPr>
            <w:r>
              <w:rPr>
                <w:rFonts w:hint="eastAsia"/>
                <w:b/>
                <w:bCs/>
                <w:color w:val="auto"/>
                <w:sz w:val="24"/>
              </w:rPr>
              <w:t>表4-26本项目地下水污染防渗分区划分表</w:t>
            </w:r>
          </w:p>
          <w:tbl>
            <w:tblPr>
              <w:tblStyle w:val="89"/>
              <w:tblW w:w="5000" w:type="pct"/>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02"/>
              <w:gridCol w:w="1913"/>
              <w:gridCol w:w="1597"/>
              <w:gridCol w:w="2001"/>
              <w:gridCol w:w="1846"/>
            </w:tblGrid>
            <w:tr w14:paraId="17382E2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02" w:type="dxa"/>
                  <w:tcBorders>
                    <w:tl2br w:val="nil"/>
                    <w:tr2bl w:val="nil"/>
                  </w:tcBorders>
                  <w:vAlign w:val="center"/>
                </w:tcPr>
                <w:p w14:paraId="17382E21">
                  <w:pPr>
                    <w:adjustRightInd w:val="0"/>
                    <w:snapToGrid w:val="0"/>
                    <w:jc w:val="center"/>
                    <w:rPr>
                      <w:b/>
                      <w:bCs/>
                      <w:color w:val="auto"/>
                      <w:szCs w:val="21"/>
                    </w:rPr>
                  </w:pPr>
                  <w:r>
                    <w:rPr>
                      <w:b/>
                      <w:bCs/>
                      <w:color w:val="auto"/>
                      <w:szCs w:val="21"/>
                    </w:rPr>
                    <w:t>防渗分区</w:t>
                  </w:r>
                </w:p>
              </w:tc>
              <w:tc>
                <w:tcPr>
                  <w:tcW w:w="1913" w:type="dxa"/>
                  <w:tcBorders>
                    <w:tl2br w:val="nil"/>
                    <w:tr2bl w:val="nil"/>
                  </w:tcBorders>
                  <w:vAlign w:val="center"/>
                </w:tcPr>
                <w:p w14:paraId="17382E22">
                  <w:pPr>
                    <w:adjustRightInd w:val="0"/>
                    <w:snapToGrid w:val="0"/>
                    <w:jc w:val="center"/>
                    <w:rPr>
                      <w:b/>
                      <w:bCs/>
                      <w:color w:val="auto"/>
                      <w:szCs w:val="21"/>
                    </w:rPr>
                  </w:pPr>
                  <w:r>
                    <w:rPr>
                      <w:b/>
                      <w:bCs/>
                      <w:color w:val="auto"/>
                      <w:szCs w:val="21"/>
                    </w:rPr>
                    <w:t>分区位置</w:t>
                  </w:r>
                </w:p>
              </w:tc>
              <w:tc>
                <w:tcPr>
                  <w:tcW w:w="1597" w:type="dxa"/>
                  <w:tcBorders>
                    <w:tl2br w:val="nil"/>
                    <w:tr2bl w:val="nil"/>
                  </w:tcBorders>
                  <w:vAlign w:val="center"/>
                </w:tcPr>
                <w:p w14:paraId="17382E23">
                  <w:pPr>
                    <w:adjustRightInd w:val="0"/>
                    <w:snapToGrid w:val="0"/>
                    <w:jc w:val="center"/>
                    <w:rPr>
                      <w:b/>
                      <w:bCs/>
                      <w:color w:val="auto"/>
                      <w:szCs w:val="21"/>
                    </w:rPr>
                  </w:pPr>
                  <w:r>
                    <w:rPr>
                      <w:b/>
                      <w:bCs/>
                      <w:color w:val="auto"/>
                      <w:szCs w:val="21"/>
                    </w:rPr>
                    <w:t>污染物种类</w:t>
                  </w:r>
                </w:p>
              </w:tc>
              <w:tc>
                <w:tcPr>
                  <w:tcW w:w="2001" w:type="dxa"/>
                  <w:tcBorders>
                    <w:tl2br w:val="nil"/>
                    <w:tr2bl w:val="nil"/>
                  </w:tcBorders>
                  <w:vAlign w:val="center"/>
                </w:tcPr>
                <w:p w14:paraId="17382E24">
                  <w:pPr>
                    <w:adjustRightInd w:val="0"/>
                    <w:snapToGrid w:val="0"/>
                    <w:jc w:val="center"/>
                    <w:rPr>
                      <w:b/>
                      <w:bCs/>
                      <w:color w:val="auto"/>
                      <w:szCs w:val="21"/>
                    </w:rPr>
                  </w:pPr>
                  <w:r>
                    <w:rPr>
                      <w:b/>
                      <w:bCs/>
                      <w:color w:val="auto"/>
                      <w:szCs w:val="21"/>
                    </w:rPr>
                    <w:t>污染途径</w:t>
                  </w:r>
                </w:p>
              </w:tc>
              <w:tc>
                <w:tcPr>
                  <w:tcW w:w="1846" w:type="dxa"/>
                  <w:tcBorders>
                    <w:tl2br w:val="nil"/>
                    <w:tr2bl w:val="nil"/>
                  </w:tcBorders>
                  <w:vAlign w:val="center"/>
                </w:tcPr>
                <w:p w14:paraId="17382E25">
                  <w:pPr>
                    <w:adjustRightInd w:val="0"/>
                    <w:snapToGrid w:val="0"/>
                    <w:jc w:val="center"/>
                    <w:rPr>
                      <w:b/>
                      <w:bCs/>
                      <w:color w:val="auto"/>
                      <w:szCs w:val="21"/>
                    </w:rPr>
                  </w:pPr>
                  <w:r>
                    <w:rPr>
                      <w:b/>
                      <w:bCs/>
                      <w:color w:val="auto"/>
                      <w:szCs w:val="21"/>
                    </w:rPr>
                    <w:t>防渗要求</w:t>
                  </w:r>
                </w:p>
              </w:tc>
            </w:tr>
            <w:tr w14:paraId="17382E2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02" w:type="dxa"/>
                  <w:tcBorders>
                    <w:tl2br w:val="nil"/>
                    <w:tr2bl w:val="nil"/>
                  </w:tcBorders>
                  <w:vAlign w:val="center"/>
                </w:tcPr>
                <w:p w14:paraId="17382E27">
                  <w:pPr>
                    <w:widowControl/>
                    <w:jc w:val="center"/>
                    <w:rPr>
                      <w:color w:val="auto"/>
                      <w:kern w:val="0"/>
                      <w:szCs w:val="21"/>
                    </w:rPr>
                  </w:pPr>
                  <w:r>
                    <w:rPr>
                      <w:color w:val="auto"/>
                      <w:kern w:val="0"/>
                      <w:szCs w:val="21"/>
                    </w:rPr>
                    <w:t>重点</w:t>
                  </w:r>
                </w:p>
                <w:p w14:paraId="17382E28">
                  <w:pPr>
                    <w:widowControl/>
                    <w:jc w:val="center"/>
                    <w:rPr>
                      <w:color w:val="auto"/>
                      <w:szCs w:val="21"/>
                    </w:rPr>
                  </w:pPr>
                  <w:r>
                    <w:rPr>
                      <w:color w:val="auto"/>
                      <w:kern w:val="0"/>
                      <w:szCs w:val="21"/>
                    </w:rPr>
                    <w:t>防渗区</w:t>
                  </w:r>
                </w:p>
              </w:tc>
              <w:tc>
                <w:tcPr>
                  <w:tcW w:w="1913" w:type="dxa"/>
                  <w:tcBorders>
                    <w:tl2br w:val="nil"/>
                    <w:tr2bl w:val="nil"/>
                  </w:tcBorders>
                  <w:vAlign w:val="center"/>
                </w:tcPr>
                <w:p w14:paraId="17382E29">
                  <w:pPr>
                    <w:widowControl/>
                    <w:jc w:val="center"/>
                    <w:rPr>
                      <w:color w:val="auto"/>
                      <w:szCs w:val="21"/>
                    </w:rPr>
                  </w:pPr>
                  <w:r>
                    <w:rPr>
                      <w:color w:val="auto"/>
                      <w:kern w:val="0"/>
                      <w:szCs w:val="21"/>
                    </w:rPr>
                    <w:t>危废暂存库</w:t>
                  </w:r>
                </w:p>
              </w:tc>
              <w:tc>
                <w:tcPr>
                  <w:tcW w:w="1597" w:type="dxa"/>
                  <w:tcBorders>
                    <w:tl2br w:val="nil"/>
                    <w:tr2bl w:val="nil"/>
                  </w:tcBorders>
                  <w:vAlign w:val="center"/>
                </w:tcPr>
                <w:p w14:paraId="17382E2A">
                  <w:pPr>
                    <w:adjustRightInd w:val="0"/>
                    <w:snapToGrid w:val="0"/>
                    <w:jc w:val="center"/>
                    <w:rPr>
                      <w:color w:val="auto"/>
                      <w:szCs w:val="21"/>
                    </w:rPr>
                  </w:pPr>
                  <w:r>
                    <w:rPr>
                      <w:rFonts w:hint="eastAsia"/>
                      <w:color w:val="auto"/>
                      <w:szCs w:val="21"/>
                    </w:rPr>
                    <w:t>废机油、废防锈油、废包装桶内遗留的机油等泄漏</w:t>
                  </w:r>
                </w:p>
              </w:tc>
              <w:tc>
                <w:tcPr>
                  <w:tcW w:w="2001" w:type="dxa"/>
                  <w:tcBorders>
                    <w:tl2br w:val="nil"/>
                    <w:tr2bl w:val="nil"/>
                  </w:tcBorders>
                  <w:vAlign w:val="center"/>
                </w:tcPr>
                <w:p w14:paraId="17382E2B">
                  <w:pPr>
                    <w:widowControl/>
                    <w:jc w:val="center"/>
                    <w:rPr>
                      <w:color w:val="auto"/>
                      <w:szCs w:val="21"/>
                    </w:rPr>
                  </w:pPr>
                  <w:r>
                    <w:rPr>
                      <w:color w:val="auto"/>
                      <w:kern w:val="0"/>
                      <w:szCs w:val="21"/>
                    </w:rPr>
                    <w:t>垂直入渗、地面漫流</w:t>
                  </w:r>
                </w:p>
              </w:tc>
              <w:tc>
                <w:tcPr>
                  <w:tcW w:w="1846" w:type="dxa"/>
                  <w:tcBorders>
                    <w:tl2br w:val="nil"/>
                    <w:tr2bl w:val="nil"/>
                  </w:tcBorders>
                  <w:vAlign w:val="center"/>
                </w:tcPr>
                <w:p w14:paraId="17382E2D">
                  <w:pPr>
                    <w:widowControl/>
                    <w:jc w:val="center"/>
                    <w:rPr>
                      <w:color w:val="auto"/>
                      <w:kern w:val="0"/>
                      <w:szCs w:val="21"/>
                    </w:rPr>
                  </w:pPr>
                  <w:r>
                    <w:rPr>
                      <w:rFonts w:hint="eastAsia"/>
                      <w:color w:val="auto"/>
                      <w:kern w:val="0"/>
                      <w:szCs w:val="21"/>
                    </w:rPr>
                    <w:t xml:space="preserve">等效黏土防渗层 </w:t>
                  </w:r>
                  <w:r>
                    <w:rPr>
                      <w:color w:val="auto"/>
                      <w:kern w:val="0"/>
                      <w:szCs w:val="21"/>
                    </w:rPr>
                    <w:t>Mb≥6.0m</w:t>
                  </w:r>
                  <w:r>
                    <w:rPr>
                      <w:rFonts w:hint="eastAsia"/>
                      <w:color w:val="auto"/>
                      <w:kern w:val="0"/>
                      <w:szCs w:val="21"/>
                    </w:rPr>
                    <w:t>，</w:t>
                  </w:r>
                  <w:r>
                    <w:rPr>
                      <w:color w:val="auto"/>
                      <w:kern w:val="0"/>
                      <w:szCs w:val="21"/>
                    </w:rPr>
                    <w:t>K≤1×10</w:t>
                  </w:r>
                  <w:r>
                    <w:rPr>
                      <w:color w:val="auto"/>
                      <w:kern w:val="0"/>
                      <w:szCs w:val="21"/>
                      <w:vertAlign w:val="superscript"/>
                    </w:rPr>
                    <w:t>-7</w:t>
                  </w:r>
                  <w:r>
                    <w:rPr>
                      <w:color w:val="auto"/>
                      <w:kern w:val="0"/>
                      <w:szCs w:val="21"/>
                    </w:rPr>
                    <w:t>cm/s</w:t>
                  </w:r>
                  <w:r>
                    <w:rPr>
                      <w:rFonts w:hint="eastAsia"/>
                      <w:color w:val="auto"/>
                      <w:kern w:val="0"/>
                      <w:szCs w:val="21"/>
                    </w:rPr>
                    <w:t>；或参照</w:t>
                  </w:r>
                  <w:r>
                    <w:rPr>
                      <w:color w:val="auto"/>
                      <w:kern w:val="0"/>
                      <w:szCs w:val="21"/>
                    </w:rPr>
                    <w:t>GB18598</w:t>
                  </w:r>
                  <w:r>
                    <w:rPr>
                      <w:rFonts w:hint="eastAsia"/>
                      <w:color w:val="auto"/>
                      <w:kern w:val="0"/>
                      <w:szCs w:val="21"/>
                    </w:rPr>
                    <w:t>执行</w:t>
                  </w:r>
                </w:p>
              </w:tc>
            </w:tr>
            <w:tr w14:paraId="17382E3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02" w:type="dxa"/>
                  <w:vMerge w:val="restart"/>
                  <w:tcBorders>
                    <w:tl2br w:val="nil"/>
                    <w:tr2bl w:val="nil"/>
                  </w:tcBorders>
                  <w:vAlign w:val="center"/>
                </w:tcPr>
                <w:p w14:paraId="17382E2F">
                  <w:pPr>
                    <w:widowControl/>
                    <w:jc w:val="center"/>
                    <w:rPr>
                      <w:color w:val="auto"/>
                      <w:kern w:val="0"/>
                      <w:szCs w:val="21"/>
                    </w:rPr>
                  </w:pPr>
                  <w:r>
                    <w:rPr>
                      <w:color w:val="auto"/>
                      <w:kern w:val="0"/>
                      <w:szCs w:val="21"/>
                    </w:rPr>
                    <w:t>一般</w:t>
                  </w:r>
                </w:p>
                <w:p w14:paraId="17382E30">
                  <w:pPr>
                    <w:widowControl/>
                    <w:jc w:val="center"/>
                    <w:rPr>
                      <w:color w:val="auto"/>
                      <w:szCs w:val="21"/>
                    </w:rPr>
                  </w:pPr>
                  <w:r>
                    <w:rPr>
                      <w:color w:val="auto"/>
                      <w:kern w:val="0"/>
                      <w:szCs w:val="21"/>
                    </w:rPr>
                    <w:t>防渗区</w:t>
                  </w:r>
                </w:p>
              </w:tc>
              <w:tc>
                <w:tcPr>
                  <w:tcW w:w="1913" w:type="dxa"/>
                  <w:tcBorders>
                    <w:tl2br w:val="nil"/>
                    <w:tr2bl w:val="nil"/>
                  </w:tcBorders>
                  <w:vAlign w:val="center"/>
                </w:tcPr>
                <w:p w14:paraId="17382E31">
                  <w:pPr>
                    <w:widowControl/>
                    <w:jc w:val="center"/>
                    <w:rPr>
                      <w:color w:val="auto"/>
                      <w:szCs w:val="21"/>
                    </w:rPr>
                  </w:pPr>
                  <w:r>
                    <w:rPr>
                      <w:color w:val="auto"/>
                      <w:kern w:val="0"/>
                      <w:szCs w:val="21"/>
                    </w:rPr>
                    <w:t>生产车间</w:t>
                  </w:r>
                </w:p>
              </w:tc>
              <w:tc>
                <w:tcPr>
                  <w:tcW w:w="1597" w:type="dxa"/>
                  <w:tcBorders>
                    <w:tl2br w:val="nil"/>
                    <w:tr2bl w:val="nil"/>
                  </w:tcBorders>
                  <w:vAlign w:val="center"/>
                </w:tcPr>
                <w:p w14:paraId="17382E32">
                  <w:pPr>
                    <w:adjustRightInd w:val="0"/>
                    <w:snapToGrid w:val="0"/>
                    <w:jc w:val="center"/>
                    <w:rPr>
                      <w:color w:val="auto"/>
                      <w:szCs w:val="21"/>
                    </w:rPr>
                  </w:pPr>
                  <w:r>
                    <w:rPr>
                      <w:rFonts w:hint="eastAsia"/>
                      <w:color w:val="auto"/>
                      <w:szCs w:val="21"/>
                    </w:rPr>
                    <w:t>机油等泄漏</w:t>
                  </w:r>
                </w:p>
              </w:tc>
              <w:tc>
                <w:tcPr>
                  <w:tcW w:w="2001" w:type="dxa"/>
                  <w:tcBorders>
                    <w:tl2br w:val="nil"/>
                    <w:tr2bl w:val="nil"/>
                  </w:tcBorders>
                  <w:vAlign w:val="center"/>
                </w:tcPr>
                <w:p w14:paraId="17382E33">
                  <w:pPr>
                    <w:widowControl/>
                    <w:jc w:val="center"/>
                    <w:rPr>
                      <w:color w:val="auto"/>
                      <w:szCs w:val="21"/>
                    </w:rPr>
                  </w:pPr>
                  <w:r>
                    <w:rPr>
                      <w:color w:val="auto"/>
                      <w:kern w:val="0"/>
                      <w:szCs w:val="21"/>
                    </w:rPr>
                    <w:t>垂直入渗、地面漫流</w:t>
                  </w:r>
                </w:p>
              </w:tc>
              <w:tc>
                <w:tcPr>
                  <w:tcW w:w="1846" w:type="dxa"/>
                  <w:vMerge w:val="restart"/>
                  <w:tcBorders>
                    <w:tl2br w:val="nil"/>
                    <w:tr2bl w:val="nil"/>
                  </w:tcBorders>
                  <w:vAlign w:val="center"/>
                </w:tcPr>
                <w:p w14:paraId="17382E35">
                  <w:pPr>
                    <w:widowControl/>
                    <w:jc w:val="center"/>
                    <w:rPr>
                      <w:color w:val="auto"/>
                      <w:kern w:val="0"/>
                      <w:szCs w:val="21"/>
                    </w:rPr>
                  </w:pPr>
                  <w:r>
                    <w:rPr>
                      <w:rFonts w:hint="eastAsia"/>
                      <w:color w:val="auto"/>
                      <w:kern w:val="0"/>
                      <w:szCs w:val="21"/>
                    </w:rPr>
                    <w:t xml:space="preserve">等效黏土防渗层 </w:t>
                  </w:r>
                  <w:r>
                    <w:rPr>
                      <w:color w:val="auto"/>
                      <w:kern w:val="0"/>
                      <w:szCs w:val="21"/>
                    </w:rPr>
                    <w:t>Mb≥1.5m</w:t>
                  </w:r>
                  <w:r>
                    <w:rPr>
                      <w:rFonts w:hint="eastAsia"/>
                      <w:color w:val="auto"/>
                      <w:kern w:val="0"/>
                      <w:szCs w:val="21"/>
                    </w:rPr>
                    <w:t>，</w:t>
                  </w:r>
                  <w:r>
                    <w:rPr>
                      <w:color w:val="auto"/>
                      <w:kern w:val="0"/>
                      <w:szCs w:val="21"/>
                    </w:rPr>
                    <w:t>K≤1×10</w:t>
                  </w:r>
                  <w:r>
                    <w:rPr>
                      <w:color w:val="auto"/>
                      <w:kern w:val="0"/>
                      <w:szCs w:val="21"/>
                      <w:vertAlign w:val="superscript"/>
                    </w:rPr>
                    <w:t>-7</w:t>
                  </w:r>
                  <w:r>
                    <w:rPr>
                      <w:color w:val="auto"/>
                      <w:kern w:val="0"/>
                      <w:szCs w:val="21"/>
                    </w:rPr>
                    <w:t>cm/s</w:t>
                  </w:r>
                  <w:r>
                    <w:rPr>
                      <w:rFonts w:hint="eastAsia"/>
                      <w:color w:val="auto"/>
                      <w:kern w:val="0"/>
                      <w:szCs w:val="21"/>
                    </w:rPr>
                    <w:t>；或参照</w:t>
                  </w:r>
                  <w:r>
                    <w:rPr>
                      <w:color w:val="auto"/>
                      <w:kern w:val="0"/>
                      <w:szCs w:val="21"/>
                    </w:rPr>
                    <w:t>GB16889</w:t>
                  </w:r>
                  <w:r>
                    <w:rPr>
                      <w:rFonts w:hint="eastAsia"/>
                      <w:color w:val="auto"/>
                      <w:kern w:val="0"/>
                      <w:szCs w:val="21"/>
                    </w:rPr>
                    <w:t>执行</w:t>
                  </w:r>
                </w:p>
              </w:tc>
            </w:tr>
            <w:tr w14:paraId="17382E3C">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02" w:type="dxa"/>
                  <w:vMerge w:val="continue"/>
                  <w:tcBorders>
                    <w:tl2br w:val="nil"/>
                    <w:tr2bl w:val="nil"/>
                  </w:tcBorders>
                  <w:vAlign w:val="center"/>
                </w:tcPr>
                <w:p w14:paraId="17382E37">
                  <w:pPr>
                    <w:adjustRightInd w:val="0"/>
                    <w:snapToGrid w:val="0"/>
                    <w:jc w:val="center"/>
                    <w:rPr>
                      <w:color w:val="auto"/>
                      <w:szCs w:val="21"/>
                    </w:rPr>
                  </w:pPr>
                </w:p>
              </w:tc>
              <w:tc>
                <w:tcPr>
                  <w:tcW w:w="1913" w:type="dxa"/>
                  <w:tcBorders>
                    <w:tl2br w:val="nil"/>
                    <w:tr2bl w:val="nil"/>
                  </w:tcBorders>
                  <w:vAlign w:val="center"/>
                </w:tcPr>
                <w:p w14:paraId="17382E38">
                  <w:pPr>
                    <w:widowControl/>
                    <w:jc w:val="center"/>
                    <w:rPr>
                      <w:color w:val="auto"/>
                      <w:szCs w:val="21"/>
                    </w:rPr>
                  </w:pPr>
                  <w:r>
                    <w:rPr>
                      <w:color w:val="auto"/>
                      <w:kern w:val="0"/>
                      <w:szCs w:val="21"/>
                    </w:rPr>
                    <w:t>一般固废暂存库、化粪池等</w:t>
                  </w:r>
                </w:p>
              </w:tc>
              <w:tc>
                <w:tcPr>
                  <w:tcW w:w="1597" w:type="dxa"/>
                  <w:tcBorders>
                    <w:tl2br w:val="nil"/>
                    <w:tr2bl w:val="nil"/>
                  </w:tcBorders>
                  <w:vAlign w:val="center"/>
                </w:tcPr>
                <w:p w14:paraId="17382E39">
                  <w:pPr>
                    <w:adjustRightInd w:val="0"/>
                    <w:snapToGrid w:val="0"/>
                    <w:jc w:val="center"/>
                    <w:rPr>
                      <w:color w:val="auto"/>
                      <w:szCs w:val="21"/>
                    </w:rPr>
                  </w:pPr>
                  <w:r>
                    <w:rPr>
                      <w:color w:val="auto"/>
                      <w:szCs w:val="21"/>
                    </w:rPr>
                    <w:t>/</w:t>
                  </w:r>
                </w:p>
              </w:tc>
              <w:tc>
                <w:tcPr>
                  <w:tcW w:w="2001" w:type="dxa"/>
                  <w:tcBorders>
                    <w:tl2br w:val="nil"/>
                    <w:tr2bl w:val="nil"/>
                  </w:tcBorders>
                  <w:vAlign w:val="center"/>
                </w:tcPr>
                <w:p w14:paraId="17382E3A">
                  <w:pPr>
                    <w:widowControl/>
                    <w:jc w:val="center"/>
                    <w:rPr>
                      <w:color w:val="auto"/>
                      <w:szCs w:val="21"/>
                    </w:rPr>
                  </w:pPr>
                  <w:r>
                    <w:rPr>
                      <w:color w:val="auto"/>
                      <w:kern w:val="0"/>
                      <w:szCs w:val="21"/>
                    </w:rPr>
                    <w:t>垂直入渗、地面漫流</w:t>
                  </w:r>
                </w:p>
              </w:tc>
              <w:tc>
                <w:tcPr>
                  <w:tcW w:w="1846" w:type="dxa"/>
                  <w:vMerge w:val="continue"/>
                  <w:tcBorders>
                    <w:tl2br w:val="nil"/>
                    <w:tr2bl w:val="nil"/>
                  </w:tcBorders>
                  <w:vAlign w:val="center"/>
                </w:tcPr>
                <w:p w14:paraId="17382E3B">
                  <w:pPr>
                    <w:adjustRightInd w:val="0"/>
                    <w:snapToGrid w:val="0"/>
                    <w:jc w:val="center"/>
                    <w:rPr>
                      <w:color w:val="auto"/>
                      <w:szCs w:val="21"/>
                    </w:rPr>
                  </w:pPr>
                </w:p>
              </w:tc>
            </w:tr>
            <w:tr w14:paraId="17382E43">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02" w:type="dxa"/>
                  <w:tcBorders>
                    <w:tl2br w:val="nil"/>
                    <w:tr2bl w:val="nil"/>
                  </w:tcBorders>
                  <w:vAlign w:val="center"/>
                </w:tcPr>
                <w:p w14:paraId="17382E3D">
                  <w:pPr>
                    <w:widowControl/>
                    <w:jc w:val="center"/>
                    <w:rPr>
                      <w:color w:val="auto"/>
                      <w:kern w:val="0"/>
                      <w:szCs w:val="21"/>
                    </w:rPr>
                  </w:pPr>
                  <w:r>
                    <w:rPr>
                      <w:color w:val="auto"/>
                      <w:kern w:val="0"/>
                      <w:szCs w:val="21"/>
                    </w:rPr>
                    <w:t>简单</w:t>
                  </w:r>
                </w:p>
                <w:p w14:paraId="17382E3E">
                  <w:pPr>
                    <w:widowControl/>
                    <w:jc w:val="center"/>
                    <w:rPr>
                      <w:color w:val="auto"/>
                      <w:szCs w:val="21"/>
                    </w:rPr>
                  </w:pPr>
                  <w:r>
                    <w:rPr>
                      <w:color w:val="auto"/>
                      <w:kern w:val="0"/>
                      <w:szCs w:val="21"/>
                    </w:rPr>
                    <w:t>防渗区</w:t>
                  </w:r>
                </w:p>
              </w:tc>
              <w:tc>
                <w:tcPr>
                  <w:tcW w:w="1913" w:type="dxa"/>
                  <w:tcBorders>
                    <w:tl2br w:val="nil"/>
                    <w:tr2bl w:val="nil"/>
                  </w:tcBorders>
                  <w:vAlign w:val="center"/>
                </w:tcPr>
                <w:p w14:paraId="17382E3F">
                  <w:pPr>
                    <w:widowControl/>
                    <w:jc w:val="center"/>
                    <w:rPr>
                      <w:color w:val="auto"/>
                      <w:szCs w:val="21"/>
                    </w:rPr>
                  </w:pPr>
                  <w:r>
                    <w:rPr>
                      <w:color w:val="auto"/>
                      <w:kern w:val="0"/>
                      <w:szCs w:val="21"/>
                    </w:rPr>
                    <w:t>办公区</w:t>
                  </w:r>
                  <w:r>
                    <w:rPr>
                      <w:rFonts w:hint="eastAsia"/>
                      <w:color w:val="auto"/>
                      <w:kern w:val="0"/>
                      <w:szCs w:val="21"/>
                    </w:rPr>
                    <w:t>、原料仓库</w:t>
                  </w:r>
                </w:p>
              </w:tc>
              <w:tc>
                <w:tcPr>
                  <w:tcW w:w="1597" w:type="dxa"/>
                  <w:tcBorders>
                    <w:tl2br w:val="nil"/>
                    <w:tr2bl w:val="nil"/>
                  </w:tcBorders>
                  <w:vAlign w:val="center"/>
                </w:tcPr>
                <w:p w14:paraId="17382E40">
                  <w:pPr>
                    <w:adjustRightInd w:val="0"/>
                    <w:snapToGrid w:val="0"/>
                    <w:jc w:val="center"/>
                    <w:rPr>
                      <w:color w:val="auto"/>
                      <w:szCs w:val="21"/>
                    </w:rPr>
                  </w:pPr>
                  <w:r>
                    <w:rPr>
                      <w:color w:val="auto"/>
                      <w:szCs w:val="21"/>
                    </w:rPr>
                    <w:t>/</w:t>
                  </w:r>
                </w:p>
              </w:tc>
              <w:tc>
                <w:tcPr>
                  <w:tcW w:w="2001" w:type="dxa"/>
                  <w:tcBorders>
                    <w:tl2br w:val="nil"/>
                    <w:tr2bl w:val="nil"/>
                  </w:tcBorders>
                  <w:vAlign w:val="center"/>
                </w:tcPr>
                <w:p w14:paraId="17382E41">
                  <w:pPr>
                    <w:adjustRightInd w:val="0"/>
                    <w:snapToGrid w:val="0"/>
                    <w:jc w:val="center"/>
                    <w:rPr>
                      <w:color w:val="auto"/>
                      <w:szCs w:val="21"/>
                    </w:rPr>
                  </w:pPr>
                  <w:r>
                    <w:rPr>
                      <w:color w:val="auto"/>
                      <w:szCs w:val="21"/>
                    </w:rPr>
                    <w:t>/</w:t>
                  </w:r>
                </w:p>
              </w:tc>
              <w:tc>
                <w:tcPr>
                  <w:tcW w:w="1846" w:type="dxa"/>
                  <w:tcBorders>
                    <w:tl2br w:val="nil"/>
                    <w:tr2bl w:val="nil"/>
                  </w:tcBorders>
                  <w:vAlign w:val="center"/>
                </w:tcPr>
                <w:p w14:paraId="17382E42">
                  <w:pPr>
                    <w:widowControl/>
                    <w:jc w:val="center"/>
                    <w:rPr>
                      <w:color w:val="auto"/>
                      <w:szCs w:val="21"/>
                    </w:rPr>
                  </w:pPr>
                  <w:r>
                    <w:rPr>
                      <w:color w:val="auto"/>
                      <w:kern w:val="0"/>
                      <w:szCs w:val="21"/>
                    </w:rPr>
                    <w:t>一般地面硬化</w:t>
                  </w:r>
                </w:p>
              </w:tc>
            </w:tr>
          </w:tbl>
          <w:p w14:paraId="17382E44">
            <w:pPr>
              <w:adjustRightInd w:val="0"/>
              <w:snapToGrid w:val="0"/>
              <w:spacing w:line="360" w:lineRule="auto"/>
              <w:ind w:firstLine="480" w:firstLineChars="200"/>
              <w:rPr>
                <w:color w:val="auto"/>
                <w:sz w:val="24"/>
              </w:rPr>
            </w:pPr>
            <w:r>
              <w:rPr>
                <w:color w:val="auto"/>
                <w:sz w:val="24"/>
              </w:rPr>
              <w:t>综上所述，本项目通过对厂区地面进行分区防渗划分，可避免项目营运期对区域地下水及土壤产生污染影响。因此，本项目对地下水及土壤影响较小。</w:t>
            </w:r>
          </w:p>
          <w:p w14:paraId="17382E45">
            <w:pPr>
              <w:adjustRightInd w:val="0"/>
              <w:snapToGrid w:val="0"/>
              <w:spacing w:line="360" w:lineRule="auto"/>
              <w:ind w:firstLine="482" w:firstLineChars="200"/>
              <w:rPr>
                <w:b/>
                <w:color w:val="auto"/>
                <w:sz w:val="24"/>
              </w:rPr>
            </w:pPr>
            <w:bookmarkStart w:id="11" w:name="_Toc53512848"/>
            <w:r>
              <w:rPr>
                <w:b/>
                <w:color w:val="auto"/>
                <w:sz w:val="24"/>
              </w:rPr>
              <w:t>6、电磁辐射</w:t>
            </w:r>
          </w:p>
          <w:p w14:paraId="17382E46">
            <w:pPr>
              <w:adjustRightInd w:val="0"/>
              <w:snapToGrid w:val="0"/>
              <w:spacing w:line="360" w:lineRule="auto"/>
              <w:ind w:firstLine="480" w:firstLineChars="200"/>
              <w:rPr>
                <w:color w:val="auto"/>
                <w:sz w:val="24"/>
              </w:rPr>
            </w:pPr>
            <w:r>
              <w:rPr>
                <w:color w:val="auto"/>
                <w:sz w:val="24"/>
              </w:rPr>
              <w:t>本项目不涉及电磁辐射环境影响。</w:t>
            </w:r>
            <w:bookmarkEnd w:id="11"/>
          </w:p>
          <w:p w14:paraId="17382E47">
            <w:pPr>
              <w:adjustRightInd w:val="0"/>
              <w:snapToGrid w:val="0"/>
              <w:spacing w:line="360" w:lineRule="auto"/>
              <w:ind w:firstLine="482" w:firstLineChars="200"/>
              <w:rPr>
                <w:b/>
                <w:color w:val="auto"/>
                <w:sz w:val="24"/>
              </w:rPr>
            </w:pPr>
            <w:r>
              <w:rPr>
                <w:b/>
                <w:color w:val="auto"/>
                <w:sz w:val="24"/>
              </w:rPr>
              <w:t>7、环境风险分析</w:t>
            </w:r>
          </w:p>
          <w:p w14:paraId="17382E48">
            <w:pPr>
              <w:pStyle w:val="143"/>
              <w:autoSpaceDE w:val="0"/>
              <w:autoSpaceDN w:val="0"/>
              <w:adjustRightInd w:val="0"/>
              <w:snapToGrid w:val="0"/>
              <w:spacing w:line="360" w:lineRule="auto"/>
              <w:ind w:firstLine="482"/>
              <w:rPr>
                <w:rFonts w:ascii="Times New Roman" w:hAnsi="Times New Roman" w:cs="Times New Roman"/>
                <w:b/>
                <w:color w:val="auto"/>
              </w:rPr>
            </w:pPr>
            <w:r>
              <w:rPr>
                <w:rFonts w:ascii="Times New Roman" w:hAnsi="Times New Roman" w:cs="Times New Roman"/>
                <w:b/>
                <w:color w:val="auto"/>
              </w:rPr>
              <w:t>7.1</w:t>
            </w:r>
            <w:r>
              <w:rPr>
                <w:rFonts w:hint="eastAsia" w:ascii="Times New Roman" w:hAnsi="Times New Roman" w:cs="Times New Roman"/>
                <w:b/>
                <w:color w:val="auto"/>
              </w:rPr>
              <w:t>风险物质调查</w:t>
            </w:r>
          </w:p>
          <w:p w14:paraId="17382E49">
            <w:pPr>
              <w:adjustRightInd w:val="0"/>
              <w:snapToGrid w:val="0"/>
              <w:spacing w:line="360" w:lineRule="auto"/>
              <w:ind w:firstLine="480" w:firstLineChars="200"/>
              <w:rPr>
                <w:color w:val="auto"/>
                <w:sz w:val="24"/>
              </w:rPr>
            </w:pPr>
            <w:r>
              <w:rPr>
                <w:color w:val="auto"/>
                <w:sz w:val="24"/>
              </w:rPr>
              <w:t>本项目主要风险物质为：</w:t>
            </w:r>
            <w:r>
              <w:rPr>
                <w:rFonts w:hint="eastAsia"/>
                <w:color w:val="auto"/>
                <w:sz w:val="24"/>
              </w:rPr>
              <w:t>不饱和聚酯树脂、固化剂、机油、防锈油、危险废物</w:t>
            </w:r>
            <w:r>
              <w:rPr>
                <w:color w:val="auto"/>
                <w:sz w:val="24"/>
              </w:rPr>
              <w:t>等。本项目</w:t>
            </w:r>
            <w:r>
              <w:rPr>
                <w:rFonts w:hint="eastAsia"/>
                <w:color w:val="auto"/>
                <w:sz w:val="24"/>
              </w:rPr>
              <w:t>所涉及</w:t>
            </w:r>
            <w:r>
              <w:rPr>
                <w:color w:val="auto"/>
                <w:sz w:val="24"/>
              </w:rPr>
              <w:t>危险物质数量及分布情况见表4-</w:t>
            </w:r>
            <w:r>
              <w:rPr>
                <w:rFonts w:hint="eastAsia"/>
                <w:color w:val="auto"/>
                <w:sz w:val="24"/>
              </w:rPr>
              <w:t>27</w:t>
            </w:r>
            <w:r>
              <w:rPr>
                <w:color w:val="auto"/>
                <w:sz w:val="24"/>
              </w:rPr>
              <w:t>。</w:t>
            </w:r>
          </w:p>
          <w:p w14:paraId="721A02F3">
            <w:pPr>
              <w:widowControl/>
              <w:shd w:val="clear" w:color="auto" w:fill="FFFFFF"/>
              <w:adjustRightInd w:val="0"/>
              <w:snapToGrid w:val="0"/>
              <w:ind w:firstLine="482" w:firstLineChars="200"/>
              <w:jc w:val="center"/>
              <w:outlineLvl w:val="1"/>
              <w:rPr>
                <w:b/>
                <w:bCs/>
                <w:color w:val="auto"/>
                <w:sz w:val="24"/>
              </w:rPr>
            </w:pPr>
          </w:p>
          <w:p w14:paraId="144D25C9">
            <w:pPr>
              <w:widowControl/>
              <w:shd w:val="clear" w:color="auto" w:fill="FFFFFF"/>
              <w:adjustRightInd w:val="0"/>
              <w:snapToGrid w:val="0"/>
              <w:ind w:firstLine="482" w:firstLineChars="200"/>
              <w:jc w:val="center"/>
              <w:outlineLvl w:val="1"/>
              <w:rPr>
                <w:b/>
                <w:bCs/>
                <w:color w:val="auto"/>
                <w:sz w:val="24"/>
              </w:rPr>
            </w:pPr>
          </w:p>
          <w:p w14:paraId="17382E4A">
            <w:pPr>
              <w:widowControl/>
              <w:shd w:val="clear" w:color="auto" w:fill="FFFFFF"/>
              <w:adjustRightInd w:val="0"/>
              <w:snapToGrid w:val="0"/>
              <w:ind w:firstLine="482" w:firstLineChars="200"/>
              <w:jc w:val="center"/>
              <w:outlineLvl w:val="1"/>
              <w:rPr>
                <w:b/>
                <w:bCs/>
                <w:color w:val="auto"/>
                <w:sz w:val="24"/>
              </w:rPr>
            </w:pPr>
            <w:r>
              <w:rPr>
                <w:b/>
                <w:bCs/>
                <w:color w:val="auto"/>
                <w:sz w:val="24"/>
              </w:rPr>
              <w:t>表4-</w:t>
            </w:r>
            <w:r>
              <w:rPr>
                <w:rFonts w:hint="eastAsia"/>
                <w:b/>
                <w:bCs/>
                <w:color w:val="auto"/>
                <w:sz w:val="24"/>
              </w:rPr>
              <w:t>27</w:t>
            </w:r>
            <w:r>
              <w:rPr>
                <w:b/>
                <w:bCs/>
                <w:color w:val="auto"/>
                <w:sz w:val="24"/>
              </w:rPr>
              <w:t>危险物质数量及分布情况一览表</w:t>
            </w:r>
          </w:p>
          <w:tbl>
            <w:tblPr>
              <w:tblStyle w:val="88"/>
              <w:tblW w:w="5000" w:type="pct"/>
              <w:jc w:val="center"/>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Layout w:type="fixed"/>
              <w:tblCellMar>
                <w:top w:w="0" w:type="dxa"/>
                <w:left w:w="108" w:type="dxa"/>
                <w:bottom w:w="0" w:type="dxa"/>
                <w:right w:w="108" w:type="dxa"/>
              </w:tblCellMar>
            </w:tblPr>
            <w:tblGrid>
              <w:gridCol w:w="1737"/>
              <w:gridCol w:w="1818"/>
              <w:gridCol w:w="3099"/>
              <w:gridCol w:w="1805"/>
            </w:tblGrid>
            <w:tr w14:paraId="17382E4F">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026" w:type="pct"/>
                  <w:vAlign w:val="center"/>
                </w:tcPr>
                <w:p w14:paraId="17382E4B">
                  <w:pPr>
                    <w:jc w:val="center"/>
                    <w:rPr>
                      <w:b/>
                      <w:color w:val="auto"/>
                      <w:szCs w:val="21"/>
                    </w:rPr>
                  </w:pPr>
                  <w:r>
                    <w:rPr>
                      <w:b/>
                      <w:color w:val="auto"/>
                      <w:szCs w:val="21"/>
                    </w:rPr>
                    <w:t>名称</w:t>
                  </w:r>
                </w:p>
              </w:tc>
              <w:tc>
                <w:tcPr>
                  <w:tcW w:w="1074" w:type="pct"/>
                  <w:vAlign w:val="center"/>
                </w:tcPr>
                <w:p w14:paraId="17382E4C">
                  <w:pPr>
                    <w:jc w:val="center"/>
                    <w:rPr>
                      <w:b/>
                      <w:color w:val="auto"/>
                      <w:szCs w:val="21"/>
                    </w:rPr>
                  </w:pPr>
                  <w:r>
                    <w:rPr>
                      <w:b/>
                      <w:color w:val="auto"/>
                      <w:szCs w:val="21"/>
                    </w:rPr>
                    <w:t>主要规格/型号</w:t>
                  </w:r>
                </w:p>
              </w:tc>
              <w:tc>
                <w:tcPr>
                  <w:tcW w:w="1831" w:type="pct"/>
                  <w:vAlign w:val="center"/>
                </w:tcPr>
                <w:p w14:paraId="17382E4D">
                  <w:pPr>
                    <w:jc w:val="center"/>
                    <w:rPr>
                      <w:b/>
                      <w:color w:val="auto"/>
                      <w:szCs w:val="21"/>
                    </w:rPr>
                  </w:pPr>
                  <w:r>
                    <w:rPr>
                      <w:b/>
                      <w:color w:val="auto"/>
                      <w:szCs w:val="21"/>
                    </w:rPr>
                    <w:t>最大贮存量t</w:t>
                  </w:r>
                </w:p>
              </w:tc>
              <w:tc>
                <w:tcPr>
                  <w:tcW w:w="1067" w:type="pct"/>
                  <w:vAlign w:val="center"/>
                </w:tcPr>
                <w:p w14:paraId="17382E4E">
                  <w:pPr>
                    <w:jc w:val="center"/>
                    <w:rPr>
                      <w:b/>
                      <w:color w:val="auto"/>
                      <w:szCs w:val="21"/>
                    </w:rPr>
                  </w:pPr>
                  <w:r>
                    <w:rPr>
                      <w:rFonts w:hint="eastAsia"/>
                      <w:b/>
                      <w:color w:val="auto"/>
                      <w:szCs w:val="21"/>
                    </w:rPr>
                    <w:t>备注</w:t>
                  </w:r>
                </w:p>
              </w:tc>
            </w:tr>
            <w:tr w14:paraId="17382E54">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026" w:type="pct"/>
                  <w:vAlign w:val="center"/>
                </w:tcPr>
                <w:p w14:paraId="17382E50">
                  <w:pPr>
                    <w:widowControl/>
                    <w:adjustRightInd w:val="0"/>
                    <w:snapToGrid w:val="0"/>
                    <w:ind w:left="-105" w:leftChars="-50" w:right="-105" w:rightChars="-50"/>
                    <w:jc w:val="center"/>
                    <w:rPr>
                      <w:color w:val="auto"/>
                      <w:kern w:val="0"/>
                      <w:szCs w:val="21"/>
                    </w:rPr>
                  </w:pPr>
                  <w:r>
                    <w:rPr>
                      <w:rFonts w:hint="eastAsia"/>
                      <w:color w:val="auto"/>
                      <w:szCs w:val="21"/>
                    </w:rPr>
                    <w:t>不饱和聚酯树脂</w:t>
                  </w:r>
                </w:p>
              </w:tc>
              <w:tc>
                <w:tcPr>
                  <w:tcW w:w="1074" w:type="pct"/>
                  <w:vAlign w:val="center"/>
                </w:tcPr>
                <w:p w14:paraId="17382E51">
                  <w:pPr>
                    <w:jc w:val="center"/>
                    <w:rPr>
                      <w:color w:val="auto"/>
                      <w:szCs w:val="21"/>
                    </w:rPr>
                  </w:pPr>
                  <w:r>
                    <w:rPr>
                      <w:rFonts w:hint="eastAsia"/>
                      <w:color w:val="auto"/>
                      <w:szCs w:val="21"/>
                    </w:rPr>
                    <w:t>25kg/桶</w:t>
                  </w:r>
                </w:p>
              </w:tc>
              <w:tc>
                <w:tcPr>
                  <w:tcW w:w="1831" w:type="pct"/>
                  <w:vAlign w:val="center"/>
                </w:tcPr>
                <w:p w14:paraId="17382E52">
                  <w:pPr>
                    <w:widowControl/>
                    <w:adjustRightInd w:val="0"/>
                    <w:snapToGrid w:val="0"/>
                    <w:ind w:left="-105" w:leftChars="-50" w:right="-105" w:rightChars="-50"/>
                    <w:jc w:val="center"/>
                    <w:rPr>
                      <w:color w:val="auto"/>
                      <w:kern w:val="0"/>
                      <w:szCs w:val="21"/>
                    </w:rPr>
                  </w:pPr>
                  <w:r>
                    <w:rPr>
                      <w:rFonts w:hint="eastAsia"/>
                      <w:color w:val="auto"/>
                      <w:kern w:val="0"/>
                      <w:szCs w:val="21"/>
                    </w:rPr>
                    <w:t>5</w:t>
                  </w:r>
                </w:p>
              </w:tc>
              <w:tc>
                <w:tcPr>
                  <w:tcW w:w="1067" w:type="pct"/>
                  <w:vAlign w:val="center"/>
                </w:tcPr>
                <w:p w14:paraId="17382E53">
                  <w:pPr>
                    <w:widowControl/>
                    <w:snapToGrid w:val="0"/>
                    <w:jc w:val="center"/>
                    <w:rPr>
                      <w:bCs/>
                      <w:color w:val="auto"/>
                      <w:szCs w:val="21"/>
                    </w:rPr>
                  </w:pPr>
                  <w:r>
                    <w:rPr>
                      <w:rFonts w:hint="eastAsia"/>
                      <w:color w:val="auto"/>
                      <w:szCs w:val="21"/>
                    </w:rPr>
                    <w:t>原料存放区</w:t>
                  </w:r>
                </w:p>
              </w:tc>
            </w:tr>
            <w:tr w14:paraId="17382E59">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026" w:type="pct"/>
                  <w:vAlign w:val="center"/>
                </w:tcPr>
                <w:p w14:paraId="17382E55">
                  <w:pPr>
                    <w:widowControl/>
                    <w:adjustRightInd w:val="0"/>
                    <w:snapToGrid w:val="0"/>
                    <w:ind w:left="-105" w:leftChars="-50" w:right="-105" w:rightChars="-50"/>
                    <w:jc w:val="center"/>
                    <w:rPr>
                      <w:color w:val="auto"/>
                      <w:kern w:val="0"/>
                      <w:szCs w:val="21"/>
                    </w:rPr>
                  </w:pPr>
                  <w:r>
                    <w:rPr>
                      <w:rFonts w:hint="eastAsia"/>
                      <w:color w:val="auto"/>
                      <w:kern w:val="0"/>
                      <w:szCs w:val="21"/>
                    </w:rPr>
                    <w:t>固化剂</w:t>
                  </w:r>
                </w:p>
              </w:tc>
              <w:tc>
                <w:tcPr>
                  <w:tcW w:w="1074" w:type="pct"/>
                  <w:vAlign w:val="center"/>
                </w:tcPr>
                <w:p w14:paraId="17382E56">
                  <w:pPr>
                    <w:jc w:val="center"/>
                    <w:rPr>
                      <w:color w:val="auto"/>
                      <w:szCs w:val="21"/>
                    </w:rPr>
                  </w:pPr>
                  <w:r>
                    <w:rPr>
                      <w:rFonts w:hint="eastAsia"/>
                      <w:color w:val="auto"/>
                      <w:szCs w:val="21"/>
                    </w:rPr>
                    <w:t>25kg/桶</w:t>
                  </w:r>
                </w:p>
              </w:tc>
              <w:tc>
                <w:tcPr>
                  <w:tcW w:w="1831" w:type="pct"/>
                  <w:vAlign w:val="center"/>
                </w:tcPr>
                <w:p w14:paraId="17382E57">
                  <w:pPr>
                    <w:widowControl/>
                    <w:adjustRightInd w:val="0"/>
                    <w:snapToGrid w:val="0"/>
                    <w:ind w:left="-105" w:leftChars="-50" w:right="-105" w:rightChars="-50"/>
                    <w:jc w:val="center"/>
                    <w:rPr>
                      <w:color w:val="auto"/>
                      <w:kern w:val="0"/>
                      <w:szCs w:val="21"/>
                    </w:rPr>
                  </w:pPr>
                  <w:r>
                    <w:rPr>
                      <w:rFonts w:hint="eastAsia"/>
                      <w:color w:val="auto"/>
                      <w:kern w:val="0"/>
                      <w:szCs w:val="21"/>
                    </w:rPr>
                    <w:t>1.5</w:t>
                  </w:r>
                </w:p>
              </w:tc>
              <w:tc>
                <w:tcPr>
                  <w:tcW w:w="1067" w:type="pct"/>
                  <w:vAlign w:val="center"/>
                </w:tcPr>
                <w:p w14:paraId="17382E58">
                  <w:pPr>
                    <w:jc w:val="center"/>
                    <w:rPr>
                      <w:bCs/>
                      <w:color w:val="auto"/>
                      <w:szCs w:val="21"/>
                    </w:rPr>
                  </w:pPr>
                  <w:r>
                    <w:rPr>
                      <w:rFonts w:hint="eastAsia"/>
                      <w:color w:val="auto"/>
                      <w:szCs w:val="21"/>
                    </w:rPr>
                    <w:t>原料存放区</w:t>
                  </w:r>
                </w:p>
              </w:tc>
            </w:tr>
            <w:tr w14:paraId="17382E5E">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026" w:type="pct"/>
                  <w:vAlign w:val="center"/>
                </w:tcPr>
                <w:p w14:paraId="17382E5A">
                  <w:pPr>
                    <w:widowControl/>
                    <w:adjustRightInd w:val="0"/>
                    <w:snapToGrid w:val="0"/>
                    <w:ind w:left="-105" w:leftChars="-50" w:right="-105" w:rightChars="-50"/>
                    <w:jc w:val="center"/>
                    <w:rPr>
                      <w:color w:val="auto"/>
                      <w:kern w:val="0"/>
                      <w:szCs w:val="21"/>
                    </w:rPr>
                  </w:pPr>
                  <w:r>
                    <w:rPr>
                      <w:rFonts w:hint="eastAsia"/>
                      <w:color w:val="auto"/>
                      <w:szCs w:val="21"/>
                    </w:rPr>
                    <w:t>机油</w:t>
                  </w:r>
                </w:p>
              </w:tc>
              <w:tc>
                <w:tcPr>
                  <w:tcW w:w="1074" w:type="pct"/>
                  <w:vAlign w:val="center"/>
                </w:tcPr>
                <w:p w14:paraId="17382E5B">
                  <w:pPr>
                    <w:jc w:val="center"/>
                    <w:rPr>
                      <w:color w:val="auto"/>
                      <w:szCs w:val="21"/>
                    </w:rPr>
                  </w:pPr>
                  <w:r>
                    <w:rPr>
                      <w:rFonts w:hint="eastAsia"/>
                      <w:color w:val="auto"/>
                      <w:szCs w:val="21"/>
                    </w:rPr>
                    <w:t>20kg/桶</w:t>
                  </w:r>
                </w:p>
              </w:tc>
              <w:tc>
                <w:tcPr>
                  <w:tcW w:w="1831" w:type="pct"/>
                  <w:vAlign w:val="center"/>
                </w:tcPr>
                <w:p w14:paraId="17382E5C">
                  <w:pPr>
                    <w:widowControl/>
                    <w:adjustRightInd w:val="0"/>
                    <w:snapToGrid w:val="0"/>
                    <w:ind w:left="-105" w:leftChars="-50" w:right="-105" w:rightChars="-50"/>
                    <w:jc w:val="center"/>
                    <w:rPr>
                      <w:color w:val="auto"/>
                      <w:kern w:val="0"/>
                      <w:szCs w:val="21"/>
                    </w:rPr>
                  </w:pPr>
                  <w:r>
                    <w:rPr>
                      <w:rFonts w:hint="eastAsia"/>
                      <w:color w:val="auto"/>
                      <w:kern w:val="0"/>
                      <w:szCs w:val="21"/>
                    </w:rPr>
                    <w:t>0.3</w:t>
                  </w:r>
                </w:p>
              </w:tc>
              <w:tc>
                <w:tcPr>
                  <w:tcW w:w="1067" w:type="pct"/>
                  <w:vAlign w:val="center"/>
                </w:tcPr>
                <w:p w14:paraId="17382E5D">
                  <w:pPr>
                    <w:jc w:val="center"/>
                    <w:rPr>
                      <w:bCs/>
                      <w:color w:val="auto"/>
                      <w:szCs w:val="21"/>
                    </w:rPr>
                  </w:pPr>
                  <w:r>
                    <w:rPr>
                      <w:rFonts w:hint="eastAsia"/>
                      <w:color w:val="auto"/>
                      <w:szCs w:val="21"/>
                    </w:rPr>
                    <w:t>原料存放区</w:t>
                  </w:r>
                </w:p>
              </w:tc>
            </w:tr>
            <w:tr w14:paraId="17382E63">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026" w:type="pct"/>
                  <w:vAlign w:val="center"/>
                </w:tcPr>
                <w:p w14:paraId="17382E5F">
                  <w:pPr>
                    <w:widowControl/>
                    <w:adjustRightInd w:val="0"/>
                    <w:snapToGrid w:val="0"/>
                    <w:ind w:left="-105" w:leftChars="-50" w:right="-105" w:rightChars="-50"/>
                    <w:jc w:val="center"/>
                    <w:rPr>
                      <w:color w:val="auto"/>
                      <w:kern w:val="0"/>
                      <w:szCs w:val="21"/>
                    </w:rPr>
                  </w:pPr>
                  <w:r>
                    <w:rPr>
                      <w:rFonts w:hint="eastAsia"/>
                      <w:color w:val="auto"/>
                      <w:szCs w:val="21"/>
                    </w:rPr>
                    <w:t>防锈油</w:t>
                  </w:r>
                </w:p>
              </w:tc>
              <w:tc>
                <w:tcPr>
                  <w:tcW w:w="1074" w:type="pct"/>
                  <w:vAlign w:val="center"/>
                </w:tcPr>
                <w:p w14:paraId="17382E60">
                  <w:pPr>
                    <w:jc w:val="center"/>
                    <w:rPr>
                      <w:color w:val="auto"/>
                      <w:szCs w:val="21"/>
                    </w:rPr>
                  </w:pPr>
                  <w:r>
                    <w:rPr>
                      <w:rFonts w:hint="eastAsia"/>
                      <w:color w:val="auto"/>
                      <w:szCs w:val="21"/>
                    </w:rPr>
                    <w:t>20kg/桶</w:t>
                  </w:r>
                </w:p>
              </w:tc>
              <w:tc>
                <w:tcPr>
                  <w:tcW w:w="1831" w:type="pct"/>
                  <w:vAlign w:val="center"/>
                </w:tcPr>
                <w:p w14:paraId="17382E61">
                  <w:pPr>
                    <w:widowControl/>
                    <w:adjustRightInd w:val="0"/>
                    <w:snapToGrid w:val="0"/>
                    <w:ind w:left="-105" w:leftChars="-50" w:right="-105" w:rightChars="-50"/>
                    <w:jc w:val="center"/>
                    <w:rPr>
                      <w:color w:val="auto"/>
                      <w:kern w:val="0"/>
                      <w:szCs w:val="21"/>
                    </w:rPr>
                  </w:pPr>
                  <w:r>
                    <w:rPr>
                      <w:rFonts w:hint="eastAsia"/>
                      <w:color w:val="auto"/>
                      <w:kern w:val="0"/>
                      <w:szCs w:val="21"/>
                    </w:rPr>
                    <w:t>0.2</w:t>
                  </w:r>
                </w:p>
              </w:tc>
              <w:tc>
                <w:tcPr>
                  <w:tcW w:w="1067" w:type="pct"/>
                  <w:vAlign w:val="center"/>
                </w:tcPr>
                <w:p w14:paraId="17382E62">
                  <w:pPr>
                    <w:jc w:val="center"/>
                    <w:rPr>
                      <w:bCs/>
                      <w:color w:val="auto"/>
                      <w:szCs w:val="21"/>
                    </w:rPr>
                  </w:pPr>
                  <w:r>
                    <w:rPr>
                      <w:rFonts w:hint="eastAsia"/>
                      <w:color w:val="auto"/>
                      <w:szCs w:val="21"/>
                    </w:rPr>
                    <w:t>原料存放区</w:t>
                  </w:r>
                </w:p>
              </w:tc>
            </w:tr>
            <w:tr w14:paraId="17382E68">
              <w:tblPrEx>
                <w:tblBorders>
                  <w:top w:val="single" w:color="auto" w:sz="12" w:space="0"/>
                  <w:left w:val="none" w:color="auto" w:sz="0" w:space="0"/>
                  <w:bottom w:val="single" w:color="auto" w:sz="12" w:space="0"/>
                  <w:right w:val="none" w:color="auto" w:sz="0"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026" w:type="pct"/>
                  <w:vAlign w:val="center"/>
                </w:tcPr>
                <w:p w14:paraId="17382E64">
                  <w:pPr>
                    <w:widowControl/>
                    <w:adjustRightInd w:val="0"/>
                    <w:snapToGrid w:val="0"/>
                    <w:ind w:left="-105" w:leftChars="-50" w:right="-105" w:rightChars="-50"/>
                    <w:jc w:val="center"/>
                    <w:rPr>
                      <w:color w:val="auto"/>
                      <w:kern w:val="0"/>
                      <w:szCs w:val="21"/>
                    </w:rPr>
                  </w:pPr>
                  <w:r>
                    <w:rPr>
                      <w:rFonts w:hint="eastAsia"/>
                      <w:color w:val="auto"/>
                      <w:szCs w:val="21"/>
                    </w:rPr>
                    <w:t>危险废物</w:t>
                  </w:r>
                </w:p>
              </w:tc>
              <w:tc>
                <w:tcPr>
                  <w:tcW w:w="1074" w:type="pct"/>
                  <w:vAlign w:val="center"/>
                </w:tcPr>
                <w:p w14:paraId="17382E65">
                  <w:pPr>
                    <w:jc w:val="center"/>
                    <w:rPr>
                      <w:color w:val="auto"/>
                      <w:szCs w:val="21"/>
                    </w:rPr>
                  </w:pPr>
                  <w:r>
                    <w:rPr>
                      <w:color w:val="auto"/>
                      <w:szCs w:val="21"/>
                    </w:rPr>
                    <w:t>/</w:t>
                  </w:r>
                </w:p>
              </w:tc>
              <w:tc>
                <w:tcPr>
                  <w:tcW w:w="1831" w:type="pct"/>
                  <w:vAlign w:val="center"/>
                </w:tcPr>
                <w:p w14:paraId="17382E66">
                  <w:pPr>
                    <w:widowControl/>
                    <w:adjustRightInd w:val="0"/>
                    <w:snapToGrid w:val="0"/>
                    <w:ind w:left="-105" w:leftChars="-50" w:right="-105" w:rightChars="-50"/>
                    <w:jc w:val="center"/>
                    <w:rPr>
                      <w:color w:val="auto"/>
                      <w:kern w:val="0"/>
                      <w:szCs w:val="21"/>
                    </w:rPr>
                  </w:pPr>
                  <w:r>
                    <w:rPr>
                      <w:rFonts w:hint="eastAsia"/>
                      <w:color w:val="auto"/>
                      <w:kern w:val="0"/>
                      <w:szCs w:val="21"/>
                    </w:rPr>
                    <w:t>1.4836</w:t>
                  </w:r>
                </w:p>
              </w:tc>
              <w:tc>
                <w:tcPr>
                  <w:tcW w:w="1067" w:type="pct"/>
                  <w:vAlign w:val="center"/>
                </w:tcPr>
                <w:p w14:paraId="17382E67">
                  <w:pPr>
                    <w:jc w:val="center"/>
                    <w:rPr>
                      <w:bCs/>
                      <w:color w:val="auto"/>
                      <w:szCs w:val="21"/>
                    </w:rPr>
                  </w:pPr>
                  <w:r>
                    <w:rPr>
                      <w:rFonts w:hint="eastAsia"/>
                      <w:bCs/>
                      <w:color w:val="auto"/>
                      <w:szCs w:val="21"/>
                    </w:rPr>
                    <w:t>危废仓库</w:t>
                  </w:r>
                </w:p>
              </w:tc>
            </w:tr>
          </w:tbl>
          <w:p w14:paraId="17382E69">
            <w:pPr>
              <w:pStyle w:val="143"/>
              <w:autoSpaceDE w:val="0"/>
              <w:autoSpaceDN w:val="0"/>
              <w:adjustRightInd w:val="0"/>
              <w:snapToGrid w:val="0"/>
              <w:spacing w:line="360" w:lineRule="auto"/>
              <w:ind w:firstLine="482"/>
              <w:rPr>
                <w:rFonts w:ascii="Times New Roman" w:hAnsi="Times New Roman" w:cs="Times New Roman"/>
                <w:b/>
                <w:color w:val="auto"/>
              </w:rPr>
            </w:pPr>
            <w:r>
              <w:rPr>
                <w:rFonts w:hint="eastAsia" w:ascii="Times New Roman" w:hAnsi="Times New Roman" w:cs="Times New Roman"/>
                <w:b/>
                <w:color w:val="auto"/>
              </w:rPr>
              <w:t>7.2评价依据</w:t>
            </w:r>
          </w:p>
          <w:p w14:paraId="17382E6A">
            <w:pPr>
              <w:autoSpaceDE w:val="0"/>
              <w:autoSpaceDN w:val="0"/>
              <w:adjustRightInd w:val="0"/>
              <w:spacing w:line="360" w:lineRule="auto"/>
              <w:ind w:firstLine="480" w:firstLineChars="200"/>
              <w:outlineLvl w:val="3"/>
              <w:rPr>
                <w:bCs/>
                <w:color w:val="auto"/>
                <w:sz w:val="24"/>
              </w:rPr>
            </w:pPr>
            <w:r>
              <w:rPr>
                <w:bCs/>
                <w:color w:val="auto"/>
                <w:sz w:val="24"/>
              </w:rPr>
              <w:t>1）风险调查</w:t>
            </w:r>
          </w:p>
          <w:p w14:paraId="17382E6B">
            <w:pPr>
              <w:autoSpaceDE w:val="0"/>
              <w:autoSpaceDN w:val="0"/>
              <w:adjustRightInd w:val="0"/>
              <w:spacing w:line="360" w:lineRule="auto"/>
              <w:ind w:firstLine="480" w:firstLineChars="200"/>
              <w:outlineLvl w:val="3"/>
              <w:rPr>
                <w:bCs/>
                <w:color w:val="auto"/>
                <w:sz w:val="24"/>
              </w:rPr>
            </w:pPr>
            <w:r>
              <w:rPr>
                <w:bCs/>
                <w:color w:val="auto"/>
                <w:sz w:val="24"/>
              </w:rPr>
              <w:t>根据《建设项目环境风险评价技术导则》（HJ169-2018）对物质临界量的规定计算所涉及的每种危险物质在厂界内的最大存在总量与其在附录B中对应临界量的比值Q。在不同厂区的同一种物质，按其在厂界内的最大存在总量计算。</w:t>
            </w:r>
          </w:p>
          <w:p w14:paraId="17382E6C">
            <w:pPr>
              <w:autoSpaceDE w:val="0"/>
              <w:autoSpaceDN w:val="0"/>
              <w:adjustRightInd w:val="0"/>
              <w:spacing w:line="360" w:lineRule="auto"/>
              <w:ind w:firstLine="480" w:firstLineChars="200"/>
              <w:outlineLvl w:val="3"/>
              <w:rPr>
                <w:bCs/>
                <w:color w:val="auto"/>
                <w:sz w:val="24"/>
              </w:rPr>
            </w:pPr>
            <w:r>
              <w:rPr>
                <w:bCs/>
                <w:color w:val="auto"/>
                <w:sz w:val="24"/>
              </w:rPr>
              <w:t>单元内存在的危险物质为多品种时，则按下式计算。</w:t>
            </w:r>
          </w:p>
          <w:p w14:paraId="17382E6D">
            <w:pPr>
              <w:autoSpaceDE w:val="0"/>
              <w:autoSpaceDN w:val="0"/>
              <w:adjustRightInd w:val="0"/>
              <w:spacing w:line="360" w:lineRule="auto"/>
              <w:ind w:firstLine="482" w:firstLineChars="200"/>
              <w:jc w:val="center"/>
              <w:outlineLvl w:val="3"/>
              <w:rPr>
                <w:b/>
                <w:color w:val="auto"/>
                <w:sz w:val="24"/>
              </w:rPr>
            </w:pPr>
            <w:r>
              <w:rPr>
                <w:b/>
                <w:color w:val="auto"/>
                <w:position w:val="-30"/>
                <w:sz w:val="24"/>
              </w:rPr>
              <w:object>
                <v:shape id="_x0000_i1026" o:spt="75" type="#_x0000_t75" style="height:34pt;width:105.1pt;" o:ole="t" filled="f" coordsize="21600,21600">
                  <v:path/>
                  <v:fill on="f" focussize="0,0"/>
                  <v:stroke/>
                  <v:imagedata r:id="rId26" o:title=""/>
                  <o:lock v:ext="edit" aspectratio="t"/>
                  <w10:wrap type="none"/>
                  <w10:anchorlock/>
                </v:shape>
                <o:OLEObject Type="Embed" ProgID="Equation.KSEE3" ShapeID="_x0000_i1026" DrawAspect="Content" ObjectID="_1468075726" r:id="rId25">
                  <o:LockedField>false</o:LockedField>
                </o:OLEObject>
              </w:object>
            </w:r>
          </w:p>
          <w:p w14:paraId="17382E6E">
            <w:pPr>
              <w:spacing w:line="360" w:lineRule="auto"/>
              <w:ind w:firstLine="480" w:firstLineChars="200"/>
              <w:rPr>
                <w:color w:val="auto"/>
                <w:kern w:val="0"/>
                <w:sz w:val="24"/>
              </w:rPr>
            </w:pPr>
            <w:r>
              <w:rPr>
                <w:color w:val="auto"/>
                <w:kern w:val="0"/>
                <w:sz w:val="24"/>
              </w:rPr>
              <w:t>式中：q</w:t>
            </w:r>
            <w:r>
              <w:rPr>
                <w:color w:val="auto"/>
                <w:kern w:val="0"/>
                <w:sz w:val="24"/>
                <w:vertAlign w:val="subscript"/>
              </w:rPr>
              <w:t>1</w:t>
            </w:r>
            <w:r>
              <w:rPr>
                <w:color w:val="auto"/>
                <w:kern w:val="0"/>
                <w:sz w:val="24"/>
              </w:rPr>
              <w:t>、q</w:t>
            </w:r>
            <w:r>
              <w:rPr>
                <w:color w:val="auto"/>
                <w:kern w:val="0"/>
                <w:sz w:val="24"/>
                <w:vertAlign w:val="subscript"/>
              </w:rPr>
              <w:t>2</w:t>
            </w:r>
            <w:r>
              <w:rPr>
                <w:color w:val="auto"/>
                <w:kern w:val="0"/>
                <w:sz w:val="24"/>
              </w:rPr>
              <w:t>……q</w:t>
            </w:r>
            <w:r>
              <w:rPr>
                <w:color w:val="auto"/>
                <w:kern w:val="0"/>
                <w:sz w:val="24"/>
                <w:vertAlign w:val="subscript"/>
              </w:rPr>
              <w:t>n</w:t>
            </w:r>
            <w:r>
              <w:rPr>
                <w:color w:val="auto"/>
                <w:kern w:val="0"/>
                <w:sz w:val="24"/>
              </w:rPr>
              <w:t>——每种危险物质实际存在量，t；</w:t>
            </w:r>
          </w:p>
          <w:p w14:paraId="17382E6F">
            <w:pPr>
              <w:spacing w:line="360" w:lineRule="auto"/>
              <w:ind w:firstLine="480" w:firstLineChars="200"/>
              <w:rPr>
                <w:color w:val="auto"/>
                <w:kern w:val="0"/>
                <w:sz w:val="24"/>
              </w:rPr>
            </w:pPr>
            <w:r>
              <w:rPr>
                <w:color w:val="auto"/>
                <w:kern w:val="0"/>
                <w:sz w:val="24"/>
              </w:rPr>
              <w:t>Q</w:t>
            </w:r>
            <w:r>
              <w:rPr>
                <w:color w:val="auto"/>
                <w:kern w:val="0"/>
                <w:sz w:val="24"/>
                <w:vertAlign w:val="subscript"/>
              </w:rPr>
              <w:t>1</w:t>
            </w:r>
            <w:r>
              <w:rPr>
                <w:color w:val="auto"/>
                <w:kern w:val="0"/>
                <w:sz w:val="24"/>
              </w:rPr>
              <w:t>、Q</w:t>
            </w:r>
            <w:r>
              <w:rPr>
                <w:color w:val="auto"/>
                <w:kern w:val="0"/>
                <w:sz w:val="24"/>
                <w:vertAlign w:val="subscript"/>
              </w:rPr>
              <w:t>2</w:t>
            </w:r>
            <w:r>
              <w:rPr>
                <w:color w:val="auto"/>
                <w:kern w:val="0"/>
                <w:sz w:val="24"/>
              </w:rPr>
              <w:t>……Q</w:t>
            </w:r>
            <w:r>
              <w:rPr>
                <w:color w:val="auto"/>
                <w:kern w:val="0"/>
                <w:sz w:val="24"/>
                <w:vertAlign w:val="subscript"/>
              </w:rPr>
              <w:t>n</w:t>
            </w:r>
            <w:r>
              <w:rPr>
                <w:color w:val="auto"/>
                <w:kern w:val="0"/>
                <w:sz w:val="24"/>
              </w:rPr>
              <w:t>——与各危险物质相对应的生产场所或贮存区的临界量，t。</w:t>
            </w:r>
          </w:p>
          <w:p w14:paraId="17382E70">
            <w:pPr>
              <w:spacing w:line="360" w:lineRule="auto"/>
              <w:ind w:firstLine="480" w:firstLineChars="200"/>
              <w:rPr>
                <w:color w:val="auto"/>
                <w:kern w:val="0"/>
                <w:sz w:val="24"/>
              </w:rPr>
            </w:pPr>
            <w:r>
              <w:rPr>
                <w:color w:val="auto"/>
                <w:kern w:val="0"/>
                <w:sz w:val="24"/>
              </w:rPr>
              <w:t>本项目危险物质风险识别及Q值计算结果见下表。</w:t>
            </w:r>
          </w:p>
          <w:p w14:paraId="17382E71">
            <w:pPr>
              <w:autoSpaceDE w:val="0"/>
              <w:autoSpaceDN w:val="0"/>
              <w:adjustRightInd w:val="0"/>
              <w:snapToGrid w:val="0"/>
              <w:jc w:val="center"/>
              <w:rPr>
                <w:b/>
                <w:bCs/>
                <w:color w:val="auto"/>
                <w:sz w:val="24"/>
              </w:rPr>
            </w:pPr>
            <w:r>
              <w:rPr>
                <w:rFonts w:hint="eastAsia"/>
                <w:b/>
                <w:bCs/>
                <w:color w:val="auto"/>
                <w:sz w:val="24"/>
              </w:rPr>
              <w:t>表4-28 建设项目Q值确定表</w:t>
            </w:r>
          </w:p>
          <w:tbl>
            <w:tblPr>
              <w:tblStyle w:val="89"/>
              <w:tblW w:w="7838" w:type="dxa"/>
              <w:tblInd w:w="5"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014"/>
              <w:gridCol w:w="1598"/>
              <w:gridCol w:w="1124"/>
              <w:gridCol w:w="1488"/>
              <w:gridCol w:w="1307"/>
              <w:gridCol w:w="1307"/>
            </w:tblGrid>
            <w:tr w14:paraId="17382E7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4" w:type="dxa"/>
                  <w:vAlign w:val="center"/>
                </w:tcPr>
                <w:p w14:paraId="17382E72">
                  <w:pPr>
                    <w:autoSpaceDE w:val="0"/>
                    <w:autoSpaceDN w:val="0"/>
                    <w:adjustRightInd w:val="0"/>
                    <w:spacing w:line="280" w:lineRule="exact"/>
                    <w:jc w:val="center"/>
                    <w:outlineLvl w:val="3"/>
                    <w:rPr>
                      <w:b/>
                      <w:bCs/>
                      <w:color w:val="auto"/>
                      <w:szCs w:val="21"/>
                    </w:rPr>
                  </w:pPr>
                  <w:r>
                    <w:rPr>
                      <w:b/>
                      <w:bCs/>
                      <w:color w:val="auto"/>
                      <w:szCs w:val="21"/>
                    </w:rPr>
                    <w:t>序号</w:t>
                  </w:r>
                </w:p>
              </w:tc>
              <w:tc>
                <w:tcPr>
                  <w:tcW w:w="1598" w:type="dxa"/>
                  <w:vAlign w:val="center"/>
                </w:tcPr>
                <w:p w14:paraId="17382E73">
                  <w:pPr>
                    <w:autoSpaceDE w:val="0"/>
                    <w:autoSpaceDN w:val="0"/>
                    <w:adjustRightInd w:val="0"/>
                    <w:spacing w:line="280" w:lineRule="exact"/>
                    <w:jc w:val="center"/>
                    <w:outlineLvl w:val="3"/>
                    <w:rPr>
                      <w:b/>
                      <w:bCs/>
                      <w:color w:val="auto"/>
                      <w:szCs w:val="21"/>
                    </w:rPr>
                  </w:pPr>
                  <w:r>
                    <w:rPr>
                      <w:b/>
                      <w:bCs/>
                      <w:color w:val="auto"/>
                      <w:szCs w:val="21"/>
                    </w:rPr>
                    <w:t>危险物资名称</w:t>
                  </w:r>
                </w:p>
              </w:tc>
              <w:tc>
                <w:tcPr>
                  <w:tcW w:w="1124" w:type="dxa"/>
                  <w:vAlign w:val="center"/>
                </w:tcPr>
                <w:p w14:paraId="17382E74">
                  <w:pPr>
                    <w:autoSpaceDE w:val="0"/>
                    <w:autoSpaceDN w:val="0"/>
                    <w:adjustRightInd w:val="0"/>
                    <w:spacing w:line="280" w:lineRule="exact"/>
                    <w:jc w:val="center"/>
                    <w:outlineLvl w:val="3"/>
                    <w:rPr>
                      <w:b/>
                      <w:bCs/>
                      <w:color w:val="auto"/>
                      <w:szCs w:val="21"/>
                    </w:rPr>
                  </w:pPr>
                  <w:r>
                    <w:rPr>
                      <w:b/>
                      <w:bCs/>
                      <w:color w:val="auto"/>
                      <w:szCs w:val="21"/>
                    </w:rPr>
                    <w:t>CAS</w:t>
                  </w:r>
                </w:p>
              </w:tc>
              <w:tc>
                <w:tcPr>
                  <w:tcW w:w="1488" w:type="dxa"/>
                  <w:vAlign w:val="center"/>
                </w:tcPr>
                <w:p w14:paraId="17382E75">
                  <w:pPr>
                    <w:autoSpaceDE w:val="0"/>
                    <w:autoSpaceDN w:val="0"/>
                    <w:adjustRightInd w:val="0"/>
                    <w:spacing w:line="280" w:lineRule="exact"/>
                    <w:jc w:val="center"/>
                    <w:outlineLvl w:val="3"/>
                    <w:rPr>
                      <w:b/>
                      <w:bCs/>
                      <w:color w:val="auto"/>
                      <w:szCs w:val="21"/>
                    </w:rPr>
                  </w:pPr>
                  <w:r>
                    <w:rPr>
                      <w:b/>
                      <w:bCs/>
                      <w:color w:val="auto"/>
                      <w:szCs w:val="21"/>
                    </w:rPr>
                    <w:t>最大存在总量q</w:t>
                  </w:r>
                  <w:r>
                    <w:rPr>
                      <w:b/>
                      <w:bCs/>
                      <w:color w:val="auto"/>
                      <w:szCs w:val="21"/>
                      <w:vertAlign w:val="subscript"/>
                    </w:rPr>
                    <w:t>n</w:t>
                  </w:r>
                  <w:r>
                    <w:rPr>
                      <w:b/>
                      <w:bCs/>
                      <w:color w:val="auto"/>
                      <w:szCs w:val="21"/>
                    </w:rPr>
                    <w:t>/t</w:t>
                  </w:r>
                </w:p>
              </w:tc>
              <w:tc>
                <w:tcPr>
                  <w:tcW w:w="1307" w:type="dxa"/>
                  <w:vAlign w:val="center"/>
                </w:tcPr>
                <w:p w14:paraId="17382E76">
                  <w:pPr>
                    <w:autoSpaceDE w:val="0"/>
                    <w:autoSpaceDN w:val="0"/>
                    <w:adjustRightInd w:val="0"/>
                    <w:spacing w:line="280" w:lineRule="exact"/>
                    <w:jc w:val="center"/>
                    <w:outlineLvl w:val="3"/>
                    <w:rPr>
                      <w:b/>
                      <w:bCs/>
                      <w:color w:val="auto"/>
                      <w:szCs w:val="21"/>
                    </w:rPr>
                  </w:pPr>
                  <w:r>
                    <w:rPr>
                      <w:b/>
                      <w:bCs/>
                      <w:color w:val="auto"/>
                      <w:szCs w:val="21"/>
                    </w:rPr>
                    <w:t>临界量Q</w:t>
                  </w:r>
                  <w:r>
                    <w:rPr>
                      <w:b/>
                      <w:bCs/>
                      <w:color w:val="auto"/>
                      <w:szCs w:val="21"/>
                      <w:vertAlign w:val="subscript"/>
                    </w:rPr>
                    <w:t>n</w:t>
                  </w:r>
                  <w:r>
                    <w:rPr>
                      <w:b/>
                      <w:bCs/>
                      <w:color w:val="auto"/>
                      <w:szCs w:val="21"/>
                    </w:rPr>
                    <w:t>/t</w:t>
                  </w:r>
                </w:p>
              </w:tc>
              <w:tc>
                <w:tcPr>
                  <w:tcW w:w="1307" w:type="dxa"/>
                  <w:vAlign w:val="center"/>
                </w:tcPr>
                <w:p w14:paraId="17382E77">
                  <w:pPr>
                    <w:autoSpaceDE w:val="0"/>
                    <w:autoSpaceDN w:val="0"/>
                    <w:adjustRightInd w:val="0"/>
                    <w:spacing w:line="280" w:lineRule="exact"/>
                    <w:jc w:val="center"/>
                    <w:outlineLvl w:val="3"/>
                    <w:rPr>
                      <w:b/>
                      <w:bCs/>
                      <w:color w:val="auto"/>
                      <w:szCs w:val="21"/>
                    </w:rPr>
                  </w:pPr>
                  <w:r>
                    <w:rPr>
                      <w:b/>
                      <w:bCs/>
                      <w:color w:val="auto"/>
                      <w:szCs w:val="21"/>
                    </w:rPr>
                    <w:t>该种危险物质Q值</w:t>
                  </w:r>
                </w:p>
              </w:tc>
            </w:tr>
            <w:tr w14:paraId="17382E7F">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4" w:type="dxa"/>
                  <w:vAlign w:val="center"/>
                </w:tcPr>
                <w:p w14:paraId="17382E79">
                  <w:pPr>
                    <w:autoSpaceDE w:val="0"/>
                    <w:autoSpaceDN w:val="0"/>
                    <w:adjustRightInd w:val="0"/>
                    <w:spacing w:line="280" w:lineRule="exact"/>
                    <w:jc w:val="center"/>
                    <w:outlineLvl w:val="3"/>
                    <w:rPr>
                      <w:color w:val="auto"/>
                      <w:szCs w:val="21"/>
                    </w:rPr>
                  </w:pPr>
                  <w:r>
                    <w:rPr>
                      <w:color w:val="auto"/>
                      <w:szCs w:val="21"/>
                    </w:rPr>
                    <w:t>1</w:t>
                  </w:r>
                </w:p>
              </w:tc>
              <w:tc>
                <w:tcPr>
                  <w:tcW w:w="1598" w:type="dxa"/>
                  <w:vAlign w:val="center"/>
                </w:tcPr>
                <w:p w14:paraId="17382E7A">
                  <w:pPr>
                    <w:autoSpaceDE w:val="0"/>
                    <w:autoSpaceDN w:val="0"/>
                    <w:adjustRightInd w:val="0"/>
                    <w:spacing w:line="280" w:lineRule="exact"/>
                    <w:jc w:val="center"/>
                    <w:outlineLvl w:val="3"/>
                    <w:rPr>
                      <w:color w:val="auto"/>
                      <w:szCs w:val="21"/>
                    </w:rPr>
                  </w:pPr>
                  <w:r>
                    <w:rPr>
                      <w:color w:val="auto"/>
                      <w:szCs w:val="21"/>
                    </w:rPr>
                    <w:t>危险废物</w:t>
                  </w:r>
                </w:p>
              </w:tc>
              <w:tc>
                <w:tcPr>
                  <w:tcW w:w="1124" w:type="dxa"/>
                  <w:vAlign w:val="center"/>
                </w:tcPr>
                <w:p w14:paraId="17382E7B">
                  <w:pPr>
                    <w:autoSpaceDE w:val="0"/>
                    <w:autoSpaceDN w:val="0"/>
                    <w:adjustRightInd w:val="0"/>
                    <w:spacing w:line="280" w:lineRule="exact"/>
                    <w:jc w:val="center"/>
                    <w:outlineLvl w:val="3"/>
                    <w:rPr>
                      <w:color w:val="auto"/>
                      <w:szCs w:val="21"/>
                    </w:rPr>
                  </w:pPr>
                  <w:r>
                    <w:rPr>
                      <w:color w:val="auto"/>
                      <w:szCs w:val="21"/>
                    </w:rPr>
                    <w:t>/</w:t>
                  </w:r>
                </w:p>
              </w:tc>
              <w:tc>
                <w:tcPr>
                  <w:tcW w:w="1488" w:type="dxa"/>
                  <w:vAlign w:val="center"/>
                </w:tcPr>
                <w:p w14:paraId="17382E7C">
                  <w:pPr>
                    <w:autoSpaceDE w:val="0"/>
                    <w:autoSpaceDN w:val="0"/>
                    <w:adjustRightInd w:val="0"/>
                    <w:spacing w:line="280" w:lineRule="exact"/>
                    <w:jc w:val="center"/>
                    <w:outlineLvl w:val="3"/>
                    <w:rPr>
                      <w:color w:val="auto"/>
                      <w:szCs w:val="21"/>
                    </w:rPr>
                  </w:pPr>
                  <w:r>
                    <w:rPr>
                      <w:rFonts w:hint="eastAsia"/>
                      <w:color w:val="auto"/>
                      <w:szCs w:val="21"/>
                    </w:rPr>
                    <w:t>1.4836</w:t>
                  </w:r>
                </w:p>
              </w:tc>
              <w:tc>
                <w:tcPr>
                  <w:tcW w:w="1307" w:type="dxa"/>
                  <w:vAlign w:val="center"/>
                </w:tcPr>
                <w:p w14:paraId="17382E7D">
                  <w:pPr>
                    <w:autoSpaceDE w:val="0"/>
                    <w:autoSpaceDN w:val="0"/>
                    <w:adjustRightInd w:val="0"/>
                    <w:spacing w:line="280" w:lineRule="exact"/>
                    <w:jc w:val="center"/>
                    <w:outlineLvl w:val="3"/>
                    <w:rPr>
                      <w:color w:val="auto"/>
                      <w:szCs w:val="21"/>
                    </w:rPr>
                  </w:pPr>
                  <w:r>
                    <w:rPr>
                      <w:color w:val="auto"/>
                      <w:szCs w:val="21"/>
                    </w:rPr>
                    <w:t>50</w:t>
                  </w:r>
                </w:p>
              </w:tc>
              <w:tc>
                <w:tcPr>
                  <w:tcW w:w="1307" w:type="dxa"/>
                  <w:vAlign w:val="center"/>
                </w:tcPr>
                <w:p w14:paraId="17382E7E">
                  <w:pPr>
                    <w:autoSpaceDE w:val="0"/>
                    <w:autoSpaceDN w:val="0"/>
                    <w:adjustRightInd w:val="0"/>
                    <w:spacing w:line="280" w:lineRule="exact"/>
                    <w:jc w:val="center"/>
                    <w:outlineLvl w:val="3"/>
                    <w:rPr>
                      <w:color w:val="auto"/>
                      <w:szCs w:val="21"/>
                    </w:rPr>
                  </w:pPr>
                  <w:r>
                    <w:rPr>
                      <w:color w:val="auto"/>
                      <w:szCs w:val="21"/>
                    </w:rPr>
                    <w:t xml:space="preserve">0.02967 </w:t>
                  </w:r>
                </w:p>
              </w:tc>
            </w:tr>
            <w:tr w14:paraId="17382E8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4" w:type="dxa"/>
                  <w:vAlign w:val="center"/>
                </w:tcPr>
                <w:p w14:paraId="17382E80">
                  <w:pPr>
                    <w:autoSpaceDE w:val="0"/>
                    <w:autoSpaceDN w:val="0"/>
                    <w:adjustRightInd w:val="0"/>
                    <w:spacing w:line="280" w:lineRule="exact"/>
                    <w:jc w:val="center"/>
                    <w:outlineLvl w:val="3"/>
                    <w:rPr>
                      <w:color w:val="auto"/>
                      <w:szCs w:val="21"/>
                    </w:rPr>
                  </w:pPr>
                  <w:r>
                    <w:rPr>
                      <w:color w:val="auto"/>
                      <w:szCs w:val="21"/>
                    </w:rPr>
                    <w:t>2</w:t>
                  </w:r>
                </w:p>
              </w:tc>
              <w:tc>
                <w:tcPr>
                  <w:tcW w:w="1598" w:type="dxa"/>
                  <w:vAlign w:val="center"/>
                </w:tcPr>
                <w:p w14:paraId="17382E81">
                  <w:pPr>
                    <w:widowControl/>
                    <w:adjustRightInd w:val="0"/>
                    <w:snapToGrid w:val="0"/>
                    <w:ind w:left="-105" w:leftChars="-50" w:right="-105" w:rightChars="-50"/>
                    <w:jc w:val="center"/>
                    <w:rPr>
                      <w:color w:val="auto"/>
                      <w:szCs w:val="21"/>
                    </w:rPr>
                  </w:pPr>
                  <w:r>
                    <w:rPr>
                      <w:rFonts w:hint="eastAsia"/>
                      <w:color w:val="auto"/>
                      <w:szCs w:val="21"/>
                    </w:rPr>
                    <w:t>不饱和聚酯树脂</w:t>
                  </w:r>
                </w:p>
              </w:tc>
              <w:tc>
                <w:tcPr>
                  <w:tcW w:w="1124" w:type="dxa"/>
                  <w:vAlign w:val="center"/>
                </w:tcPr>
                <w:p w14:paraId="17382E82">
                  <w:pPr>
                    <w:autoSpaceDE w:val="0"/>
                    <w:autoSpaceDN w:val="0"/>
                    <w:adjustRightInd w:val="0"/>
                    <w:spacing w:line="280" w:lineRule="exact"/>
                    <w:jc w:val="center"/>
                    <w:outlineLvl w:val="3"/>
                    <w:rPr>
                      <w:color w:val="auto"/>
                      <w:szCs w:val="21"/>
                    </w:rPr>
                  </w:pPr>
                  <w:r>
                    <w:rPr>
                      <w:color w:val="auto"/>
                      <w:szCs w:val="21"/>
                    </w:rPr>
                    <w:t>/</w:t>
                  </w:r>
                </w:p>
              </w:tc>
              <w:tc>
                <w:tcPr>
                  <w:tcW w:w="1488" w:type="dxa"/>
                  <w:vAlign w:val="center"/>
                </w:tcPr>
                <w:p w14:paraId="17382E83">
                  <w:pPr>
                    <w:widowControl/>
                    <w:adjustRightInd w:val="0"/>
                    <w:snapToGrid w:val="0"/>
                    <w:ind w:left="-105" w:leftChars="-50" w:right="-105" w:rightChars="-50"/>
                    <w:jc w:val="center"/>
                    <w:rPr>
                      <w:color w:val="auto"/>
                      <w:szCs w:val="21"/>
                    </w:rPr>
                  </w:pPr>
                  <w:r>
                    <w:rPr>
                      <w:rFonts w:hint="eastAsia"/>
                      <w:color w:val="auto"/>
                      <w:kern w:val="0"/>
                      <w:szCs w:val="21"/>
                    </w:rPr>
                    <w:t>5</w:t>
                  </w:r>
                </w:p>
              </w:tc>
              <w:tc>
                <w:tcPr>
                  <w:tcW w:w="1307" w:type="dxa"/>
                  <w:vAlign w:val="center"/>
                </w:tcPr>
                <w:p w14:paraId="17382E84">
                  <w:pPr>
                    <w:autoSpaceDE w:val="0"/>
                    <w:autoSpaceDN w:val="0"/>
                    <w:adjustRightInd w:val="0"/>
                    <w:spacing w:line="280" w:lineRule="exact"/>
                    <w:jc w:val="center"/>
                    <w:outlineLvl w:val="3"/>
                    <w:rPr>
                      <w:color w:val="auto"/>
                      <w:szCs w:val="21"/>
                    </w:rPr>
                  </w:pPr>
                  <w:r>
                    <w:rPr>
                      <w:rFonts w:hint="eastAsia"/>
                      <w:color w:val="auto"/>
                      <w:szCs w:val="21"/>
                    </w:rPr>
                    <w:t>50</w:t>
                  </w:r>
                </w:p>
              </w:tc>
              <w:tc>
                <w:tcPr>
                  <w:tcW w:w="1307" w:type="dxa"/>
                  <w:vAlign w:val="center"/>
                </w:tcPr>
                <w:p w14:paraId="17382E85">
                  <w:pPr>
                    <w:autoSpaceDE w:val="0"/>
                    <w:autoSpaceDN w:val="0"/>
                    <w:adjustRightInd w:val="0"/>
                    <w:spacing w:line="280" w:lineRule="exact"/>
                    <w:jc w:val="center"/>
                    <w:outlineLvl w:val="3"/>
                    <w:rPr>
                      <w:color w:val="auto"/>
                      <w:szCs w:val="21"/>
                    </w:rPr>
                  </w:pPr>
                  <w:r>
                    <w:rPr>
                      <w:color w:val="auto"/>
                      <w:szCs w:val="21"/>
                    </w:rPr>
                    <w:t>0.1</w:t>
                  </w:r>
                </w:p>
              </w:tc>
            </w:tr>
            <w:tr w14:paraId="17382E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4" w:type="dxa"/>
                  <w:vAlign w:val="center"/>
                </w:tcPr>
                <w:p w14:paraId="17382E87">
                  <w:pPr>
                    <w:autoSpaceDE w:val="0"/>
                    <w:autoSpaceDN w:val="0"/>
                    <w:adjustRightInd w:val="0"/>
                    <w:spacing w:line="280" w:lineRule="exact"/>
                    <w:jc w:val="center"/>
                    <w:outlineLvl w:val="3"/>
                    <w:rPr>
                      <w:color w:val="auto"/>
                      <w:szCs w:val="21"/>
                    </w:rPr>
                  </w:pPr>
                  <w:r>
                    <w:rPr>
                      <w:color w:val="auto"/>
                      <w:szCs w:val="21"/>
                    </w:rPr>
                    <w:t>3</w:t>
                  </w:r>
                </w:p>
              </w:tc>
              <w:tc>
                <w:tcPr>
                  <w:tcW w:w="1598" w:type="dxa"/>
                  <w:vAlign w:val="center"/>
                </w:tcPr>
                <w:p w14:paraId="17382E88">
                  <w:pPr>
                    <w:widowControl/>
                    <w:adjustRightInd w:val="0"/>
                    <w:snapToGrid w:val="0"/>
                    <w:ind w:left="-105" w:leftChars="-50" w:right="-105" w:rightChars="-50"/>
                    <w:jc w:val="center"/>
                    <w:rPr>
                      <w:color w:val="auto"/>
                      <w:szCs w:val="21"/>
                    </w:rPr>
                  </w:pPr>
                  <w:r>
                    <w:rPr>
                      <w:rFonts w:hint="eastAsia"/>
                      <w:color w:val="auto"/>
                      <w:kern w:val="0"/>
                      <w:szCs w:val="21"/>
                    </w:rPr>
                    <w:t>固化剂</w:t>
                  </w:r>
                </w:p>
              </w:tc>
              <w:tc>
                <w:tcPr>
                  <w:tcW w:w="1124" w:type="dxa"/>
                  <w:vAlign w:val="center"/>
                </w:tcPr>
                <w:p w14:paraId="17382E89">
                  <w:pPr>
                    <w:pStyle w:val="107"/>
                    <w:snapToGrid/>
                    <w:spacing w:line="280" w:lineRule="exact"/>
                    <w:ind w:firstLine="0" w:firstLineChars="0"/>
                    <w:jc w:val="center"/>
                    <w:rPr>
                      <w:rFonts w:ascii="Times New Roman" w:hAnsi="Times New Roman" w:cs="Times New Roman"/>
                      <w:b w:val="0"/>
                      <w:color w:val="auto"/>
                      <w:sz w:val="21"/>
                      <w:szCs w:val="21"/>
                    </w:rPr>
                  </w:pPr>
                  <w:r>
                    <w:rPr>
                      <w:rFonts w:ascii="Times New Roman" w:hAnsi="Times New Roman" w:cs="Times New Roman"/>
                      <w:color w:val="auto"/>
                      <w:sz w:val="21"/>
                      <w:szCs w:val="21"/>
                    </w:rPr>
                    <w:t>/</w:t>
                  </w:r>
                </w:p>
              </w:tc>
              <w:tc>
                <w:tcPr>
                  <w:tcW w:w="1488" w:type="dxa"/>
                  <w:vAlign w:val="center"/>
                </w:tcPr>
                <w:p w14:paraId="17382E8A">
                  <w:pPr>
                    <w:widowControl/>
                    <w:adjustRightInd w:val="0"/>
                    <w:snapToGrid w:val="0"/>
                    <w:ind w:left="-105" w:leftChars="-50" w:right="-105" w:rightChars="-50"/>
                    <w:jc w:val="center"/>
                    <w:rPr>
                      <w:color w:val="auto"/>
                      <w:szCs w:val="21"/>
                    </w:rPr>
                  </w:pPr>
                  <w:r>
                    <w:rPr>
                      <w:rFonts w:hint="eastAsia"/>
                      <w:color w:val="auto"/>
                      <w:kern w:val="0"/>
                      <w:szCs w:val="21"/>
                    </w:rPr>
                    <w:t>1.5</w:t>
                  </w:r>
                </w:p>
              </w:tc>
              <w:tc>
                <w:tcPr>
                  <w:tcW w:w="1307" w:type="dxa"/>
                  <w:vAlign w:val="center"/>
                </w:tcPr>
                <w:p w14:paraId="17382E8B">
                  <w:pPr>
                    <w:pStyle w:val="107"/>
                    <w:snapToGrid/>
                    <w:spacing w:line="280" w:lineRule="exact"/>
                    <w:ind w:firstLine="0" w:firstLineChars="0"/>
                    <w:jc w:val="center"/>
                    <w:rPr>
                      <w:rFonts w:ascii="Times New Roman" w:hAnsi="Times New Roman" w:cs="Times New Roman"/>
                      <w:b w:val="0"/>
                      <w:color w:val="auto"/>
                      <w:sz w:val="21"/>
                      <w:szCs w:val="21"/>
                    </w:rPr>
                  </w:pPr>
                  <w:r>
                    <w:rPr>
                      <w:rFonts w:hint="eastAsia" w:ascii="Times New Roman" w:hAnsi="Times New Roman" w:cs="Times New Roman"/>
                      <w:b w:val="0"/>
                      <w:color w:val="auto"/>
                      <w:sz w:val="21"/>
                      <w:szCs w:val="21"/>
                    </w:rPr>
                    <w:t>50</w:t>
                  </w:r>
                </w:p>
              </w:tc>
              <w:tc>
                <w:tcPr>
                  <w:tcW w:w="1307" w:type="dxa"/>
                  <w:vAlign w:val="center"/>
                </w:tcPr>
                <w:p w14:paraId="17382E8C">
                  <w:pPr>
                    <w:autoSpaceDE w:val="0"/>
                    <w:autoSpaceDN w:val="0"/>
                    <w:adjustRightInd w:val="0"/>
                    <w:spacing w:line="280" w:lineRule="exact"/>
                    <w:jc w:val="center"/>
                    <w:outlineLvl w:val="3"/>
                    <w:rPr>
                      <w:color w:val="auto"/>
                      <w:szCs w:val="21"/>
                    </w:rPr>
                  </w:pPr>
                  <w:r>
                    <w:rPr>
                      <w:color w:val="auto"/>
                      <w:szCs w:val="21"/>
                    </w:rPr>
                    <w:t>0.03</w:t>
                  </w:r>
                </w:p>
              </w:tc>
            </w:tr>
            <w:tr w14:paraId="17382E94">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4" w:type="dxa"/>
                  <w:vAlign w:val="center"/>
                </w:tcPr>
                <w:p w14:paraId="17382E8E">
                  <w:pPr>
                    <w:autoSpaceDE w:val="0"/>
                    <w:autoSpaceDN w:val="0"/>
                    <w:adjustRightInd w:val="0"/>
                    <w:spacing w:line="280" w:lineRule="exact"/>
                    <w:jc w:val="center"/>
                    <w:outlineLvl w:val="3"/>
                    <w:rPr>
                      <w:color w:val="auto"/>
                      <w:szCs w:val="21"/>
                    </w:rPr>
                  </w:pPr>
                  <w:r>
                    <w:rPr>
                      <w:rFonts w:hint="eastAsia"/>
                      <w:color w:val="auto"/>
                      <w:szCs w:val="21"/>
                    </w:rPr>
                    <w:t>4</w:t>
                  </w:r>
                </w:p>
              </w:tc>
              <w:tc>
                <w:tcPr>
                  <w:tcW w:w="1598" w:type="dxa"/>
                  <w:vAlign w:val="center"/>
                </w:tcPr>
                <w:p w14:paraId="17382E8F">
                  <w:pPr>
                    <w:widowControl/>
                    <w:adjustRightInd w:val="0"/>
                    <w:snapToGrid w:val="0"/>
                    <w:ind w:left="-105" w:leftChars="-50" w:right="-105" w:rightChars="-50"/>
                    <w:jc w:val="center"/>
                    <w:rPr>
                      <w:color w:val="auto"/>
                      <w:szCs w:val="21"/>
                    </w:rPr>
                  </w:pPr>
                  <w:r>
                    <w:rPr>
                      <w:rFonts w:hint="eastAsia"/>
                      <w:color w:val="auto"/>
                      <w:szCs w:val="21"/>
                    </w:rPr>
                    <w:t>机油</w:t>
                  </w:r>
                </w:p>
              </w:tc>
              <w:tc>
                <w:tcPr>
                  <w:tcW w:w="1124" w:type="dxa"/>
                  <w:vAlign w:val="center"/>
                </w:tcPr>
                <w:p w14:paraId="17382E90">
                  <w:pPr>
                    <w:pStyle w:val="107"/>
                    <w:snapToGrid/>
                    <w:spacing w:line="280" w:lineRule="exact"/>
                    <w:ind w:firstLine="0" w:firstLineChars="0"/>
                    <w:jc w:val="center"/>
                    <w:rPr>
                      <w:rFonts w:ascii="Times New Roman" w:hAnsi="Times New Roman" w:cs="Times New Roman"/>
                      <w:color w:val="auto"/>
                      <w:sz w:val="21"/>
                      <w:szCs w:val="21"/>
                    </w:rPr>
                  </w:pPr>
                </w:p>
              </w:tc>
              <w:tc>
                <w:tcPr>
                  <w:tcW w:w="1488" w:type="dxa"/>
                  <w:vAlign w:val="center"/>
                </w:tcPr>
                <w:p w14:paraId="17382E91">
                  <w:pPr>
                    <w:widowControl/>
                    <w:adjustRightInd w:val="0"/>
                    <w:snapToGrid w:val="0"/>
                    <w:ind w:left="-105" w:leftChars="-50" w:right="-105" w:rightChars="-50"/>
                    <w:jc w:val="center"/>
                    <w:rPr>
                      <w:color w:val="auto"/>
                      <w:szCs w:val="21"/>
                    </w:rPr>
                  </w:pPr>
                  <w:r>
                    <w:rPr>
                      <w:rFonts w:hint="eastAsia"/>
                      <w:color w:val="auto"/>
                      <w:kern w:val="0"/>
                      <w:szCs w:val="21"/>
                    </w:rPr>
                    <w:t>0.3</w:t>
                  </w:r>
                </w:p>
              </w:tc>
              <w:tc>
                <w:tcPr>
                  <w:tcW w:w="1307" w:type="dxa"/>
                  <w:vAlign w:val="center"/>
                </w:tcPr>
                <w:p w14:paraId="17382E92">
                  <w:pPr>
                    <w:pStyle w:val="107"/>
                    <w:snapToGrid/>
                    <w:spacing w:line="280" w:lineRule="exact"/>
                    <w:ind w:firstLine="0" w:firstLineChars="0"/>
                    <w:jc w:val="center"/>
                    <w:rPr>
                      <w:rFonts w:ascii="Times New Roman" w:hAnsi="Times New Roman" w:cs="Times New Roman"/>
                      <w:b w:val="0"/>
                      <w:color w:val="auto"/>
                      <w:sz w:val="21"/>
                      <w:szCs w:val="21"/>
                    </w:rPr>
                  </w:pPr>
                  <w:r>
                    <w:rPr>
                      <w:rFonts w:hint="eastAsia" w:ascii="Times New Roman" w:hAnsi="Times New Roman" w:cs="Times New Roman"/>
                      <w:b w:val="0"/>
                      <w:color w:val="auto"/>
                      <w:sz w:val="21"/>
                      <w:szCs w:val="21"/>
                    </w:rPr>
                    <w:t>2500</w:t>
                  </w:r>
                </w:p>
              </w:tc>
              <w:tc>
                <w:tcPr>
                  <w:tcW w:w="1307" w:type="dxa"/>
                  <w:vAlign w:val="center"/>
                </w:tcPr>
                <w:p w14:paraId="17382E93">
                  <w:pPr>
                    <w:autoSpaceDE w:val="0"/>
                    <w:autoSpaceDN w:val="0"/>
                    <w:adjustRightInd w:val="0"/>
                    <w:spacing w:line="280" w:lineRule="exact"/>
                    <w:jc w:val="center"/>
                    <w:outlineLvl w:val="3"/>
                    <w:rPr>
                      <w:color w:val="auto"/>
                      <w:szCs w:val="21"/>
                    </w:rPr>
                  </w:pPr>
                  <w:r>
                    <w:rPr>
                      <w:color w:val="auto"/>
                      <w:szCs w:val="21"/>
                    </w:rPr>
                    <w:t>0.00012</w:t>
                  </w:r>
                </w:p>
              </w:tc>
            </w:tr>
            <w:tr w14:paraId="17382E9B">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1014" w:type="dxa"/>
                  <w:vAlign w:val="center"/>
                </w:tcPr>
                <w:p w14:paraId="17382E95">
                  <w:pPr>
                    <w:autoSpaceDE w:val="0"/>
                    <w:autoSpaceDN w:val="0"/>
                    <w:adjustRightInd w:val="0"/>
                    <w:spacing w:line="280" w:lineRule="exact"/>
                    <w:jc w:val="center"/>
                    <w:outlineLvl w:val="3"/>
                    <w:rPr>
                      <w:color w:val="auto"/>
                      <w:szCs w:val="21"/>
                    </w:rPr>
                  </w:pPr>
                  <w:r>
                    <w:rPr>
                      <w:rFonts w:hint="eastAsia"/>
                      <w:color w:val="auto"/>
                      <w:szCs w:val="21"/>
                    </w:rPr>
                    <w:t>5</w:t>
                  </w:r>
                </w:p>
              </w:tc>
              <w:tc>
                <w:tcPr>
                  <w:tcW w:w="1598" w:type="dxa"/>
                  <w:vAlign w:val="center"/>
                </w:tcPr>
                <w:p w14:paraId="17382E96">
                  <w:pPr>
                    <w:widowControl/>
                    <w:adjustRightInd w:val="0"/>
                    <w:snapToGrid w:val="0"/>
                    <w:ind w:left="-105" w:leftChars="-50" w:right="-105" w:rightChars="-50"/>
                    <w:jc w:val="center"/>
                    <w:rPr>
                      <w:color w:val="auto"/>
                      <w:szCs w:val="21"/>
                    </w:rPr>
                  </w:pPr>
                  <w:r>
                    <w:rPr>
                      <w:rFonts w:hint="eastAsia"/>
                      <w:color w:val="auto"/>
                      <w:szCs w:val="21"/>
                    </w:rPr>
                    <w:t>防锈油</w:t>
                  </w:r>
                </w:p>
              </w:tc>
              <w:tc>
                <w:tcPr>
                  <w:tcW w:w="1124" w:type="dxa"/>
                  <w:vAlign w:val="center"/>
                </w:tcPr>
                <w:p w14:paraId="17382E97">
                  <w:pPr>
                    <w:autoSpaceDE w:val="0"/>
                    <w:autoSpaceDN w:val="0"/>
                    <w:adjustRightInd w:val="0"/>
                    <w:spacing w:line="280" w:lineRule="exact"/>
                    <w:jc w:val="center"/>
                    <w:outlineLvl w:val="3"/>
                    <w:rPr>
                      <w:color w:val="auto"/>
                      <w:szCs w:val="21"/>
                    </w:rPr>
                  </w:pPr>
                  <w:r>
                    <w:rPr>
                      <w:color w:val="auto"/>
                      <w:szCs w:val="21"/>
                    </w:rPr>
                    <w:t>/</w:t>
                  </w:r>
                </w:p>
              </w:tc>
              <w:tc>
                <w:tcPr>
                  <w:tcW w:w="1488" w:type="dxa"/>
                  <w:vAlign w:val="center"/>
                </w:tcPr>
                <w:p w14:paraId="17382E98">
                  <w:pPr>
                    <w:widowControl/>
                    <w:adjustRightInd w:val="0"/>
                    <w:snapToGrid w:val="0"/>
                    <w:ind w:left="-105" w:leftChars="-50" w:right="-105" w:rightChars="-50"/>
                    <w:jc w:val="center"/>
                    <w:rPr>
                      <w:color w:val="auto"/>
                      <w:szCs w:val="21"/>
                    </w:rPr>
                  </w:pPr>
                  <w:r>
                    <w:rPr>
                      <w:rFonts w:hint="eastAsia"/>
                      <w:color w:val="auto"/>
                      <w:kern w:val="0"/>
                      <w:szCs w:val="21"/>
                    </w:rPr>
                    <w:t>0.2</w:t>
                  </w:r>
                </w:p>
              </w:tc>
              <w:tc>
                <w:tcPr>
                  <w:tcW w:w="1307" w:type="dxa"/>
                  <w:vAlign w:val="center"/>
                </w:tcPr>
                <w:p w14:paraId="17382E99">
                  <w:pPr>
                    <w:autoSpaceDE w:val="0"/>
                    <w:autoSpaceDN w:val="0"/>
                    <w:adjustRightInd w:val="0"/>
                    <w:spacing w:line="280" w:lineRule="exact"/>
                    <w:jc w:val="center"/>
                    <w:outlineLvl w:val="3"/>
                    <w:rPr>
                      <w:color w:val="auto"/>
                      <w:szCs w:val="21"/>
                    </w:rPr>
                  </w:pPr>
                  <w:r>
                    <w:rPr>
                      <w:color w:val="auto"/>
                      <w:szCs w:val="21"/>
                    </w:rPr>
                    <w:t>2500</w:t>
                  </w:r>
                </w:p>
              </w:tc>
              <w:tc>
                <w:tcPr>
                  <w:tcW w:w="1307" w:type="dxa"/>
                  <w:vAlign w:val="center"/>
                </w:tcPr>
                <w:p w14:paraId="17382E9A">
                  <w:pPr>
                    <w:autoSpaceDE w:val="0"/>
                    <w:autoSpaceDN w:val="0"/>
                    <w:adjustRightInd w:val="0"/>
                    <w:spacing w:line="280" w:lineRule="exact"/>
                    <w:jc w:val="center"/>
                    <w:outlineLvl w:val="3"/>
                    <w:rPr>
                      <w:color w:val="auto"/>
                      <w:szCs w:val="21"/>
                    </w:rPr>
                  </w:pPr>
                  <w:r>
                    <w:rPr>
                      <w:color w:val="auto"/>
                      <w:szCs w:val="21"/>
                    </w:rPr>
                    <w:t>0.00008</w:t>
                  </w:r>
                </w:p>
              </w:tc>
            </w:tr>
            <w:tr w14:paraId="17382E9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6531" w:type="dxa"/>
                  <w:gridSpan w:val="5"/>
                  <w:vAlign w:val="center"/>
                </w:tcPr>
                <w:p w14:paraId="17382E9C">
                  <w:pPr>
                    <w:autoSpaceDE w:val="0"/>
                    <w:autoSpaceDN w:val="0"/>
                    <w:adjustRightInd w:val="0"/>
                    <w:spacing w:line="280" w:lineRule="exact"/>
                    <w:jc w:val="center"/>
                    <w:outlineLvl w:val="3"/>
                    <w:rPr>
                      <w:color w:val="auto"/>
                      <w:szCs w:val="21"/>
                    </w:rPr>
                  </w:pPr>
                  <w:r>
                    <w:rPr>
                      <w:color w:val="auto"/>
                      <w:szCs w:val="21"/>
                    </w:rPr>
                    <w:t>项目Q值∑</w:t>
                  </w:r>
                </w:p>
              </w:tc>
              <w:tc>
                <w:tcPr>
                  <w:tcW w:w="1307" w:type="dxa"/>
                  <w:vAlign w:val="center"/>
                </w:tcPr>
                <w:p w14:paraId="17382E9D">
                  <w:pPr>
                    <w:autoSpaceDE w:val="0"/>
                    <w:autoSpaceDN w:val="0"/>
                    <w:adjustRightInd w:val="0"/>
                    <w:spacing w:line="280" w:lineRule="exact"/>
                    <w:jc w:val="center"/>
                    <w:outlineLvl w:val="3"/>
                    <w:rPr>
                      <w:color w:val="auto"/>
                      <w:szCs w:val="21"/>
                    </w:rPr>
                  </w:pPr>
                  <w:r>
                    <w:rPr>
                      <w:rFonts w:hint="eastAsia"/>
                      <w:color w:val="auto"/>
                      <w:szCs w:val="21"/>
                    </w:rPr>
                    <w:t xml:space="preserve">0.15987 </w:t>
                  </w:r>
                </w:p>
              </w:tc>
            </w:tr>
          </w:tbl>
          <w:p w14:paraId="17382E9F">
            <w:pPr>
              <w:autoSpaceDE w:val="0"/>
              <w:autoSpaceDN w:val="0"/>
              <w:adjustRightInd w:val="0"/>
              <w:spacing w:line="360" w:lineRule="auto"/>
              <w:ind w:firstLine="480" w:firstLineChars="200"/>
              <w:outlineLvl w:val="3"/>
              <w:rPr>
                <w:bCs/>
                <w:color w:val="auto"/>
                <w:sz w:val="24"/>
              </w:rPr>
            </w:pPr>
            <w:r>
              <w:rPr>
                <w:rFonts w:hint="eastAsia"/>
                <w:bCs/>
                <w:color w:val="auto"/>
                <w:sz w:val="24"/>
              </w:rPr>
              <w:t>项目Q=0.15987＜1，根据《建设项目环境风险评价技术导则》（HJ169-2018）附录C.1.1，本</w:t>
            </w:r>
            <w:r>
              <w:rPr>
                <w:bCs/>
                <w:color w:val="auto"/>
                <w:sz w:val="24"/>
              </w:rPr>
              <w:t>项目风险潜势为Ⅰ。</w:t>
            </w:r>
          </w:p>
          <w:p w14:paraId="17382EA0">
            <w:pPr>
              <w:adjustRightInd w:val="0"/>
              <w:snapToGrid w:val="0"/>
              <w:spacing w:line="360" w:lineRule="auto"/>
              <w:ind w:firstLine="480" w:firstLineChars="200"/>
              <w:rPr>
                <w:color w:val="auto"/>
                <w:sz w:val="24"/>
              </w:rPr>
            </w:pPr>
            <w:r>
              <w:rPr>
                <w:rFonts w:hint="eastAsia"/>
                <w:color w:val="auto"/>
                <w:sz w:val="24"/>
              </w:rPr>
              <w:t>2</w:t>
            </w:r>
            <w:r>
              <w:rPr>
                <w:color w:val="auto"/>
                <w:sz w:val="24"/>
              </w:rPr>
              <w:t>）评价等级</w:t>
            </w:r>
          </w:p>
          <w:p w14:paraId="17382EA1">
            <w:pPr>
              <w:adjustRightInd w:val="0"/>
              <w:snapToGrid w:val="0"/>
              <w:spacing w:line="360" w:lineRule="auto"/>
              <w:ind w:firstLine="480" w:firstLineChars="200"/>
              <w:rPr>
                <w:color w:val="auto"/>
                <w:sz w:val="24"/>
              </w:rPr>
            </w:pPr>
            <w:r>
              <w:rPr>
                <w:color w:val="auto"/>
                <w:sz w:val="24"/>
              </w:rPr>
              <w:t>本项目风险潜势为I，无需设置评价等级及评价范围，仅作简单分析。</w:t>
            </w:r>
          </w:p>
          <w:p w14:paraId="17382EA2">
            <w:pPr>
              <w:adjustRightInd w:val="0"/>
              <w:snapToGrid w:val="0"/>
              <w:spacing w:line="360" w:lineRule="auto"/>
              <w:ind w:firstLine="480" w:firstLineChars="200"/>
              <w:rPr>
                <w:color w:val="auto"/>
                <w:sz w:val="24"/>
              </w:rPr>
            </w:pPr>
            <w:r>
              <w:rPr>
                <w:rFonts w:hint="eastAsia"/>
                <w:color w:val="auto"/>
                <w:sz w:val="24"/>
              </w:rPr>
              <w:t>3</w:t>
            </w:r>
            <w:r>
              <w:rPr>
                <w:color w:val="auto"/>
                <w:sz w:val="24"/>
              </w:rPr>
              <w:t>）风险单元识别</w:t>
            </w:r>
          </w:p>
          <w:p w14:paraId="17382EA3">
            <w:pPr>
              <w:adjustRightInd w:val="0"/>
              <w:snapToGrid w:val="0"/>
              <w:spacing w:line="360" w:lineRule="auto"/>
              <w:ind w:firstLine="480" w:firstLineChars="200"/>
              <w:rPr>
                <w:color w:val="auto"/>
                <w:sz w:val="24"/>
              </w:rPr>
            </w:pPr>
            <w:r>
              <w:rPr>
                <w:color w:val="auto"/>
                <w:sz w:val="24"/>
              </w:rPr>
              <w:t>生产系统危险性识别包括主要生产装置、储运系统、公用工程系统、工程环保设施及辅助生产设施等。根据</w:t>
            </w:r>
            <w:r>
              <w:rPr>
                <w:rFonts w:hint="eastAsia"/>
                <w:color w:val="auto"/>
                <w:sz w:val="24"/>
              </w:rPr>
              <w:t>本</w:t>
            </w:r>
            <w:r>
              <w:rPr>
                <w:color w:val="auto"/>
                <w:sz w:val="24"/>
              </w:rPr>
              <w:t>项目特点，本次评价生产系统危险性识别结果为风险物质的储存设施，</w:t>
            </w:r>
            <w:r>
              <w:rPr>
                <w:rFonts w:hint="eastAsia"/>
                <w:color w:val="auto"/>
                <w:sz w:val="24"/>
              </w:rPr>
              <w:t>主要为危废暂存间和原料存放区</w:t>
            </w:r>
            <w:r>
              <w:rPr>
                <w:color w:val="auto"/>
                <w:sz w:val="24"/>
              </w:rPr>
              <w:t>。</w:t>
            </w:r>
          </w:p>
          <w:p w14:paraId="17382EA4">
            <w:pPr>
              <w:adjustRightInd w:val="0"/>
              <w:snapToGrid w:val="0"/>
              <w:spacing w:line="360" w:lineRule="auto"/>
              <w:ind w:firstLine="480" w:firstLineChars="200"/>
              <w:rPr>
                <w:color w:val="auto"/>
                <w:sz w:val="24"/>
              </w:rPr>
            </w:pPr>
            <w:r>
              <w:rPr>
                <w:rFonts w:hint="eastAsia"/>
                <w:color w:val="auto"/>
                <w:sz w:val="24"/>
              </w:rPr>
              <w:t>4</w:t>
            </w:r>
            <w:r>
              <w:rPr>
                <w:color w:val="auto"/>
                <w:sz w:val="24"/>
              </w:rPr>
              <w:t>）环境风险类型</w:t>
            </w:r>
          </w:p>
          <w:p w14:paraId="17382EA5">
            <w:pPr>
              <w:adjustRightInd w:val="0"/>
              <w:snapToGrid w:val="0"/>
              <w:spacing w:line="360" w:lineRule="auto"/>
              <w:ind w:firstLine="480" w:firstLineChars="200"/>
              <w:rPr>
                <w:color w:val="auto"/>
                <w:sz w:val="24"/>
              </w:rPr>
            </w:pPr>
            <w:r>
              <w:rPr>
                <w:color w:val="auto"/>
                <w:sz w:val="24"/>
              </w:rPr>
              <w:t>本项目环境风险类型主要为：</w:t>
            </w:r>
          </w:p>
          <w:p w14:paraId="17382EA6">
            <w:pPr>
              <w:adjustRightInd w:val="0"/>
              <w:snapToGrid w:val="0"/>
              <w:spacing w:line="360" w:lineRule="auto"/>
              <w:ind w:firstLine="480" w:firstLineChars="200"/>
              <w:rPr>
                <w:color w:val="auto"/>
                <w:sz w:val="24"/>
              </w:rPr>
            </w:pPr>
            <w:r>
              <w:rPr>
                <w:color w:val="auto"/>
                <w:sz w:val="24"/>
              </w:rPr>
              <w:t>①废气处理设施故障，从而影响大气环境；</w:t>
            </w:r>
          </w:p>
          <w:p w14:paraId="17382EA7">
            <w:pPr>
              <w:adjustRightInd w:val="0"/>
              <w:snapToGrid w:val="0"/>
              <w:spacing w:line="360" w:lineRule="auto"/>
              <w:ind w:firstLine="480" w:firstLineChars="200"/>
              <w:rPr>
                <w:color w:val="auto"/>
                <w:sz w:val="24"/>
              </w:rPr>
            </w:pPr>
            <w:r>
              <w:rPr>
                <w:color w:val="auto"/>
                <w:sz w:val="24"/>
              </w:rPr>
              <w:t>②</w:t>
            </w:r>
            <w:r>
              <w:rPr>
                <w:rFonts w:hint="eastAsia"/>
                <w:color w:val="auto"/>
                <w:sz w:val="24"/>
              </w:rPr>
              <w:t>危废暂存间中暂存的危险废物泄漏，污染土壤；</w:t>
            </w:r>
          </w:p>
          <w:p w14:paraId="17382EA8">
            <w:pPr>
              <w:adjustRightInd w:val="0"/>
              <w:snapToGrid w:val="0"/>
              <w:spacing w:line="360" w:lineRule="auto"/>
              <w:ind w:firstLine="480" w:firstLineChars="200"/>
              <w:rPr>
                <w:color w:val="auto"/>
                <w:sz w:val="24"/>
              </w:rPr>
            </w:pPr>
            <w:r>
              <w:rPr>
                <w:color w:val="auto"/>
                <w:sz w:val="24"/>
              </w:rPr>
              <w:t>③</w:t>
            </w:r>
            <w:r>
              <w:rPr>
                <w:rFonts w:hint="eastAsia"/>
                <w:color w:val="auto"/>
                <w:sz w:val="24"/>
              </w:rPr>
              <w:t>一般固废库、原料存放区、危废仓库以及布袋除尘器</w:t>
            </w:r>
            <w:r>
              <w:rPr>
                <w:color w:val="auto"/>
                <w:sz w:val="24"/>
              </w:rPr>
              <w:t>遇明火发生火灾</w:t>
            </w:r>
            <w:r>
              <w:rPr>
                <w:rFonts w:hint="eastAsia"/>
                <w:color w:val="auto"/>
                <w:sz w:val="24"/>
              </w:rPr>
              <w:t>、爆炸</w:t>
            </w:r>
            <w:r>
              <w:rPr>
                <w:color w:val="auto"/>
                <w:sz w:val="24"/>
              </w:rPr>
              <w:t>，产生次生/伴生CO等</w:t>
            </w:r>
            <w:r>
              <w:rPr>
                <w:rFonts w:hint="eastAsia"/>
                <w:color w:val="auto"/>
                <w:sz w:val="24"/>
              </w:rPr>
              <w:t>空气</w:t>
            </w:r>
            <w:r>
              <w:rPr>
                <w:color w:val="auto"/>
                <w:sz w:val="24"/>
              </w:rPr>
              <w:t>污染物从而影响大气环境</w:t>
            </w:r>
            <w:r>
              <w:rPr>
                <w:rFonts w:hint="eastAsia"/>
                <w:color w:val="auto"/>
                <w:sz w:val="24"/>
              </w:rPr>
              <w:t>，消防尾水满溢有可能污染周边土壤、水体。</w:t>
            </w:r>
          </w:p>
          <w:p w14:paraId="17382EA9">
            <w:pPr>
              <w:adjustRightInd w:val="0"/>
              <w:snapToGrid w:val="0"/>
              <w:spacing w:line="360" w:lineRule="auto"/>
              <w:ind w:firstLine="480" w:firstLineChars="200"/>
              <w:rPr>
                <w:color w:val="auto"/>
                <w:sz w:val="24"/>
              </w:rPr>
            </w:pPr>
            <w:r>
              <w:rPr>
                <w:rFonts w:hint="eastAsia"/>
                <w:color w:val="auto"/>
                <w:sz w:val="24"/>
              </w:rPr>
              <w:t>5</w:t>
            </w:r>
            <w:r>
              <w:rPr>
                <w:color w:val="auto"/>
                <w:sz w:val="24"/>
              </w:rPr>
              <w:t>）环境风险防范措施</w:t>
            </w:r>
          </w:p>
          <w:p w14:paraId="17382EAA">
            <w:pPr>
              <w:adjustRightInd w:val="0"/>
              <w:snapToGrid w:val="0"/>
              <w:spacing w:line="360" w:lineRule="auto"/>
              <w:ind w:firstLine="480" w:firstLineChars="200"/>
              <w:rPr>
                <w:color w:val="auto"/>
                <w:sz w:val="24"/>
              </w:rPr>
            </w:pPr>
            <w:r>
              <w:rPr>
                <w:color w:val="auto"/>
                <w:sz w:val="24"/>
              </w:rPr>
              <w:t>①废气治理风险防范措施除加强操作人员工作素质外，主要在于对废气治理装置的日常运行维护，保证各废气处理系统处于良好的工作状态，最大程度减少废气治理风险事故发生的可能性。如发现人为原因不开启废气治理设施，责任人应受行政和经济处罚，并承担事故排放责任。若废气治理措施因故不能运行，则生产必须停止。</w:t>
            </w:r>
          </w:p>
          <w:p w14:paraId="17382EAB">
            <w:pPr>
              <w:adjustRightInd w:val="0"/>
              <w:snapToGrid w:val="0"/>
              <w:spacing w:line="360" w:lineRule="auto"/>
              <w:ind w:firstLine="480" w:firstLineChars="200"/>
              <w:rPr>
                <w:color w:val="auto"/>
                <w:sz w:val="24"/>
              </w:rPr>
            </w:pPr>
            <w:r>
              <w:rPr>
                <w:color w:val="auto"/>
                <w:sz w:val="24"/>
              </w:rPr>
              <w:t>②安排专员定期对危废库和一般固废暂存区进行检查，严格遵守安全操作规程和消防安全管理制度，远离火种、热源，工作场所严禁吸烟，从源头杜绝火灾事故发生。</w:t>
            </w:r>
          </w:p>
          <w:p w14:paraId="17382EAC">
            <w:pPr>
              <w:adjustRightInd w:val="0"/>
              <w:snapToGrid w:val="0"/>
              <w:spacing w:line="360" w:lineRule="auto"/>
              <w:ind w:firstLine="480" w:firstLineChars="200"/>
              <w:rPr>
                <w:color w:val="auto"/>
                <w:sz w:val="24"/>
              </w:rPr>
            </w:pPr>
            <w:r>
              <w:rPr>
                <w:color w:val="auto"/>
                <w:sz w:val="24"/>
              </w:rPr>
              <w:t>③定期进行安全环保宣传教育以及紧急事故模拟演习，提高事故应变能力。</w:t>
            </w:r>
          </w:p>
          <w:p w14:paraId="17382EAD">
            <w:pPr>
              <w:adjustRightInd w:val="0"/>
              <w:snapToGrid w:val="0"/>
              <w:spacing w:line="360" w:lineRule="auto"/>
              <w:ind w:firstLine="480" w:firstLineChars="200"/>
              <w:rPr>
                <w:color w:val="auto"/>
                <w:sz w:val="24"/>
              </w:rPr>
            </w:pPr>
            <w:r>
              <w:rPr>
                <w:rFonts w:hint="eastAsia"/>
                <w:color w:val="auto"/>
                <w:sz w:val="24"/>
              </w:rPr>
              <w:fldChar w:fldCharType="begin"/>
            </w:r>
            <w:r>
              <w:rPr>
                <w:rFonts w:hint="eastAsia"/>
                <w:color w:val="auto"/>
                <w:sz w:val="24"/>
              </w:rPr>
              <w:instrText xml:space="preserve"> = 4 \* GB3 \* MERGEFORMAT </w:instrText>
            </w:r>
            <w:r>
              <w:rPr>
                <w:rFonts w:hint="eastAsia"/>
                <w:color w:val="auto"/>
                <w:sz w:val="24"/>
              </w:rPr>
              <w:fldChar w:fldCharType="separate"/>
            </w:r>
            <w:r>
              <w:rPr>
                <w:color w:val="auto"/>
                <w:sz w:val="24"/>
              </w:rPr>
              <w:t>④</w:t>
            </w:r>
            <w:r>
              <w:rPr>
                <w:rFonts w:hint="eastAsia"/>
                <w:color w:val="auto"/>
                <w:sz w:val="24"/>
              </w:rPr>
              <w:fldChar w:fldCharType="end"/>
            </w:r>
            <w:r>
              <w:rPr>
                <w:rFonts w:hint="eastAsia"/>
                <w:color w:val="auto"/>
                <w:sz w:val="24"/>
              </w:rPr>
              <w:t>除尘系统重点关注防爆设计，水平集尘管道每隔一定距离需设置清灰口，防止粉尘在管道内积聚；布袋除尘器进气管道需设置阻火阀；除尘器箱体采用钢质金属，不得使用铝质金属，并在朝向室外空旷、安全位置设置泄爆片；除尘器应安装静电消除装置。</w:t>
            </w:r>
          </w:p>
          <w:p w14:paraId="17382EAE">
            <w:pPr>
              <w:adjustRightInd w:val="0"/>
              <w:snapToGrid w:val="0"/>
              <w:spacing w:line="360" w:lineRule="auto"/>
              <w:ind w:firstLine="480" w:firstLineChars="200"/>
              <w:rPr>
                <w:color w:val="auto"/>
                <w:sz w:val="24"/>
              </w:rPr>
            </w:pPr>
            <w:r>
              <w:rPr>
                <w:rFonts w:hint="eastAsia"/>
                <w:color w:val="auto"/>
                <w:sz w:val="24"/>
              </w:rPr>
              <w:t>6</w:t>
            </w:r>
            <w:r>
              <w:rPr>
                <w:color w:val="auto"/>
                <w:sz w:val="24"/>
              </w:rPr>
              <w:t>）环境风险应急处置措施</w:t>
            </w:r>
          </w:p>
          <w:p w14:paraId="17382EAF">
            <w:pPr>
              <w:adjustRightInd w:val="0"/>
              <w:snapToGrid w:val="0"/>
              <w:spacing w:line="360" w:lineRule="auto"/>
              <w:ind w:firstLine="480" w:firstLineChars="200"/>
              <w:rPr>
                <w:color w:val="auto"/>
                <w:sz w:val="24"/>
              </w:rPr>
            </w:pPr>
            <w:r>
              <w:rPr>
                <w:color w:val="auto"/>
                <w:sz w:val="24"/>
              </w:rPr>
              <w:t>①废气处理设施故障事故</w:t>
            </w:r>
          </w:p>
          <w:p w14:paraId="17382EB0">
            <w:pPr>
              <w:adjustRightInd w:val="0"/>
              <w:snapToGrid w:val="0"/>
              <w:spacing w:line="360" w:lineRule="auto"/>
              <w:ind w:firstLine="480" w:firstLineChars="200"/>
              <w:rPr>
                <w:color w:val="auto"/>
                <w:sz w:val="24"/>
              </w:rPr>
            </w:pPr>
            <w:r>
              <w:rPr>
                <w:color w:val="auto"/>
                <w:sz w:val="24"/>
              </w:rPr>
              <w:t>当本项目废气治理设施发生故障，不能正常运行时，应立即停止对应产污工序的设备运行，待废气处理设施维修好后再开机运行。</w:t>
            </w:r>
          </w:p>
          <w:p w14:paraId="17382EB1">
            <w:pPr>
              <w:adjustRightInd w:val="0"/>
              <w:snapToGrid w:val="0"/>
              <w:spacing w:line="360" w:lineRule="auto"/>
              <w:ind w:firstLine="480" w:firstLineChars="200"/>
              <w:rPr>
                <w:color w:val="auto"/>
                <w:sz w:val="24"/>
              </w:rPr>
            </w:pPr>
            <w:r>
              <w:rPr>
                <w:color w:val="auto"/>
                <w:sz w:val="24"/>
              </w:rPr>
              <w:t>②火灾环境事故</w:t>
            </w:r>
          </w:p>
          <w:p w14:paraId="17382EB2">
            <w:pPr>
              <w:adjustRightInd w:val="0"/>
              <w:snapToGrid w:val="0"/>
              <w:spacing w:line="360" w:lineRule="auto"/>
              <w:ind w:firstLine="480" w:firstLineChars="200"/>
              <w:rPr>
                <w:color w:val="auto"/>
                <w:sz w:val="24"/>
              </w:rPr>
            </w:pPr>
            <w:r>
              <w:rPr>
                <w:color w:val="auto"/>
                <w:sz w:val="24"/>
              </w:rPr>
              <w:t>当发生火灾事故时，应迅速将易燃物撤离至安全区，禁止无关人员进入火灾区，严格限制出入。救援人员佩戴防毒面具及防护服，使用应急救援物资进行灭火。发生小面积火灾时，采用灭火器、消防沙灭火；发生大面积火灾时，需使用消防水灭火，产生的消防废水需进行收集。在火灾事故发生时，及时关闭雨水口紧急关闭阀门，使事故废水收集至事故应急池中进行暂存，待事故结束后，直接交由有资质单位处理。</w:t>
            </w:r>
          </w:p>
          <w:p w14:paraId="17382EB3">
            <w:pPr>
              <w:pStyle w:val="143"/>
              <w:autoSpaceDE w:val="0"/>
              <w:autoSpaceDN w:val="0"/>
              <w:adjustRightInd w:val="0"/>
              <w:snapToGrid w:val="0"/>
              <w:spacing w:line="360" w:lineRule="auto"/>
              <w:ind w:firstLine="482"/>
              <w:rPr>
                <w:rFonts w:ascii="Times New Roman" w:hAnsi="Times New Roman" w:cs="Times New Roman"/>
                <w:b/>
                <w:color w:val="auto"/>
              </w:rPr>
            </w:pPr>
            <w:r>
              <w:rPr>
                <w:rFonts w:hint="eastAsia" w:ascii="Times New Roman" w:hAnsi="Times New Roman" w:cs="Times New Roman"/>
                <w:b/>
                <w:color w:val="auto"/>
              </w:rPr>
              <w:t>7.3</w:t>
            </w:r>
            <w:r>
              <w:rPr>
                <w:rFonts w:ascii="Times New Roman" w:hAnsi="Times New Roman" w:cs="Times New Roman"/>
                <w:b/>
                <w:color w:val="auto"/>
              </w:rPr>
              <w:t>风险评价结论</w:t>
            </w:r>
          </w:p>
          <w:p w14:paraId="17382EB4">
            <w:pPr>
              <w:adjustRightInd w:val="0"/>
              <w:snapToGrid w:val="0"/>
              <w:spacing w:line="360" w:lineRule="auto"/>
              <w:ind w:firstLine="720" w:firstLineChars="300"/>
              <w:rPr>
                <w:color w:val="auto"/>
                <w:sz w:val="24"/>
              </w:rPr>
            </w:pPr>
            <w:r>
              <w:rPr>
                <w:color w:val="auto"/>
                <w:sz w:val="24"/>
              </w:rPr>
              <w:t>在各项环境风险防范措施落实到位的情况下，可降低建设项目的环境风险，最大程度减少对环境可能造成的危害，本项目对环境的风险影响在可防控范围内。</w:t>
            </w:r>
          </w:p>
          <w:p w14:paraId="17382EC7">
            <w:pPr>
              <w:adjustRightInd w:val="0"/>
              <w:snapToGrid w:val="0"/>
              <w:spacing w:line="360" w:lineRule="auto"/>
              <w:rPr>
                <w:color w:val="auto"/>
                <w:sz w:val="24"/>
              </w:rPr>
            </w:pPr>
          </w:p>
          <w:p w14:paraId="4F313C5D">
            <w:pPr>
              <w:adjustRightInd w:val="0"/>
              <w:snapToGrid w:val="0"/>
              <w:spacing w:line="360" w:lineRule="auto"/>
              <w:rPr>
                <w:color w:val="auto"/>
                <w:sz w:val="24"/>
              </w:rPr>
            </w:pPr>
          </w:p>
          <w:p w14:paraId="525F9B2F">
            <w:pPr>
              <w:adjustRightInd w:val="0"/>
              <w:snapToGrid w:val="0"/>
              <w:spacing w:line="360" w:lineRule="auto"/>
              <w:rPr>
                <w:color w:val="auto"/>
                <w:sz w:val="24"/>
              </w:rPr>
            </w:pPr>
          </w:p>
          <w:p w14:paraId="3CB98731">
            <w:pPr>
              <w:adjustRightInd w:val="0"/>
              <w:snapToGrid w:val="0"/>
              <w:spacing w:line="360" w:lineRule="auto"/>
              <w:rPr>
                <w:color w:val="auto"/>
                <w:sz w:val="24"/>
              </w:rPr>
            </w:pPr>
          </w:p>
          <w:p w14:paraId="5E56261F">
            <w:pPr>
              <w:adjustRightInd w:val="0"/>
              <w:snapToGrid w:val="0"/>
              <w:spacing w:line="360" w:lineRule="auto"/>
              <w:rPr>
                <w:color w:val="auto"/>
                <w:sz w:val="24"/>
              </w:rPr>
            </w:pPr>
          </w:p>
          <w:p w14:paraId="643A3BFF">
            <w:pPr>
              <w:adjustRightInd w:val="0"/>
              <w:snapToGrid w:val="0"/>
              <w:spacing w:line="360" w:lineRule="auto"/>
              <w:rPr>
                <w:color w:val="auto"/>
                <w:sz w:val="24"/>
              </w:rPr>
            </w:pPr>
          </w:p>
          <w:p w14:paraId="35FF3C80">
            <w:pPr>
              <w:adjustRightInd w:val="0"/>
              <w:snapToGrid w:val="0"/>
              <w:spacing w:line="360" w:lineRule="auto"/>
              <w:rPr>
                <w:color w:val="auto"/>
                <w:sz w:val="24"/>
              </w:rPr>
            </w:pPr>
          </w:p>
          <w:p w14:paraId="47F824C3">
            <w:pPr>
              <w:adjustRightInd w:val="0"/>
              <w:snapToGrid w:val="0"/>
              <w:spacing w:line="360" w:lineRule="auto"/>
              <w:rPr>
                <w:color w:val="auto"/>
                <w:sz w:val="24"/>
              </w:rPr>
            </w:pPr>
          </w:p>
          <w:p w14:paraId="17CA638A">
            <w:pPr>
              <w:adjustRightInd w:val="0"/>
              <w:snapToGrid w:val="0"/>
              <w:spacing w:line="360" w:lineRule="auto"/>
              <w:rPr>
                <w:color w:val="auto"/>
                <w:sz w:val="24"/>
              </w:rPr>
            </w:pPr>
          </w:p>
          <w:p w14:paraId="4DF44715">
            <w:pPr>
              <w:adjustRightInd w:val="0"/>
              <w:snapToGrid w:val="0"/>
              <w:spacing w:line="360" w:lineRule="auto"/>
              <w:rPr>
                <w:color w:val="auto"/>
                <w:sz w:val="24"/>
              </w:rPr>
            </w:pPr>
          </w:p>
          <w:p w14:paraId="021E113E">
            <w:pPr>
              <w:adjustRightInd w:val="0"/>
              <w:snapToGrid w:val="0"/>
              <w:spacing w:line="360" w:lineRule="auto"/>
              <w:rPr>
                <w:color w:val="auto"/>
                <w:sz w:val="24"/>
              </w:rPr>
            </w:pPr>
          </w:p>
          <w:p w14:paraId="0DB4EC96">
            <w:pPr>
              <w:adjustRightInd w:val="0"/>
              <w:snapToGrid w:val="0"/>
              <w:spacing w:line="360" w:lineRule="auto"/>
              <w:rPr>
                <w:color w:val="auto"/>
                <w:sz w:val="24"/>
              </w:rPr>
            </w:pPr>
          </w:p>
          <w:p w14:paraId="2EBFD015">
            <w:pPr>
              <w:adjustRightInd w:val="0"/>
              <w:snapToGrid w:val="0"/>
              <w:spacing w:line="360" w:lineRule="auto"/>
              <w:rPr>
                <w:color w:val="auto"/>
                <w:sz w:val="24"/>
              </w:rPr>
            </w:pPr>
          </w:p>
          <w:p w14:paraId="3F4A92DD">
            <w:pPr>
              <w:adjustRightInd w:val="0"/>
              <w:snapToGrid w:val="0"/>
              <w:spacing w:line="360" w:lineRule="auto"/>
              <w:rPr>
                <w:color w:val="auto"/>
                <w:sz w:val="24"/>
              </w:rPr>
            </w:pPr>
          </w:p>
          <w:p w14:paraId="063A80B4">
            <w:pPr>
              <w:adjustRightInd w:val="0"/>
              <w:snapToGrid w:val="0"/>
              <w:spacing w:line="360" w:lineRule="auto"/>
              <w:rPr>
                <w:color w:val="auto"/>
                <w:sz w:val="24"/>
              </w:rPr>
            </w:pPr>
          </w:p>
          <w:p w14:paraId="70E6F8F7">
            <w:pPr>
              <w:adjustRightInd w:val="0"/>
              <w:snapToGrid w:val="0"/>
              <w:spacing w:line="360" w:lineRule="auto"/>
              <w:rPr>
                <w:color w:val="auto"/>
                <w:sz w:val="24"/>
              </w:rPr>
            </w:pPr>
          </w:p>
          <w:p w14:paraId="4F61E758">
            <w:pPr>
              <w:adjustRightInd w:val="0"/>
              <w:snapToGrid w:val="0"/>
              <w:spacing w:line="360" w:lineRule="auto"/>
              <w:rPr>
                <w:color w:val="auto"/>
                <w:sz w:val="24"/>
              </w:rPr>
            </w:pPr>
          </w:p>
        </w:tc>
      </w:tr>
    </w:tbl>
    <w:p w14:paraId="17382EC9">
      <w:pPr>
        <w:rPr>
          <w:b/>
          <w:bCs/>
          <w:snapToGrid w:val="0"/>
          <w:color w:val="auto"/>
          <w:sz w:val="30"/>
          <w:szCs w:val="30"/>
        </w:rPr>
      </w:pPr>
      <w:r>
        <w:rPr>
          <w:b/>
          <w:bCs/>
          <w:snapToGrid w:val="0"/>
          <w:color w:val="auto"/>
          <w:sz w:val="30"/>
          <w:szCs w:val="30"/>
        </w:rPr>
        <w:br w:type="page"/>
      </w:r>
    </w:p>
    <w:p w14:paraId="17382ECA">
      <w:pPr>
        <w:pStyle w:val="81"/>
        <w:spacing w:after="0" w:afterAutospacing="0"/>
        <w:jc w:val="center"/>
        <w:outlineLvl w:val="0"/>
        <w:rPr>
          <w:rFonts w:ascii="Times New Roman" w:hAnsi="Times New Roman"/>
          <w:b/>
          <w:bCs/>
          <w:snapToGrid w:val="0"/>
          <w:color w:val="auto"/>
          <w:sz w:val="30"/>
          <w:szCs w:val="30"/>
        </w:rPr>
      </w:pPr>
      <w:r>
        <w:rPr>
          <w:rFonts w:ascii="Times New Roman" w:hAnsi="Times New Roman"/>
          <w:b/>
          <w:bCs/>
          <w:snapToGrid w:val="0"/>
          <w:color w:val="auto"/>
          <w:sz w:val="30"/>
          <w:szCs w:val="30"/>
        </w:rPr>
        <w:t>五、</w:t>
      </w:r>
      <w:bookmarkStart w:id="12" w:name="_Hlk54167917"/>
      <w:r>
        <w:rPr>
          <w:rFonts w:ascii="Times New Roman" w:hAnsi="Times New Roman"/>
          <w:b/>
          <w:bCs/>
          <w:snapToGrid w:val="0"/>
          <w:color w:val="auto"/>
          <w:sz w:val="30"/>
          <w:szCs w:val="30"/>
        </w:rPr>
        <w:t>环境保护措施监督检查清单</w:t>
      </w:r>
      <w:bookmarkEnd w:id="12"/>
    </w:p>
    <w:tbl>
      <w:tblPr>
        <w:tblStyle w:val="88"/>
        <w:tblW w:w="5056"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163"/>
        <w:gridCol w:w="370"/>
        <w:gridCol w:w="994"/>
        <w:gridCol w:w="1131"/>
        <w:gridCol w:w="950"/>
        <w:gridCol w:w="1744"/>
        <w:gridCol w:w="2707"/>
        <w:gridCol w:w="103"/>
      </w:tblGrid>
      <w:tr w14:paraId="17382ED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103" w:type="dxa"/>
          <w:trHeight w:val="454" w:hRule="atLeast"/>
          <w:jc w:val="center"/>
        </w:trPr>
        <w:tc>
          <w:tcPr>
            <w:tcW w:w="1163" w:type="dxa"/>
            <w:tcBorders>
              <w:top w:val="single" w:color="auto" w:sz="8" w:space="0"/>
              <w:bottom w:val="single" w:color="auto" w:sz="2" w:space="0"/>
              <w:right w:val="single" w:color="auto" w:sz="2" w:space="0"/>
              <w:tl2br w:val="single" w:color="auto" w:sz="4" w:space="0"/>
            </w:tcBorders>
            <w:vAlign w:val="center"/>
          </w:tcPr>
          <w:p w14:paraId="17382ECB">
            <w:pPr>
              <w:adjustRightInd w:val="0"/>
              <w:snapToGrid w:val="0"/>
              <w:ind w:firstLine="210" w:firstLineChars="100"/>
              <w:jc w:val="center"/>
              <w:rPr>
                <w:color w:val="auto"/>
                <w:szCs w:val="21"/>
              </w:rPr>
            </w:pPr>
            <w:r>
              <w:rPr>
                <w:color w:val="auto"/>
                <w:szCs w:val="21"/>
              </w:rPr>
              <w:t>内容</w:t>
            </w:r>
          </w:p>
          <w:p w14:paraId="17382ECC">
            <w:pPr>
              <w:adjustRightInd w:val="0"/>
              <w:snapToGrid w:val="0"/>
              <w:rPr>
                <w:color w:val="auto"/>
                <w:szCs w:val="21"/>
              </w:rPr>
            </w:pPr>
            <w:r>
              <w:rPr>
                <w:color w:val="auto"/>
                <w:szCs w:val="21"/>
              </w:rPr>
              <w:t>要素</w:t>
            </w:r>
          </w:p>
        </w:tc>
        <w:tc>
          <w:tcPr>
            <w:tcW w:w="2495" w:type="dxa"/>
            <w:gridSpan w:val="3"/>
            <w:tcBorders>
              <w:top w:val="single" w:color="auto" w:sz="8" w:space="0"/>
              <w:left w:val="single" w:color="auto" w:sz="2" w:space="0"/>
              <w:bottom w:val="single" w:color="auto" w:sz="2" w:space="0"/>
              <w:right w:val="single" w:color="auto" w:sz="2" w:space="0"/>
            </w:tcBorders>
            <w:vAlign w:val="center"/>
          </w:tcPr>
          <w:p w14:paraId="17382ECD">
            <w:pPr>
              <w:adjustRightInd w:val="0"/>
              <w:snapToGrid w:val="0"/>
              <w:jc w:val="center"/>
              <w:rPr>
                <w:color w:val="auto"/>
                <w:szCs w:val="21"/>
              </w:rPr>
            </w:pPr>
            <w:r>
              <w:rPr>
                <w:color w:val="auto"/>
                <w:szCs w:val="21"/>
              </w:rPr>
              <w:t>排放口(编号、名称)/污染源</w:t>
            </w:r>
          </w:p>
        </w:tc>
        <w:tc>
          <w:tcPr>
            <w:tcW w:w="950" w:type="dxa"/>
            <w:tcBorders>
              <w:top w:val="single" w:color="auto" w:sz="8" w:space="0"/>
              <w:left w:val="single" w:color="auto" w:sz="2" w:space="0"/>
              <w:bottom w:val="single" w:color="auto" w:sz="2" w:space="0"/>
              <w:right w:val="single" w:color="auto" w:sz="2" w:space="0"/>
            </w:tcBorders>
            <w:vAlign w:val="center"/>
          </w:tcPr>
          <w:p w14:paraId="17382ECE">
            <w:pPr>
              <w:adjustRightInd w:val="0"/>
              <w:snapToGrid w:val="0"/>
              <w:jc w:val="center"/>
              <w:rPr>
                <w:color w:val="auto"/>
                <w:szCs w:val="21"/>
              </w:rPr>
            </w:pPr>
            <w:r>
              <w:rPr>
                <w:color w:val="auto"/>
                <w:szCs w:val="21"/>
              </w:rPr>
              <w:t>污染物项目</w:t>
            </w:r>
          </w:p>
        </w:tc>
        <w:tc>
          <w:tcPr>
            <w:tcW w:w="1744" w:type="dxa"/>
            <w:tcBorders>
              <w:top w:val="single" w:color="auto" w:sz="8" w:space="0"/>
              <w:left w:val="single" w:color="auto" w:sz="2" w:space="0"/>
              <w:bottom w:val="single" w:color="auto" w:sz="2" w:space="0"/>
              <w:right w:val="single" w:color="auto" w:sz="2" w:space="0"/>
            </w:tcBorders>
            <w:vAlign w:val="center"/>
          </w:tcPr>
          <w:p w14:paraId="17382ECF">
            <w:pPr>
              <w:adjustRightInd w:val="0"/>
              <w:snapToGrid w:val="0"/>
              <w:jc w:val="center"/>
              <w:rPr>
                <w:color w:val="auto"/>
                <w:szCs w:val="21"/>
              </w:rPr>
            </w:pPr>
            <w:r>
              <w:rPr>
                <w:color w:val="auto"/>
                <w:szCs w:val="21"/>
              </w:rPr>
              <w:t>环境保护措施</w:t>
            </w:r>
          </w:p>
        </w:tc>
        <w:tc>
          <w:tcPr>
            <w:tcW w:w="2707" w:type="dxa"/>
            <w:tcBorders>
              <w:top w:val="single" w:color="auto" w:sz="8" w:space="0"/>
              <w:left w:val="single" w:color="auto" w:sz="2" w:space="0"/>
              <w:bottom w:val="single" w:color="auto" w:sz="2" w:space="0"/>
            </w:tcBorders>
            <w:vAlign w:val="center"/>
          </w:tcPr>
          <w:p w14:paraId="17382ED0">
            <w:pPr>
              <w:adjustRightInd w:val="0"/>
              <w:snapToGrid w:val="0"/>
              <w:jc w:val="center"/>
              <w:rPr>
                <w:color w:val="auto"/>
                <w:szCs w:val="21"/>
              </w:rPr>
            </w:pPr>
            <w:r>
              <w:rPr>
                <w:color w:val="auto"/>
                <w:szCs w:val="21"/>
              </w:rPr>
              <w:t>执行标准</w:t>
            </w:r>
          </w:p>
        </w:tc>
      </w:tr>
      <w:tr w14:paraId="17382ED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63" w:type="dxa"/>
            <w:vMerge w:val="restart"/>
            <w:tcBorders>
              <w:top w:val="single" w:color="auto" w:sz="2" w:space="0"/>
              <w:right w:val="single" w:color="auto" w:sz="2" w:space="0"/>
            </w:tcBorders>
            <w:vAlign w:val="center"/>
          </w:tcPr>
          <w:p w14:paraId="17382ED2">
            <w:pPr>
              <w:adjustRightInd w:val="0"/>
              <w:snapToGrid w:val="0"/>
              <w:jc w:val="center"/>
              <w:rPr>
                <w:color w:val="auto"/>
                <w:szCs w:val="21"/>
              </w:rPr>
            </w:pPr>
            <w:r>
              <w:rPr>
                <w:color w:val="auto"/>
                <w:szCs w:val="21"/>
              </w:rPr>
              <w:t>大气环境</w:t>
            </w:r>
          </w:p>
        </w:tc>
        <w:tc>
          <w:tcPr>
            <w:tcW w:w="370" w:type="dxa"/>
            <w:vMerge w:val="restart"/>
            <w:tcBorders>
              <w:top w:val="single" w:color="auto" w:sz="2" w:space="0"/>
              <w:left w:val="single" w:color="auto" w:sz="2" w:space="0"/>
              <w:right w:val="single" w:color="auto" w:sz="2" w:space="0"/>
            </w:tcBorders>
            <w:vAlign w:val="center"/>
          </w:tcPr>
          <w:p w14:paraId="17382ED3">
            <w:pPr>
              <w:adjustRightInd w:val="0"/>
              <w:snapToGrid w:val="0"/>
              <w:jc w:val="center"/>
              <w:rPr>
                <w:color w:val="auto"/>
                <w:szCs w:val="21"/>
              </w:rPr>
            </w:pPr>
            <w:r>
              <w:rPr>
                <w:color w:val="auto"/>
                <w:szCs w:val="21"/>
              </w:rPr>
              <w:t>有组织</w:t>
            </w:r>
          </w:p>
        </w:tc>
        <w:tc>
          <w:tcPr>
            <w:tcW w:w="994" w:type="dxa"/>
            <w:tcBorders>
              <w:top w:val="single" w:color="auto" w:sz="2" w:space="0"/>
              <w:left w:val="single" w:color="auto" w:sz="2" w:space="0"/>
              <w:right w:val="single" w:color="auto" w:sz="2" w:space="0"/>
            </w:tcBorders>
            <w:vAlign w:val="center"/>
          </w:tcPr>
          <w:p w14:paraId="17382ED4">
            <w:pPr>
              <w:tabs>
                <w:tab w:val="left" w:pos="1110"/>
              </w:tabs>
              <w:adjustRightInd w:val="0"/>
              <w:snapToGrid w:val="0"/>
              <w:jc w:val="center"/>
              <w:rPr>
                <w:color w:val="auto"/>
                <w:szCs w:val="21"/>
              </w:rPr>
            </w:pPr>
            <w:r>
              <w:rPr>
                <w:rFonts w:hint="eastAsia"/>
                <w:color w:val="auto"/>
                <w:szCs w:val="21"/>
              </w:rPr>
              <w:t>DA001</w:t>
            </w:r>
            <w:r>
              <w:rPr>
                <w:color w:val="auto"/>
                <w:szCs w:val="21"/>
              </w:rPr>
              <w:t>排气筒</w:t>
            </w:r>
          </w:p>
        </w:tc>
        <w:tc>
          <w:tcPr>
            <w:tcW w:w="1131" w:type="dxa"/>
            <w:tcBorders>
              <w:top w:val="single" w:color="auto" w:sz="2" w:space="0"/>
              <w:left w:val="single" w:color="auto" w:sz="2" w:space="0"/>
              <w:bottom w:val="single" w:color="auto" w:sz="4" w:space="0"/>
              <w:right w:val="single" w:color="auto" w:sz="2" w:space="0"/>
            </w:tcBorders>
            <w:vAlign w:val="center"/>
          </w:tcPr>
          <w:p w14:paraId="17382ED5">
            <w:pPr>
              <w:tabs>
                <w:tab w:val="left" w:pos="1110"/>
              </w:tabs>
              <w:adjustRightInd w:val="0"/>
              <w:snapToGrid w:val="0"/>
              <w:jc w:val="center"/>
              <w:rPr>
                <w:color w:val="auto"/>
                <w:szCs w:val="21"/>
              </w:rPr>
            </w:pPr>
            <w:r>
              <w:rPr>
                <w:rFonts w:hint="eastAsia"/>
                <w:bCs/>
                <w:color w:val="auto"/>
                <w:szCs w:val="21"/>
              </w:rPr>
              <w:t>投料粉尘、搅拌废气、浸纱废气、固化废气、注塑废气</w:t>
            </w:r>
          </w:p>
        </w:tc>
        <w:tc>
          <w:tcPr>
            <w:tcW w:w="950" w:type="dxa"/>
            <w:tcBorders>
              <w:top w:val="single" w:color="auto" w:sz="2" w:space="0"/>
              <w:left w:val="single" w:color="auto" w:sz="2" w:space="0"/>
              <w:bottom w:val="single" w:color="auto" w:sz="4" w:space="0"/>
              <w:right w:val="single" w:color="auto" w:sz="2" w:space="0"/>
            </w:tcBorders>
            <w:vAlign w:val="center"/>
          </w:tcPr>
          <w:p w14:paraId="17382ED6">
            <w:pPr>
              <w:adjustRightInd w:val="0"/>
              <w:snapToGrid w:val="0"/>
              <w:jc w:val="center"/>
              <w:rPr>
                <w:color w:val="auto"/>
                <w:szCs w:val="21"/>
              </w:rPr>
            </w:pPr>
            <w:r>
              <w:rPr>
                <w:rFonts w:hint="eastAsia"/>
                <w:color w:val="auto"/>
                <w:szCs w:val="21"/>
              </w:rPr>
              <w:t>颗粒物、非甲烷总烃、苯乙烯</w:t>
            </w:r>
          </w:p>
        </w:tc>
        <w:tc>
          <w:tcPr>
            <w:tcW w:w="1744" w:type="dxa"/>
            <w:tcBorders>
              <w:top w:val="single" w:color="auto" w:sz="2" w:space="0"/>
              <w:left w:val="single" w:color="auto" w:sz="2" w:space="0"/>
              <w:bottom w:val="single" w:color="auto" w:sz="4" w:space="0"/>
              <w:right w:val="single" w:color="auto" w:sz="2" w:space="0"/>
            </w:tcBorders>
            <w:vAlign w:val="center"/>
          </w:tcPr>
          <w:p w14:paraId="17382ED7">
            <w:pPr>
              <w:adjustRightInd w:val="0"/>
              <w:snapToGrid w:val="0"/>
              <w:jc w:val="center"/>
              <w:rPr>
                <w:color w:val="auto"/>
                <w:szCs w:val="21"/>
              </w:rPr>
            </w:pPr>
            <w:r>
              <w:rPr>
                <w:rFonts w:hint="eastAsia"/>
                <w:color w:val="auto"/>
                <w:szCs w:val="21"/>
              </w:rPr>
              <w:t>二级活性炭+15米高排气筒</w:t>
            </w:r>
          </w:p>
        </w:tc>
        <w:tc>
          <w:tcPr>
            <w:tcW w:w="2810" w:type="dxa"/>
            <w:gridSpan w:val="2"/>
            <w:vMerge w:val="restart"/>
            <w:tcBorders>
              <w:top w:val="single" w:color="auto" w:sz="2" w:space="0"/>
              <w:left w:val="single" w:color="auto" w:sz="2" w:space="0"/>
            </w:tcBorders>
            <w:vAlign w:val="center"/>
          </w:tcPr>
          <w:p w14:paraId="17382ED8">
            <w:pPr>
              <w:jc w:val="center"/>
              <w:rPr>
                <w:color w:val="auto"/>
                <w:szCs w:val="21"/>
              </w:rPr>
            </w:pPr>
            <w:r>
              <w:rPr>
                <w:color w:val="auto"/>
                <w:kern w:val="0"/>
                <w:szCs w:val="21"/>
                <w:lang w:bidi="ar"/>
              </w:rPr>
              <w:t>《合成树脂工业污染物排放标准》（GB31572-2015）中表5</w:t>
            </w:r>
            <w:r>
              <w:rPr>
                <w:rFonts w:hint="eastAsia"/>
                <w:color w:val="auto"/>
                <w:kern w:val="0"/>
                <w:szCs w:val="21"/>
                <w:lang w:bidi="ar"/>
              </w:rPr>
              <w:t>、</w:t>
            </w:r>
            <w:r>
              <w:rPr>
                <w:color w:val="auto"/>
              </w:rPr>
              <w:t>《工业涂装工序大气污染物排放标准》（DB32/4439-2022）表 1</w:t>
            </w:r>
          </w:p>
        </w:tc>
      </w:tr>
      <w:tr w14:paraId="17382EE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63" w:type="dxa"/>
            <w:vMerge w:val="continue"/>
            <w:tcBorders>
              <w:right w:val="single" w:color="auto" w:sz="2" w:space="0"/>
            </w:tcBorders>
            <w:vAlign w:val="center"/>
          </w:tcPr>
          <w:p w14:paraId="17382EDA">
            <w:pPr>
              <w:adjustRightInd w:val="0"/>
              <w:snapToGrid w:val="0"/>
              <w:jc w:val="center"/>
              <w:rPr>
                <w:color w:val="auto"/>
                <w:szCs w:val="21"/>
              </w:rPr>
            </w:pPr>
          </w:p>
        </w:tc>
        <w:tc>
          <w:tcPr>
            <w:tcW w:w="370" w:type="dxa"/>
            <w:vMerge w:val="continue"/>
            <w:tcBorders>
              <w:left w:val="single" w:color="auto" w:sz="2" w:space="0"/>
              <w:right w:val="single" w:color="auto" w:sz="2" w:space="0"/>
            </w:tcBorders>
            <w:vAlign w:val="center"/>
          </w:tcPr>
          <w:p w14:paraId="17382EDB">
            <w:pPr>
              <w:adjustRightInd w:val="0"/>
              <w:snapToGrid w:val="0"/>
              <w:jc w:val="center"/>
              <w:rPr>
                <w:color w:val="auto"/>
                <w:szCs w:val="21"/>
              </w:rPr>
            </w:pPr>
          </w:p>
        </w:tc>
        <w:tc>
          <w:tcPr>
            <w:tcW w:w="994" w:type="dxa"/>
            <w:tcBorders>
              <w:top w:val="single" w:color="auto" w:sz="2" w:space="0"/>
              <w:left w:val="single" w:color="auto" w:sz="2" w:space="0"/>
              <w:right w:val="single" w:color="auto" w:sz="2" w:space="0"/>
            </w:tcBorders>
            <w:vAlign w:val="center"/>
          </w:tcPr>
          <w:p w14:paraId="17382EDC">
            <w:pPr>
              <w:adjustRightInd w:val="0"/>
              <w:snapToGrid w:val="0"/>
              <w:jc w:val="center"/>
              <w:rPr>
                <w:color w:val="auto"/>
                <w:szCs w:val="21"/>
              </w:rPr>
            </w:pPr>
            <w:r>
              <w:rPr>
                <w:rFonts w:hint="eastAsia"/>
                <w:color w:val="auto"/>
                <w:szCs w:val="21"/>
              </w:rPr>
              <w:t>DA002</w:t>
            </w:r>
            <w:r>
              <w:rPr>
                <w:color w:val="auto"/>
                <w:szCs w:val="21"/>
              </w:rPr>
              <w:t>排气筒</w:t>
            </w:r>
          </w:p>
        </w:tc>
        <w:tc>
          <w:tcPr>
            <w:tcW w:w="1131" w:type="dxa"/>
            <w:tcBorders>
              <w:top w:val="single" w:color="auto" w:sz="2" w:space="0"/>
              <w:left w:val="single" w:color="auto" w:sz="2" w:space="0"/>
              <w:bottom w:val="single" w:color="auto" w:sz="4" w:space="0"/>
              <w:right w:val="single" w:color="auto" w:sz="2" w:space="0"/>
            </w:tcBorders>
            <w:vAlign w:val="center"/>
          </w:tcPr>
          <w:p w14:paraId="17382EDD">
            <w:pPr>
              <w:tabs>
                <w:tab w:val="left" w:pos="1110"/>
              </w:tabs>
              <w:adjustRightInd w:val="0"/>
              <w:snapToGrid w:val="0"/>
              <w:jc w:val="center"/>
              <w:rPr>
                <w:color w:val="auto"/>
                <w:szCs w:val="21"/>
              </w:rPr>
            </w:pPr>
            <w:r>
              <w:rPr>
                <w:rFonts w:hint="eastAsia"/>
                <w:color w:val="auto"/>
                <w:szCs w:val="21"/>
              </w:rPr>
              <w:t>抛丸废气、喷塑废气</w:t>
            </w:r>
          </w:p>
        </w:tc>
        <w:tc>
          <w:tcPr>
            <w:tcW w:w="950" w:type="dxa"/>
            <w:tcBorders>
              <w:top w:val="single" w:color="auto" w:sz="2" w:space="0"/>
              <w:left w:val="single" w:color="auto" w:sz="2" w:space="0"/>
              <w:bottom w:val="single" w:color="auto" w:sz="4" w:space="0"/>
              <w:right w:val="single" w:color="auto" w:sz="2" w:space="0"/>
            </w:tcBorders>
            <w:vAlign w:val="center"/>
          </w:tcPr>
          <w:p w14:paraId="17382EDE">
            <w:pPr>
              <w:adjustRightInd w:val="0"/>
              <w:snapToGrid w:val="0"/>
              <w:jc w:val="center"/>
              <w:rPr>
                <w:color w:val="auto"/>
                <w:szCs w:val="21"/>
              </w:rPr>
            </w:pPr>
            <w:r>
              <w:rPr>
                <w:rFonts w:hint="eastAsia"/>
                <w:color w:val="auto"/>
                <w:szCs w:val="21"/>
              </w:rPr>
              <w:t>颗粒物</w:t>
            </w:r>
          </w:p>
        </w:tc>
        <w:tc>
          <w:tcPr>
            <w:tcW w:w="1744" w:type="dxa"/>
            <w:tcBorders>
              <w:top w:val="single" w:color="auto" w:sz="2" w:space="0"/>
              <w:left w:val="single" w:color="auto" w:sz="2" w:space="0"/>
              <w:bottom w:val="single" w:color="auto" w:sz="4" w:space="0"/>
              <w:right w:val="single" w:color="auto" w:sz="2" w:space="0"/>
            </w:tcBorders>
            <w:vAlign w:val="center"/>
          </w:tcPr>
          <w:p w14:paraId="17382EDF">
            <w:pPr>
              <w:adjustRightInd w:val="0"/>
              <w:snapToGrid w:val="0"/>
              <w:jc w:val="center"/>
              <w:rPr>
                <w:color w:val="auto"/>
                <w:szCs w:val="21"/>
              </w:rPr>
            </w:pPr>
            <w:r>
              <w:rPr>
                <w:rFonts w:hint="eastAsia"/>
                <w:color w:val="auto"/>
                <w:szCs w:val="21"/>
              </w:rPr>
              <w:t>布袋除尘器、旋风+脉冲滤芯除尘器+15米高排气筒</w:t>
            </w:r>
          </w:p>
        </w:tc>
        <w:tc>
          <w:tcPr>
            <w:tcW w:w="2810" w:type="dxa"/>
            <w:gridSpan w:val="2"/>
            <w:vMerge w:val="continue"/>
            <w:tcBorders>
              <w:left w:val="single" w:color="auto" w:sz="2" w:space="0"/>
            </w:tcBorders>
            <w:vAlign w:val="center"/>
          </w:tcPr>
          <w:p w14:paraId="17382EE0">
            <w:pPr>
              <w:jc w:val="center"/>
              <w:rPr>
                <w:color w:val="auto"/>
                <w:szCs w:val="21"/>
              </w:rPr>
            </w:pPr>
          </w:p>
        </w:tc>
      </w:tr>
      <w:tr w14:paraId="17382EE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163" w:type="dxa"/>
            <w:vMerge w:val="continue"/>
            <w:tcBorders>
              <w:right w:val="single" w:color="auto" w:sz="2" w:space="0"/>
            </w:tcBorders>
            <w:vAlign w:val="center"/>
          </w:tcPr>
          <w:p w14:paraId="17382EE2">
            <w:pPr>
              <w:adjustRightInd w:val="0"/>
              <w:snapToGrid w:val="0"/>
              <w:jc w:val="center"/>
              <w:rPr>
                <w:color w:val="auto"/>
                <w:szCs w:val="21"/>
              </w:rPr>
            </w:pPr>
          </w:p>
        </w:tc>
        <w:tc>
          <w:tcPr>
            <w:tcW w:w="370" w:type="dxa"/>
            <w:vMerge w:val="continue"/>
            <w:tcBorders>
              <w:left w:val="single" w:color="auto" w:sz="2" w:space="0"/>
              <w:right w:val="single" w:color="auto" w:sz="2" w:space="0"/>
            </w:tcBorders>
            <w:vAlign w:val="center"/>
          </w:tcPr>
          <w:p w14:paraId="17382EE3">
            <w:pPr>
              <w:adjustRightInd w:val="0"/>
              <w:snapToGrid w:val="0"/>
              <w:jc w:val="center"/>
              <w:rPr>
                <w:color w:val="auto"/>
                <w:szCs w:val="21"/>
              </w:rPr>
            </w:pPr>
          </w:p>
        </w:tc>
        <w:tc>
          <w:tcPr>
            <w:tcW w:w="994" w:type="dxa"/>
            <w:tcBorders>
              <w:top w:val="single" w:color="auto" w:sz="2" w:space="0"/>
              <w:left w:val="single" w:color="auto" w:sz="2" w:space="0"/>
              <w:right w:val="single" w:color="auto" w:sz="2" w:space="0"/>
            </w:tcBorders>
            <w:vAlign w:val="center"/>
          </w:tcPr>
          <w:p w14:paraId="17382EE4">
            <w:pPr>
              <w:adjustRightInd w:val="0"/>
              <w:snapToGrid w:val="0"/>
              <w:jc w:val="center"/>
              <w:rPr>
                <w:color w:val="auto"/>
                <w:szCs w:val="21"/>
              </w:rPr>
            </w:pPr>
            <w:r>
              <w:rPr>
                <w:rFonts w:hint="eastAsia"/>
                <w:color w:val="auto"/>
                <w:szCs w:val="21"/>
              </w:rPr>
              <w:t>DA003</w:t>
            </w:r>
            <w:r>
              <w:rPr>
                <w:color w:val="auto"/>
                <w:szCs w:val="21"/>
              </w:rPr>
              <w:t>排气筒</w:t>
            </w:r>
          </w:p>
        </w:tc>
        <w:tc>
          <w:tcPr>
            <w:tcW w:w="1131" w:type="dxa"/>
            <w:tcBorders>
              <w:top w:val="single" w:color="auto" w:sz="2" w:space="0"/>
              <w:left w:val="single" w:color="auto" w:sz="2" w:space="0"/>
              <w:bottom w:val="single" w:color="auto" w:sz="4" w:space="0"/>
              <w:right w:val="single" w:color="auto" w:sz="2" w:space="0"/>
            </w:tcBorders>
            <w:vAlign w:val="center"/>
          </w:tcPr>
          <w:p w14:paraId="17382EE5">
            <w:pPr>
              <w:tabs>
                <w:tab w:val="left" w:pos="1110"/>
              </w:tabs>
              <w:adjustRightInd w:val="0"/>
              <w:snapToGrid w:val="0"/>
              <w:jc w:val="center"/>
              <w:rPr>
                <w:color w:val="auto"/>
                <w:szCs w:val="21"/>
              </w:rPr>
            </w:pPr>
            <w:r>
              <w:rPr>
                <w:rFonts w:hint="eastAsia"/>
                <w:color w:val="auto"/>
                <w:szCs w:val="21"/>
              </w:rPr>
              <w:t>抛光废气</w:t>
            </w:r>
          </w:p>
        </w:tc>
        <w:tc>
          <w:tcPr>
            <w:tcW w:w="950" w:type="dxa"/>
            <w:tcBorders>
              <w:top w:val="single" w:color="auto" w:sz="2" w:space="0"/>
              <w:left w:val="single" w:color="auto" w:sz="2" w:space="0"/>
              <w:bottom w:val="single" w:color="auto" w:sz="4" w:space="0"/>
              <w:right w:val="single" w:color="auto" w:sz="2" w:space="0"/>
            </w:tcBorders>
            <w:vAlign w:val="center"/>
          </w:tcPr>
          <w:p w14:paraId="17382EE6">
            <w:pPr>
              <w:adjustRightInd w:val="0"/>
              <w:snapToGrid w:val="0"/>
              <w:jc w:val="center"/>
              <w:rPr>
                <w:color w:val="auto"/>
                <w:szCs w:val="21"/>
              </w:rPr>
            </w:pPr>
            <w:r>
              <w:rPr>
                <w:rFonts w:hint="eastAsia"/>
                <w:color w:val="auto"/>
                <w:szCs w:val="21"/>
              </w:rPr>
              <w:t>颗粒物</w:t>
            </w:r>
          </w:p>
        </w:tc>
        <w:tc>
          <w:tcPr>
            <w:tcW w:w="1744" w:type="dxa"/>
            <w:tcBorders>
              <w:top w:val="single" w:color="auto" w:sz="2" w:space="0"/>
              <w:left w:val="single" w:color="auto" w:sz="2" w:space="0"/>
              <w:bottom w:val="single" w:color="auto" w:sz="4" w:space="0"/>
              <w:right w:val="single" w:color="auto" w:sz="2" w:space="0"/>
            </w:tcBorders>
            <w:vAlign w:val="center"/>
          </w:tcPr>
          <w:p w14:paraId="17382EE7">
            <w:pPr>
              <w:adjustRightInd w:val="0"/>
              <w:snapToGrid w:val="0"/>
              <w:jc w:val="center"/>
              <w:rPr>
                <w:color w:val="auto"/>
                <w:szCs w:val="21"/>
              </w:rPr>
            </w:pPr>
            <w:r>
              <w:rPr>
                <w:rFonts w:hint="eastAsia"/>
                <w:color w:val="auto"/>
                <w:szCs w:val="21"/>
              </w:rPr>
              <w:t>布袋除尘器+15米高排气筒</w:t>
            </w:r>
          </w:p>
        </w:tc>
        <w:tc>
          <w:tcPr>
            <w:tcW w:w="2810" w:type="dxa"/>
            <w:gridSpan w:val="2"/>
            <w:vMerge w:val="continue"/>
            <w:tcBorders>
              <w:left w:val="single" w:color="auto" w:sz="2" w:space="0"/>
            </w:tcBorders>
            <w:vAlign w:val="center"/>
          </w:tcPr>
          <w:p w14:paraId="17382EE8">
            <w:pPr>
              <w:jc w:val="center"/>
              <w:rPr>
                <w:color w:val="auto"/>
                <w:szCs w:val="21"/>
              </w:rPr>
            </w:pPr>
          </w:p>
        </w:tc>
      </w:tr>
      <w:tr w14:paraId="17382EE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103" w:type="dxa"/>
          <w:trHeight w:val="454" w:hRule="atLeast"/>
          <w:jc w:val="center"/>
        </w:trPr>
        <w:tc>
          <w:tcPr>
            <w:tcW w:w="1163" w:type="dxa"/>
            <w:vMerge w:val="continue"/>
            <w:tcBorders>
              <w:right w:val="single" w:color="auto" w:sz="2" w:space="0"/>
            </w:tcBorders>
            <w:vAlign w:val="center"/>
          </w:tcPr>
          <w:p w14:paraId="17382EEA">
            <w:pPr>
              <w:jc w:val="center"/>
              <w:rPr>
                <w:color w:val="auto"/>
                <w:szCs w:val="21"/>
              </w:rPr>
            </w:pPr>
          </w:p>
        </w:tc>
        <w:tc>
          <w:tcPr>
            <w:tcW w:w="2495" w:type="dxa"/>
            <w:gridSpan w:val="3"/>
            <w:tcBorders>
              <w:top w:val="single" w:color="auto" w:sz="2" w:space="0"/>
              <w:left w:val="single" w:color="auto" w:sz="2" w:space="0"/>
              <w:bottom w:val="single" w:color="auto" w:sz="2" w:space="0"/>
              <w:right w:val="single" w:color="auto" w:sz="2" w:space="0"/>
            </w:tcBorders>
            <w:vAlign w:val="center"/>
          </w:tcPr>
          <w:p w14:paraId="17382EEB">
            <w:pPr>
              <w:tabs>
                <w:tab w:val="left" w:pos="1110"/>
              </w:tabs>
              <w:adjustRightInd w:val="0"/>
              <w:snapToGrid w:val="0"/>
              <w:jc w:val="center"/>
              <w:rPr>
                <w:color w:val="auto"/>
                <w:szCs w:val="21"/>
              </w:rPr>
            </w:pPr>
            <w:r>
              <w:rPr>
                <w:rFonts w:hint="eastAsia"/>
                <w:color w:val="auto"/>
                <w:szCs w:val="21"/>
              </w:rPr>
              <w:t>厂界</w:t>
            </w:r>
            <w:r>
              <w:rPr>
                <w:color w:val="auto"/>
                <w:szCs w:val="21"/>
              </w:rPr>
              <w:t>无组织</w:t>
            </w:r>
          </w:p>
        </w:tc>
        <w:tc>
          <w:tcPr>
            <w:tcW w:w="950" w:type="dxa"/>
            <w:tcBorders>
              <w:top w:val="single" w:color="auto" w:sz="2" w:space="0"/>
              <w:left w:val="single" w:color="auto" w:sz="2" w:space="0"/>
              <w:bottom w:val="single" w:color="auto" w:sz="2" w:space="0"/>
              <w:right w:val="single" w:color="auto" w:sz="2" w:space="0"/>
            </w:tcBorders>
            <w:vAlign w:val="center"/>
          </w:tcPr>
          <w:p w14:paraId="17382EEC">
            <w:pPr>
              <w:adjustRightInd w:val="0"/>
              <w:snapToGrid w:val="0"/>
              <w:jc w:val="center"/>
              <w:rPr>
                <w:color w:val="auto"/>
                <w:szCs w:val="21"/>
              </w:rPr>
            </w:pPr>
            <w:r>
              <w:rPr>
                <w:rFonts w:hint="eastAsia"/>
                <w:color w:val="auto"/>
                <w:szCs w:val="21"/>
              </w:rPr>
              <w:t>颗粒物、非甲烷总烃、苯乙烯</w:t>
            </w:r>
          </w:p>
        </w:tc>
        <w:tc>
          <w:tcPr>
            <w:tcW w:w="1744" w:type="dxa"/>
            <w:tcBorders>
              <w:top w:val="single" w:color="auto" w:sz="2" w:space="0"/>
              <w:left w:val="single" w:color="auto" w:sz="2" w:space="0"/>
              <w:bottom w:val="single" w:color="auto" w:sz="2" w:space="0"/>
              <w:right w:val="single" w:color="auto" w:sz="2" w:space="0"/>
            </w:tcBorders>
            <w:vAlign w:val="center"/>
          </w:tcPr>
          <w:p w14:paraId="17382EED">
            <w:pPr>
              <w:jc w:val="center"/>
              <w:rPr>
                <w:color w:val="auto"/>
                <w:szCs w:val="21"/>
              </w:rPr>
            </w:pPr>
            <w:r>
              <w:rPr>
                <w:color w:val="auto"/>
                <w:szCs w:val="21"/>
              </w:rPr>
              <w:t>/</w:t>
            </w:r>
          </w:p>
        </w:tc>
        <w:tc>
          <w:tcPr>
            <w:tcW w:w="2707" w:type="dxa"/>
            <w:tcBorders>
              <w:top w:val="single" w:color="auto" w:sz="2" w:space="0"/>
              <w:left w:val="single" w:color="auto" w:sz="2" w:space="0"/>
              <w:bottom w:val="single" w:color="auto" w:sz="2" w:space="0"/>
            </w:tcBorders>
            <w:vAlign w:val="center"/>
          </w:tcPr>
          <w:p w14:paraId="17382EEE">
            <w:pPr>
              <w:jc w:val="center"/>
              <w:rPr>
                <w:color w:val="auto"/>
                <w:szCs w:val="21"/>
              </w:rPr>
            </w:pPr>
            <w:r>
              <w:rPr>
                <w:color w:val="auto"/>
                <w:kern w:val="0"/>
                <w:szCs w:val="21"/>
                <w:lang w:bidi="ar"/>
              </w:rPr>
              <w:t>《合成树脂工业污染物排放标准》(GB31572-2015)表9、</w:t>
            </w:r>
            <w:r>
              <w:rPr>
                <w:color w:val="auto"/>
                <w:szCs w:val="21"/>
              </w:rPr>
              <w:t>《大气污染物综合排放标准》（DB32/4041-2021）表3</w:t>
            </w:r>
          </w:p>
        </w:tc>
      </w:tr>
      <w:tr w14:paraId="7B5AD11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103" w:type="dxa"/>
          <w:trHeight w:val="454" w:hRule="atLeast"/>
          <w:jc w:val="center"/>
        </w:trPr>
        <w:tc>
          <w:tcPr>
            <w:tcW w:w="1163" w:type="dxa"/>
            <w:vMerge w:val="continue"/>
            <w:tcBorders>
              <w:bottom w:val="single" w:color="auto" w:sz="2" w:space="0"/>
              <w:right w:val="single" w:color="auto" w:sz="2" w:space="0"/>
            </w:tcBorders>
            <w:vAlign w:val="center"/>
          </w:tcPr>
          <w:p w14:paraId="1FFDC847">
            <w:pPr>
              <w:jc w:val="center"/>
              <w:rPr>
                <w:color w:val="auto"/>
                <w:szCs w:val="21"/>
              </w:rPr>
            </w:pPr>
          </w:p>
        </w:tc>
        <w:tc>
          <w:tcPr>
            <w:tcW w:w="2495" w:type="dxa"/>
            <w:gridSpan w:val="3"/>
            <w:tcBorders>
              <w:top w:val="single" w:color="auto" w:sz="2" w:space="0"/>
              <w:left w:val="single" w:color="auto" w:sz="2" w:space="0"/>
              <w:bottom w:val="single" w:color="auto" w:sz="2" w:space="0"/>
              <w:right w:val="single" w:color="auto" w:sz="2" w:space="0"/>
            </w:tcBorders>
            <w:vAlign w:val="center"/>
          </w:tcPr>
          <w:p w14:paraId="14815560">
            <w:pPr>
              <w:tabs>
                <w:tab w:val="left" w:pos="1110"/>
              </w:tabs>
              <w:adjustRightInd w:val="0"/>
              <w:snapToGrid w:val="0"/>
              <w:jc w:val="center"/>
              <w:rPr>
                <w:rFonts w:hint="default" w:eastAsia="宋体"/>
                <w:color w:val="auto"/>
                <w:szCs w:val="21"/>
                <w:lang w:val="en-US" w:eastAsia="zh-CN"/>
              </w:rPr>
            </w:pPr>
            <w:r>
              <w:rPr>
                <w:rFonts w:hint="eastAsia"/>
                <w:color w:val="auto"/>
                <w:szCs w:val="21"/>
                <w:lang w:val="en-US" w:eastAsia="zh-CN"/>
              </w:rPr>
              <w:t>厂区内无组织</w:t>
            </w:r>
          </w:p>
        </w:tc>
        <w:tc>
          <w:tcPr>
            <w:tcW w:w="950" w:type="dxa"/>
            <w:tcBorders>
              <w:top w:val="single" w:color="auto" w:sz="2" w:space="0"/>
              <w:left w:val="single" w:color="auto" w:sz="2" w:space="0"/>
              <w:bottom w:val="single" w:color="auto" w:sz="2" w:space="0"/>
              <w:right w:val="single" w:color="auto" w:sz="2" w:space="0"/>
            </w:tcBorders>
            <w:vAlign w:val="center"/>
          </w:tcPr>
          <w:p w14:paraId="6B2F7EAE">
            <w:pPr>
              <w:adjustRightInd w:val="0"/>
              <w:snapToGrid w:val="0"/>
              <w:jc w:val="center"/>
              <w:rPr>
                <w:rFonts w:hint="default" w:eastAsia="宋体"/>
                <w:color w:val="auto"/>
                <w:szCs w:val="21"/>
                <w:lang w:val="en-US" w:eastAsia="zh-CN"/>
              </w:rPr>
            </w:pPr>
            <w:r>
              <w:rPr>
                <w:rFonts w:hint="eastAsia"/>
                <w:color w:val="auto"/>
                <w:szCs w:val="21"/>
                <w:lang w:val="en-US" w:eastAsia="zh-CN"/>
              </w:rPr>
              <w:t>非甲烷总烃</w:t>
            </w:r>
          </w:p>
        </w:tc>
        <w:tc>
          <w:tcPr>
            <w:tcW w:w="1744" w:type="dxa"/>
            <w:tcBorders>
              <w:top w:val="single" w:color="auto" w:sz="2" w:space="0"/>
              <w:left w:val="single" w:color="auto" w:sz="2" w:space="0"/>
              <w:bottom w:val="single" w:color="auto" w:sz="2" w:space="0"/>
              <w:right w:val="single" w:color="auto" w:sz="2" w:space="0"/>
            </w:tcBorders>
            <w:vAlign w:val="center"/>
          </w:tcPr>
          <w:p w14:paraId="4889F5BE">
            <w:pPr>
              <w:jc w:val="center"/>
              <w:rPr>
                <w:color w:val="auto"/>
                <w:szCs w:val="21"/>
              </w:rPr>
            </w:pPr>
            <w:r>
              <w:rPr>
                <w:color w:val="auto"/>
                <w:szCs w:val="21"/>
              </w:rPr>
              <w:t>/</w:t>
            </w:r>
          </w:p>
        </w:tc>
        <w:tc>
          <w:tcPr>
            <w:tcW w:w="2707" w:type="dxa"/>
            <w:tcBorders>
              <w:top w:val="single" w:color="auto" w:sz="2" w:space="0"/>
              <w:left w:val="single" w:color="auto" w:sz="2" w:space="0"/>
              <w:bottom w:val="single" w:color="auto" w:sz="2" w:space="0"/>
            </w:tcBorders>
            <w:vAlign w:val="center"/>
          </w:tcPr>
          <w:p w14:paraId="3FE20C80">
            <w:pPr>
              <w:jc w:val="center"/>
              <w:rPr>
                <w:rFonts w:hint="eastAsia" w:eastAsia="宋体"/>
                <w:color w:val="auto"/>
                <w:kern w:val="0"/>
                <w:szCs w:val="21"/>
                <w:lang w:eastAsia="zh-CN" w:bidi="ar"/>
              </w:rPr>
            </w:pPr>
            <w:r>
              <w:rPr>
                <w:rFonts w:ascii="Times New Roman" w:hAnsi="Times New Roman"/>
                <w:color w:val="auto"/>
                <w:lang w:val="en-US"/>
              </w:rPr>
              <w:t>《工业涂装工序大气污染物排放标准》（DB32/4439-2022）表3</w:t>
            </w:r>
            <w:r>
              <w:rPr>
                <w:rFonts w:hint="eastAsia" w:ascii="Times New Roman" w:hAnsi="Times New Roman"/>
                <w:color w:val="auto"/>
                <w:lang w:val="en-US" w:eastAsia="zh-CN"/>
              </w:rPr>
              <w:t>、</w:t>
            </w:r>
            <w:r>
              <w:rPr>
                <w:rFonts w:hint="eastAsia" w:ascii="Times New Roman" w:hAnsi="Times New Roman"/>
                <w:color w:val="auto"/>
                <w:lang w:val="en-US"/>
              </w:rPr>
              <w:t>《大气污染物综合排放标准》（DB32/4041-2021）</w:t>
            </w:r>
            <w:r>
              <w:rPr>
                <w:rFonts w:ascii="Times New Roman" w:hAnsi="Times New Roman"/>
                <w:color w:val="auto"/>
                <w:lang w:val="en-US"/>
              </w:rPr>
              <w:t>表</w:t>
            </w:r>
            <w:r>
              <w:rPr>
                <w:rFonts w:hint="eastAsia" w:ascii="Times New Roman" w:hAnsi="Times New Roman"/>
                <w:color w:val="auto"/>
                <w:lang w:val="en-US"/>
              </w:rPr>
              <w:t>2</w:t>
            </w:r>
          </w:p>
        </w:tc>
      </w:tr>
      <w:tr w14:paraId="17382EF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103" w:type="dxa"/>
          <w:trHeight w:val="454" w:hRule="atLeast"/>
          <w:jc w:val="center"/>
        </w:trPr>
        <w:tc>
          <w:tcPr>
            <w:tcW w:w="1163" w:type="dxa"/>
            <w:tcBorders>
              <w:top w:val="single" w:color="auto" w:sz="2" w:space="0"/>
              <w:bottom w:val="single" w:color="auto" w:sz="2" w:space="0"/>
              <w:right w:val="single" w:color="auto" w:sz="2" w:space="0"/>
            </w:tcBorders>
            <w:vAlign w:val="center"/>
          </w:tcPr>
          <w:p w14:paraId="17382EF0">
            <w:pPr>
              <w:adjustRightInd w:val="0"/>
              <w:snapToGrid w:val="0"/>
              <w:jc w:val="center"/>
              <w:rPr>
                <w:color w:val="auto"/>
                <w:szCs w:val="21"/>
              </w:rPr>
            </w:pPr>
            <w:r>
              <w:rPr>
                <w:color w:val="auto"/>
                <w:szCs w:val="21"/>
              </w:rPr>
              <w:t>地表水环境</w:t>
            </w:r>
          </w:p>
        </w:tc>
        <w:tc>
          <w:tcPr>
            <w:tcW w:w="2495" w:type="dxa"/>
            <w:gridSpan w:val="3"/>
            <w:tcBorders>
              <w:top w:val="single" w:color="auto" w:sz="2" w:space="0"/>
              <w:left w:val="single" w:color="auto" w:sz="2" w:space="0"/>
              <w:bottom w:val="single" w:color="auto" w:sz="2" w:space="0"/>
              <w:right w:val="single" w:color="auto" w:sz="2" w:space="0"/>
            </w:tcBorders>
            <w:vAlign w:val="center"/>
          </w:tcPr>
          <w:p w14:paraId="17382EF1">
            <w:pPr>
              <w:pStyle w:val="149"/>
              <w:spacing w:line="276" w:lineRule="auto"/>
              <w:rPr>
                <w:rFonts w:ascii="Times New Roman" w:hAnsi="Times New Roman" w:eastAsia="宋体"/>
                <w:color w:val="auto"/>
                <w:kern w:val="2"/>
                <w:sz w:val="21"/>
                <w:szCs w:val="21"/>
                <w:lang w:val="en-US"/>
              </w:rPr>
            </w:pPr>
            <w:r>
              <w:rPr>
                <w:rFonts w:ascii="Times New Roman" w:hAnsi="Times New Roman" w:eastAsia="宋体"/>
                <w:color w:val="auto"/>
                <w:kern w:val="2"/>
                <w:sz w:val="21"/>
                <w:szCs w:val="21"/>
                <w:lang w:val="en-US"/>
              </w:rPr>
              <w:t>生活</w:t>
            </w:r>
            <w:r>
              <w:rPr>
                <w:rFonts w:hint="eastAsia" w:ascii="Times New Roman" w:hAnsi="Times New Roman" w:eastAsia="宋体"/>
                <w:color w:val="auto"/>
                <w:kern w:val="2"/>
                <w:sz w:val="21"/>
                <w:szCs w:val="21"/>
                <w:lang w:val="en-US"/>
              </w:rPr>
              <w:t>污水</w:t>
            </w:r>
          </w:p>
        </w:tc>
        <w:tc>
          <w:tcPr>
            <w:tcW w:w="950" w:type="dxa"/>
            <w:tcBorders>
              <w:top w:val="single" w:color="auto" w:sz="2" w:space="0"/>
              <w:left w:val="single" w:color="auto" w:sz="2" w:space="0"/>
              <w:bottom w:val="single" w:color="auto" w:sz="2" w:space="0"/>
              <w:right w:val="single" w:color="auto" w:sz="2" w:space="0"/>
            </w:tcBorders>
            <w:vAlign w:val="center"/>
          </w:tcPr>
          <w:p w14:paraId="17382EF2">
            <w:pPr>
              <w:jc w:val="center"/>
              <w:rPr>
                <w:color w:val="auto"/>
                <w:szCs w:val="21"/>
              </w:rPr>
            </w:pPr>
            <w:r>
              <w:rPr>
                <w:color w:val="auto"/>
                <w:szCs w:val="21"/>
              </w:rPr>
              <w:t>COD、SS、氨氮、总氮、总磷</w:t>
            </w:r>
          </w:p>
        </w:tc>
        <w:tc>
          <w:tcPr>
            <w:tcW w:w="1744" w:type="dxa"/>
            <w:tcBorders>
              <w:top w:val="single" w:color="auto" w:sz="2" w:space="0"/>
              <w:left w:val="single" w:color="auto" w:sz="2" w:space="0"/>
              <w:bottom w:val="single" w:color="auto" w:sz="2" w:space="0"/>
              <w:right w:val="single" w:color="auto" w:sz="2" w:space="0"/>
            </w:tcBorders>
            <w:vAlign w:val="center"/>
          </w:tcPr>
          <w:p w14:paraId="17382EF3">
            <w:pPr>
              <w:jc w:val="center"/>
              <w:rPr>
                <w:color w:val="auto"/>
                <w:szCs w:val="21"/>
              </w:rPr>
            </w:pPr>
            <w:r>
              <w:rPr>
                <w:color w:val="auto"/>
                <w:szCs w:val="21"/>
              </w:rPr>
              <w:t>化粪池</w:t>
            </w:r>
          </w:p>
        </w:tc>
        <w:tc>
          <w:tcPr>
            <w:tcW w:w="2707" w:type="dxa"/>
            <w:tcBorders>
              <w:top w:val="single" w:color="auto" w:sz="2" w:space="0"/>
              <w:left w:val="single" w:color="auto" w:sz="2" w:space="0"/>
              <w:bottom w:val="single" w:color="auto" w:sz="2" w:space="0"/>
            </w:tcBorders>
            <w:vAlign w:val="center"/>
          </w:tcPr>
          <w:p w14:paraId="17382EF4">
            <w:pPr>
              <w:adjustRightInd w:val="0"/>
              <w:snapToGrid w:val="0"/>
              <w:jc w:val="center"/>
              <w:rPr>
                <w:rFonts w:hint="default" w:eastAsia="宋体"/>
                <w:color w:val="auto"/>
                <w:szCs w:val="21"/>
                <w:lang w:val="en-US" w:eastAsia="zh-CN"/>
              </w:rPr>
            </w:pPr>
            <w:r>
              <w:rPr>
                <w:rFonts w:hint="eastAsia"/>
                <w:color w:val="auto"/>
                <w:szCs w:val="21"/>
              </w:rPr>
              <w:t>用作</w:t>
            </w:r>
            <w:r>
              <w:rPr>
                <w:rFonts w:hint="eastAsia"/>
                <w:color w:val="auto"/>
                <w:szCs w:val="21"/>
                <w:lang w:val="en-US" w:eastAsia="zh-CN"/>
              </w:rPr>
              <w:t>农田灌溉</w:t>
            </w:r>
          </w:p>
        </w:tc>
      </w:tr>
      <w:tr w14:paraId="17382EF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103" w:type="dxa"/>
          <w:trHeight w:val="454" w:hRule="atLeast"/>
          <w:jc w:val="center"/>
        </w:trPr>
        <w:tc>
          <w:tcPr>
            <w:tcW w:w="1163" w:type="dxa"/>
            <w:tcBorders>
              <w:top w:val="single" w:color="auto" w:sz="2" w:space="0"/>
              <w:bottom w:val="single" w:color="auto" w:sz="2" w:space="0"/>
              <w:right w:val="single" w:color="auto" w:sz="2" w:space="0"/>
            </w:tcBorders>
            <w:vAlign w:val="center"/>
          </w:tcPr>
          <w:p w14:paraId="17382EF6">
            <w:pPr>
              <w:adjustRightInd w:val="0"/>
              <w:snapToGrid w:val="0"/>
              <w:jc w:val="center"/>
              <w:rPr>
                <w:color w:val="auto"/>
                <w:szCs w:val="21"/>
              </w:rPr>
            </w:pPr>
            <w:r>
              <w:rPr>
                <w:color w:val="auto"/>
                <w:szCs w:val="21"/>
              </w:rPr>
              <w:t>声环境</w:t>
            </w:r>
          </w:p>
        </w:tc>
        <w:tc>
          <w:tcPr>
            <w:tcW w:w="3445" w:type="dxa"/>
            <w:gridSpan w:val="4"/>
            <w:tcBorders>
              <w:top w:val="single" w:color="auto" w:sz="2" w:space="0"/>
              <w:left w:val="single" w:color="auto" w:sz="2" w:space="0"/>
              <w:bottom w:val="single" w:color="auto" w:sz="2" w:space="0"/>
              <w:right w:val="single" w:color="auto" w:sz="2" w:space="0"/>
            </w:tcBorders>
            <w:vAlign w:val="center"/>
          </w:tcPr>
          <w:p w14:paraId="17382EF7">
            <w:pPr>
              <w:pStyle w:val="107"/>
              <w:spacing w:line="240" w:lineRule="auto"/>
              <w:ind w:firstLine="0" w:firstLineChars="0"/>
              <w:jc w:val="center"/>
              <w:rPr>
                <w:rFonts w:ascii="Times New Roman" w:hAnsi="Times New Roman" w:cs="Times New Roman"/>
                <w:color w:val="auto"/>
                <w:sz w:val="21"/>
                <w:szCs w:val="21"/>
              </w:rPr>
            </w:pPr>
            <w:r>
              <w:rPr>
                <w:rFonts w:ascii="Times New Roman" w:hAnsi="Times New Roman" w:cs="Times New Roman"/>
                <w:b w:val="0"/>
                <w:bCs/>
                <w:color w:val="auto"/>
                <w:sz w:val="21"/>
                <w:szCs w:val="21"/>
              </w:rPr>
              <w:t>本项目主要噪声源为</w:t>
            </w:r>
            <w:r>
              <w:rPr>
                <w:rFonts w:hint="eastAsia" w:ascii="Times New Roman" w:hAnsi="Times New Roman" w:cs="Times New Roman"/>
                <w:b w:val="0"/>
                <w:bCs/>
                <w:color w:val="auto"/>
                <w:sz w:val="21"/>
                <w:szCs w:val="21"/>
              </w:rPr>
              <w:t>一体化拉挤切割机、注塑机</w:t>
            </w:r>
            <w:r>
              <w:rPr>
                <w:rFonts w:ascii="Times New Roman" w:hAnsi="Times New Roman" w:cs="Times New Roman"/>
                <w:b w:val="0"/>
                <w:bCs/>
                <w:color w:val="auto"/>
                <w:sz w:val="21"/>
                <w:szCs w:val="21"/>
              </w:rPr>
              <w:t>等机械设备。类比同行业项目设备混合噪声声压级为</w:t>
            </w:r>
            <w:r>
              <w:rPr>
                <w:rFonts w:hint="eastAsia" w:ascii="Times New Roman" w:hAnsi="Times New Roman" w:cs="Times New Roman"/>
                <w:b w:val="0"/>
                <w:bCs/>
                <w:color w:val="auto"/>
                <w:sz w:val="21"/>
                <w:szCs w:val="21"/>
              </w:rPr>
              <w:t>70</w:t>
            </w:r>
            <w:r>
              <w:rPr>
                <w:rFonts w:ascii="Times New Roman" w:hAnsi="Times New Roman" w:cs="Times New Roman"/>
                <w:b w:val="0"/>
                <w:bCs/>
                <w:color w:val="auto"/>
                <w:sz w:val="21"/>
                <w:szCs w:val="21"/>
              </w:rPr>
              <w:t>-8</w:t>
            </w:r>
            <w:r>
              <w:rPr>
                <w:rFonts w:hint="eastAsia" w:ascii="Times New Roman" w:hAnsi="Times New Roman" w:cs="Times New Roman"/>
                <w:b w:val="0"/>
                <w:bCs/>
                <w:color w:val="auto"/>
                <w:sz w:val="21"/>
                <w:szCs w:val="21"/>
              </w:rPr>
              <w:t>0</w:t>
            </w:r>
            <w:r>
              <w:rPr>
                <w:rFonts w:ascii="Times New Roman" w:hAnsi="Times New Roman" w:cs="Times New Roman"/>
                <w:b w:val="0"/>
                <w:bCs/>
                <w:color w:val="auto"/>
                <w:sz w:val="21"/>
                <w:szCs w:val="21"/>
              </w:rPr>
              <w:t>dB（A）</w:t>
            </w:r>
          </w:p>
        </w:tc>
        <w:tc>
          <w:tcPr>
            <w:tcW w:w="1744" w:type="dxa"/>
            <w:tcBorders>
              <w:top w:val="single" w:color="auto" w:sz="2" w:space="0"/>
              <w:left w:val="single" w:color="auto" w:sz="2" w:space="0"/>
              <w:bottom w:val="single" w:color="auto" w:sz="2" w:space="0"/>
              <w:right w:val="single" w:color="auto" w:sz="2" w:space="0"/>
            </w:tcBorders>
            <w:vAlign w:val="center"/>
          </w:tcPr>
          <w:p w14:paraId="17382EF8">
            <w:pPr>
              <w:adjustRightInd w:val="0"/>
              <w:snapToGrid w:val="0"/>
              <w:jc w:val="center"/>
              <w:rPr>
                <w:color w:val="auto"/>
                <w:szCs w:val="21"/>
              </w:rPr>
            </w:pPr>
            <w:r>
              <w:rPr>
                <w:rFonts w:hint="eastAsia"/>
                <w:color w:val="FF0000"/>
                <w:szCs w:val="21"/>
              </w:rPr>
              <w:t>选用低噪声设备、加装减震基座、</w:t>
            </w:r>
            <w:r>
              <w:rPr>
                <w:rFonts w:hint="eastAsia"/>
                <w:color w:val="FF0000"/>
                <w:szCs w:val="21"/>
                <w:lang w:val="en-US" w:eastAsia="zh-CN"/>
              </w:rPr>
              <w:t>风机</w:t>
            </w:r>
            <w:r>
              <w:rPr>
                <w:rFonts w:hint="eastAsia"/>
                <w:color w:val="FF0000"/>
                <w:szCs w:val="21"/>
              </w:rPr>
              <w:t>等配套阻性消声器、合理布局、定期维护设备、建筑隔声、加高厂界围墙并种植绿化、车间采用岩棉夹芯彩钢板隔断降噪等</w:t>
            </w:r>
          </w:p>
        </w:tc>
        <w:tc>
          <w:tcPr>
            <w:tcW w:w="2707" w:type="dxa"/>
            <w:tcBorders>
              <w:top w:val="single" w:color="auto" w:sz="2" w:space="0"/>
              <w:left w:val="single" w:color="auto" w:sz="2" w:space="0"/>
              <w:bottom w:val="single" w:color="auto" w:sz="2" w:space="0"/>
            </w:tcBorders>
            <w:vAlign w:val="center"/>
          </w:tcPr>
          <w:p w14:paraId="17382EF9">
            <w:pPr>
              <w:adjustRightInd w:val="0"/>
              <w:snapToGrid w:val="0"/>
              <w:jc w:val="center"/>
              <w:rPr>
                <w:color w:val="auto"/>
                <w:szCs w:val="21"/>
              </w:rPr>
            </w:pPr>
            <w:r>
              <w:rPr>
                <w:color w:val="auto"/>
                <w:szCs w:val="21"/>
              </w:rPr>
              <w:t>达到《工业企业厂界环境噪声排放标准》（GB12348</w:t>
            </w:r>
            <w:r>
              <w:rPr>
                <w:rFonts w:hint="eastAsia"/>
                <w:color w:val="auto"/>
                <w:szCs w:val="21"/>
              </w:rPr>
              <w:t>-</w:t>
            </w:r>
            <w:r>
              <w:rPr>
                <w:color w:val="auto"/>
                <w:szCs w:val="21"/>
              </w:rPr>
              <w:t>2008）中的</w:t>
            </w:r>
            <w:r>
              <w:rPr>
                <w:rFonts w:hint="eastAsia"/>
                <w:color w:val="auto"/>
                <w:szCs w:val="21"/>
              </w:rPr>
              <w:t>2</w:t>
            </w:r>
            <w:r>
              <w:rPr>
                <w:color w:val="auto"/>
                <w:szCs w:val="21"/>
              </w:rPr>
              <w:t>类标准</w:t>
            </w:r>
          </w:p>
        </w:tc>
      </w:tr>
      <w:tr w14:paraId="17382F0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103" w:type="dxa"/>
          <w:trHeight w:val="454" w:hRule="atLeast"/>
          <w:jc w:val="center"/>
        </w:trPr>
        <w:tc>
          <w:tcPr>
            <w:tcW w:w="1163" w:type="dxa"/>
            <w:tcBorders>
              <w:top w:val="single" w:color="auto" w:sz="2" w:space="0"/>
              <w:bottom w:val="single" w:color="auto" w:sz="2" w:space="0"/>
              <w:right w:val="single" w:color="auto" w:sz="2" w:space="0"/>
            </w:tcBorders>
            <w:vAlign w:val="center"/>
          </w:tcPr>
          <w:p w14:paraId="17382EFB">
            <w:pPr>
              <w:adjustRightInd w:val="0"/>
              <w:snapToGrid w:val="0"/>
              <w:jc w:val="center"/>
              <w:rPr>
                <w:color w:val="auto"/>
                <w:szCs w:val="21"/>
              </w:rPr>
            </w:pPr>
            <w:r>
              <w:rPr>
                <w:color w:val="auto"/>
                <w:szCs w:val="21"/>
              </w:rPr>
              <w:t>电磁辐射</w:t>
            </w:r>
          </w:p>
        </w:tc>
        <w:tc>
          <w:tcPr>
            <w:tcW w:w="2495" w:type="dxa"/>
            <w:gridSpan w:val="3"/>
            <w:tcBorders>
              <w:top w:val="single" w:color="auto" w:sz="2" w:space="0"/>
              <w:left w:val="single" w:color="auto" w:sz="2" w:space="0"/>
              <w:bottom w:val="single" w:color="auto" w:sz="2" w:space="0"/>
              <w:right w:val="single" w:color="auto" w:sz="2" w:space="0"/>
            </w:tcBorders>
            <w:vAlign w:val="center"/>
          </w:tcPr>
          <w:p w14:paraId="17382EFC">
            <w:pPr>
              <w:adjustRightInd w:val="0"/>
              <w:snapToGrid w:val="0"/>
              <w:jc w:val="center"/>
              <w:rPr>
                <w:color w:val="auto"/>
                <w:szCs w:val="21"/>
              </w:rPr>
            </w:pPr>
            <w:r>
              <w:rPr>
                <w:color w:val="auto"/>
                <w:szCs w:val="21"/>
              </w:rPr>
              <w:t>/</w:t>
            </w:r>
          </w:p>
        </w:tc>
        <w:tc>
          <w:tcPr>
            <w:tcW w:w="950" w:type="dxa"/>
            <w:tcBorders>
              <w:top w:val="single" w:color="auto" w:sz="2" w:space="0"/>
              <w:left w:val="single" w:color="auto" w:sz="2" w:space="0"/>
              <w:bottom w:val="single" w:color="auto" w:sz="2" w:space="0"/>
              <w:right w:val="single" w:color="auto" w:sz="2" w:space="0"/>
            </w:tcBorders>
            <w:vAlign w:val="center"/>
          </w:tcPr>
          <w:p w14:paraId="17382EFD">
            <w:pPr>
              <w:adjustRightInd w:val="0"/>
              <w:snapToGrid w:val="0"/>
              <w:jc w:val="center"/>
              <w:rPr>
                <w:color w:val="auto"/>
                <w:szCs w:val="21"/>
              </w:rPr>
            </w:pPr>
            <w:r>
              <w:rPr>
                <w:color w:val="auto"/>
                <w:szCs w:val="21"/>
              </w:rPr>
              <w:t>/</w:t>
            </w:r>
          </w:p>
        </w:tc>
        <w:tc>
          <w:tcPr>
            <w:tcW w:w="1744" w:type="dxa"/>
            <w:tcBorders>
              <w:top w:val="single" w:color="auto" w:sz="2" w:space="0"/>
              <w:left w:val="single" w:color="auto" w:sz="2" w:space="0"/>
              <w:bottom w:val="single" w:color="auto" w:sz="2" w:space="0"/>
              <w:right w:val="single" w:color="auto" w:sz="2" w:space="0"/>
            </w:tcBorders>
            <w:vAlign w:val="center"/>
          </w:tcPr>
          <w:p w14:paraId="17382EFE">
            <w:pPr>
              <w:adjustRightInd w:val="0"/>
              <w:snapToGrid w:val="0"/>
              <w:jc w:val="center"/>
              <w:rPr>
                <w:color w:val="auto"/>
                <w:szCs w:val="21"/>
              </w:rPr>
            </w:pPr>
            <w:r>
              <w:rPr>
                <w:color w:val="auto"/>
                <w:szCs w:val="21"/>
              </w:rPr>
              <w:t>/</w:t>
            </w:r>
          </w:p>
        </w:tc>
        <w:tc>
          <w:tcPr>
            <w:tcW w:w="2707" w:type="dxa"/>
            <w:tcBorders>
              <w:top w:val="single" w:color="auto" w:sz="2" w:space="0"/>
              <w:left w:val="single" w:color="auto" w:sz="2" w:space="0"/>
              <w:bottom w:val="single" w:color="auto" w:sz="2" w:space="0"/>
            </w:tcBorders>
            <w:vAlign w:val="center"/>
          </w:tcPr>
          <w:p w14:paraId="17382EFF">
            <w:pPr>
              <w:adjustRightInd w:val="0"/>
              <w:snapToGrid w:val="0"/>
              <w:jc w:val="center"/>
              <w:rPr>
                <w:color w:val="auto"/>
                <w:szCs w:val="21"/>
              </w:rPr>
            </w:pPr>
            <w:r>
              <w:rPr>
                <w:color w:val="auto"/>
                <w:szCs w:val="21"/>
              </w:rPr>
              <w:t>/</w:t>
            </w:r>
          </w:p>
        </w:tc>
      </w:tr>
      <w:tr w14:paraId="17382F0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103" w:type="dxa"/>
          <w:trHeight w:val="454" w:hRule="atLeast"/>
          <w:jc w:val="center"/>
        </w:trPr>
        <w:tc>
          <w:tcPr>
            <w:tcW w:w="1163" w:type="dxa"/>
            <w:tcBorders>
              <w:top w:val="single" w:color="auto" w:sz="2" w:space="0"/>
              <w:bottom w:val="single" w:color="auto" w:sz="2" w:space="0"/>
              <w:right w:val="single" w:color="auto" w:sz="2" w:space="0"/>
            </w:tcBorders>
            <w:vAlign w:val="center"/>
          </w:tcPr>
          <w:p w14:paraId="17382F01">
            <w:pPr>
              <w:adjustRightInd w:val="0"/>
              <w:snapToGrid w:val="0"/>
              <w:jc w:val="center"/>
              <w:rPr>
                <w:color w:val="auto"/>
                <w:szCs w:val="21"/>
              </w:rPr>
            </w:pPr>
            <w:r>
              <w:rPr>
                <w:color w:val="auto"/>
                <w:szCs w:val="21"/>
              </w:rPr>
              <w:t>固体废物</w:t>
            </w:r>
          </w:p>
        </w:tc>
        <w:tc>
          <w:tcPr>
            <w:tcW w:w="7896" w:type="dxa"/>
            <w:gridSpan w:val="6"/>
            <w:tcBorders>
              <w:top w:val="single" w:color="auto" w:sz="2" w:space="0"/>
              <w:left w:val="single" w:color="auto" w:sz="2" w:space="0"/>
              <w:bottom w:val="single" w:color="auto" w:sz="2" w:space="0"/>
            </w:tcBorders>
            <w:vAlign w:val="center"/>
          </w:tcPr>
          <w:p w14:paraId="17382F02">
            <w:pPr>
              <w:adjustRightInd w:val="0"/>
              <w:snapToGrid w:val="0"/>
              <w:jc w:val="center"/>
              <w:rPr>
                <w:color w:val="auto"/>
                <w:szCs w:val="21"/>
              </w:rPr>
            </w:pPr>
            <w:r>
              <w:rPr>
                <w:color w:val="auto"/>
                <w:szCs w:val="21"/>
              </w:rPr>
              <w:t>废</w:t>
            </w:r>
            <w:r>
              <w:rPr>
                <w:rFonts w:hint="eastAsia"/>
                <w:color w:val="auto"/>
                <w:szCs w:val="21"/>
              </w:rPr>
              <w:t>机油、废包装桶等</w:t>
            </w:r>
            <w:r>
              <w:rPr>
                <w:color w:val="auto"/>
                <w:szCs w:val="21"/>
              </w:rPr>
              <w:t>收集后委托有资质单位处置；</w:t>
            </w:r>
            <w:r>
              <w:rPr>
                <w:rFonts w:hint="eastAsia"/>
                <w:color w:val="auto"/>
                <w:szCs w:val="21"/>
              </w:rPr>
              <w:t>除尘器收集粉尘等收集后</w:t>
            </w:r>
            <w:r>
              <w:rPr>
                <w:color w:val="auto"/>
                <w:szCs w:val="21"/>
              </w:rPr>
              <w:t>外售</w:t>
            </w:r>
            <w:r>
              <w:rPr>
                <w:rFonts w:hint="eastAsia"/>
                <w:color w:val="auto"/>
                <w:szCs w:val="21"/>
              </w:rPr>
              <w:t>相关</w:t>
            </w:r>
            <w:r>
              <w:rPr>
                <w:color w:val="auto"/>
                <w:szCs w:val="21"/>
              </w:rPr>
              <w:t>单位</w:t>
            </w:r>
            <w:r>
              <w:rPr>
                <w:rFonts w:hint="eastAsia"/>
                <w:color w:val="auto"/>
                <w:szCs w:val="21"/>
              </w:rPr>
              <w:t>；</w:t>
            </w:r>
            <w:r>
              <w:rPr>
                <w:color w:val="auto"/>
                <w:szCs w:val="21"/>
              </w:rPr>
              <w:t>生活垃圾</w:t>
            </w:r>
            <w:r>
              <w:rPr>
                <w:rFonts w:hint="eastAsia"/>
                <w:color w:val="auto"/>
                <w:szCs w:val="21"/>
              </w:rPr>
              <w:t>等</w:t>
            </w:r>
            <w:r>
              <w:rPr>
                <w:color w:val="auto"/>
                <w:szCs w:val="21"/>
              </w:rPr>
              <w:t>委托环卫清运。</w:t>
            </w:r>
          </w:p>
        </w:tc>
      </w:tr>
      <w:tr w14:paraId="17382F0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103" w:type="dxa"/>
          <w:trHeight w:val="454" w:hRule="atLeast"/>
          <w:jc w:val="center"/>
        </w:trPr>
        <w:tc>
          <w:tcPr>
            <w:tcW w:w="1163" w:type="dxa"/>
            <w:tcBorders>
              <w:top w:val="single" w:color="auto" w:sz="2" w:space="0"/>
              <w:bottom w:val="single" w:color="auto" w:sz="2" w:space="0"/>
              <w:right w:val="single" w:color="auto" w:sz="2" w:space="0"/>
            </w:tcBorders>
            <w:vAlign w:val="center"/>
          </w:tcPr>
          <w:p w14:paraId="17382F04">
            <w:pPr>
              <w:adjustRightInd w:val="0"/>
              <w:snapToGrid w:val="0"/>
              <w:jc w:val="center"/>
              <w:rPr>
                <w:color w:val="auto"/>
                <w:szCs w:val="21"/>
              </w:rPr>
            </w:pPr>
            <w:r>
              <w:rPr>
                <w:color w:val="auto"/>
                <w:szCs w:val="21"/>
              </w:rPr>
              <w:t>土壤及地下水污染防治措施</w:t>
            </w:r>
          </w:p>
        </w:tc>
        <w:tc>
          <w:tcPr>
            <w:tcW w:w="7896" w:type="dxa"/>
            <w:gridSpan w:val="6"/>
            <w:tcBorders>
              <w:top w:val="single" w:color="auto" w:sz="2" w:space="0"/>
              <w:left w:val="single" w:color="auto" w:sz="2" w:space="0"/>
              <w:bottom w:val="single" w:color="auto" w:sz="2" w:space="0"/>
            </w:tcBorders>
            <w:vAlign w:val="center"/>
          </w:tcPr>
          <w:p w14:paraId="17382F05">
            <w:pPr>
              <w:adjustRightInd w:val="0"/>
              <w:snapToGrid w:val="0"/>
              <w:jc w:val="center"/>
              <w:rPr>
                <w:color w:val="auto"/>
                <w:szCs w:val="21"/>
              </w:rPr>
            </w:pPr>
            <w:r>
              <w:rPr>
                <w:color w:val="auto"/>
                <w:szCs w:val="21"/>
              </w:rPr>
              <w:t>危废仓库属于重点污染防治区，其余厂区地面和道路进行简单防渗。</w:t>
            </w:r>
          </w:p>
        </w:tc>
      </w:tr>
      <w:tr w14:paraId="17382F0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103" w:type="dxa"/>
          <w:trHeight w:val="454" w:hRule="atLeast"/>
          <w:jc w:val="center"/>
        </w:trPr>
        <w:tc>
          <w:tcPr>
            <w:tcW w:w="1163" w:type="dxa"/>
            <w:tcBorders>
              <w:top w:val="single" w:color="auto" w:sz="2" w:space="0"/>
              <w:bottom w:val="single" w:color="auto" w:sz="2" w:space="0"/>
              <w:right w:val="single" w:color="auto" w:sz="2" w:space="0"/>
            </w:tcBorders>
            <w:vAlign w:val="center"/>
          </w:tcPr>
          <w:p w14:paraId="17382F07">
            <w:pPr>
              <w:adjustRightInd w:val="0"/>
              <w:snapToGrid w:val="0"/>
              <w:jc w:val="center"/>
              <w:rPr>
                <w:color w:val="auto"/>
                <w:szCs w:val="21"/>
              </w:rPr>
            </w:pPr>
            <w:r>
              <w:rPr>
                <w:color w:val="auto"/>
                <w:szCs w:val="21"/>
              </w:rPr>
              <w:t>生态保护措施</w:t>
            </w:r>
          </w:p>
        </w:tc>
        <w:tc>
          <w:tcPr>
            <w:tcW w:w="7896" w:type="dxa"/>
            <w:gridSpan w:val="6"/>
            <w:tcBorders>
              <w:top w:val="single" w:color="auto" w:sz="2" w:space="0"/>
              <w:left w:val="single" w:color="auto" w:sz="2" w:space="0"/>
              <w:bottom w:val="single" w:color="auto" w:sz="2" w:space="0"/>
            </w:tcBorders>
            <w:vAlign w:val="center"/>
          </w:tcPr>
          <w:p w14:paraId="17382F08">
            <w:pPr>
              <w:adjustRightInd w:val="0"/>
              <w:snapToGrid w:val="0"/>
              <w:jc w:val="center"/>
              <w:rPr>
                <w:color w:val="auto"/>
                <w:szCs w:val="21"/>
              </w:rPr>
            </w:pPr>
            <w:r>
              <w:rPr>
                <w:color w:val="auto"/>
                <w:szCs w:val="21"/>
              </w:rPr>
              <w:t>建设项目建成后，产生的污染经采用适当的污染防治措施实现达标排放后，对区域的生态环境影响可以接受。</w:t>
            </w:r>
          </w:p>
        </w:tc>
      </w:tr>
      <w:tr w14:paraId="17382F0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103" w:type="dxa"/>
          <w:trHeight w:val="454" w:hRule="atLeast"/>
          <w:jc w:val="center"/>
        </w:trPr>
        <w:tc>
          <w:tcPr>
            <w:tcW w:w="1163" w:type="dxa"/>
            <w:tcBorders>
              <w:top w:val="single" w:color="auto" w:sz="2" w:space="0"/>
              <w:bottom w:val="single" w:color="auto" w:sz="2" w:space="0"/>
              <w:right w:val="single" w:color="auto" w:sz="2" w:space="0"/>
            </w:tcBorders>
            <w:vAlign w:val="center"/>
          </w:tcPr>
          <w:p w14:paraId="17382F0A">
            <w:pPr>
              <w:adjustRightInd w:val="0"/>
              <w:snapToGrid w:val="0"/>
              <w:jc w:val="center"/>
              <w:rPr>
                <w:color w:val="auto"/>
                <w:szCs w:val="21"/>
              </w:rPr>
            </w:pPr>
            <w:r>
              <w:rPr>
                <w:color w:val="auto"/>
                <w:szCs w:val="21"/>
              </w:rPr>
              <w:t>环境风险防范措施</w:t>
            </w:r>
          </w:p>
        </w:tc>
        <w:tc>
          <w:tcPr>
            <w:tcW w:w="7896" w:type="dxa"/>
            <w:gridSpan w:val="6"/>
            <w:tcBorders>
              <w:top w:val="single" w:color="auto" w:sz="2" w:space="0"/>
              <w:left w:val="single" w:color="auto" w:sz="2" w:space="0"/>
              <w:bottom w:val="single" w:color="auto" w:sz="2" w:space="0"/>
            </w:tcBorders>
            <w:vAlign w:val="center"/>
          </w:tcPr>
          <w:p w14:paraId="17382F0B">
            <w:pPr>
              <w:adjustRightInd w:val="0"/>
              <w:snapToGrid w:val="0"/>
              <w:jc w:val="center"/>
              <w:rPr>
                <w:color w:val="auto"/>
                <w:szCs w:val="21"/>
              </w:rPr>
            </w:pPr>
            <w:r>
              <w:rPr>
                <w:color w:val="auto"/>
                <w:szCs w:val="21"/>
              </w:rPr>
              <w:t>加强生产管理，并落实各项安全管理规定，预计采取以上措施后，风险完全可控。</w:t>
            </w:r>
          </w:p>
        </w:tc>
      </w:tr>
      <w:tr w14:paraId="17382F1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gridAfter w:val="1"/>
          <w:wAfter w:w="103" w:type="dxa"/>
          <w:trHeight w:val="454" w:hRule="atLeast"/>
          <w:jc w:val="center"/>
        </w:trPr>
        <w:tc>
          <w:tcPr>
            <w:tcW w:w="1163" w:type="dxa"/>
            <w:tcBorders>
              <w:top w:val="single" w:color="auto" w:sz="2" w:space="0"/>
              <w:bottom w:val="single" w:color="auto" w:sz="8" w:space="0"/>
              <w:right w:val="single" w:color="auto" w:sz="2" w:space="0"/>
            </w:tcBorders>
            <w:vAlign w:val="center"/>
          </w:tcPr>
          <w:p w14:paraId="17382F0D">
            <w:pPr>
              <w:adjustRightInd w:val="0"/>
              <w:snapToGrid w:val="0"/>
              <w:jc w:val="center"/>
              <w:rPr>
                <w:color w:val="auto"/>
                <w:spacing w:val="-8"/>
                <w:szCs w:val="21"/>
              </w:rPr>
            </w:pPr>
            <w:r>
              <w:rPr>
                <w:color w:val="auto"/>
                <w:szCs w:val="21"/>
              </w:rPr>
              <w:t>其他环境管理要求</w:t>
            </w:r>
          </w:p>
        </w:tc>
        <w:tc>
          <w:tcPr>
            <w:tcW w:w="7896" w:type="dxa"/>
            <w:gridSpan w:val="6"/>
            <w:tcBorders>
              <w:top w:val="single" w:color="auto" w:sz="2" w:space="0"/>
              <w:left w:val="single" w:color="auto" w:sz="2" w:space="0"/>
              <w:bottom w:val="single" w:color="auto" w:sz="8" w:space="0"/>
            </w:tcBorders>
            <w:vAlign w:val="center"/>
          </w:tcPr>
          <w:p w14:paraId="17382F0F">
            <w:pPr>
              <w:adjustRightInd w:val="0"/>
              <w:snapToGrid w:val="0"/>
              <w:jc w:val="left"/>
              <w:rPr>
                <w:color w:val="auto"/>
                <w:szCs w:val="21"/>
              </w:rPr>
            </w:pPr>
            <w:r>
              <w:rPr>
                <w:color w:val="auto"/>
                <w:szCs w:val="21"/>
              </w:rPr>
              <w:t>制定管理制度，配备专职或兼职的环境管理人员，建立污染防治设施管理档案，加强污染治理措施的维修、保养及管理，确保污染治理措施正常运转。</w:t>
            </w:r>
          </w:p>
        </w:tc>
      </w:tr>
    </w:tbl>
    <w:p w14:paraId="17382F11">
      <w:pPr>
        <w:pStyle w:val="81"/>
        <w:spacing w:after="0" w:afterAutospacing="0"/>
        <w:jc w:val="center"/>
        <w:outlineLvl w:val="0"/>
        <w:rPr>
          <w:rFonts w:ascii="Times New Roman" w:hAnsi="Times New Roman"/>
          <w:b/>
          <w:bCs/>
          <w:snapToGrid w:val="0"/>
          <w:color w:val="auto"/>
          <w:sz w:val="30"/>
          <w:szCs w:val="30"/>
        </w:rPr>
      </w:pPr>
      <w:r>
        <w:rPr>
          <w:rFonts w:ascii="Times New Roman" w:hAnsi="Times New Roman"/>
          <w:snapToGrid w:val="0"/>
          <w:color w:val="auto"/>
        </w:rPr>
        <w:br w:type="page"/>
      </w:r>
      <w:r>
        <w:rPr>
          <w:rFonts w:ascii="Times New Roman" w:hAnsi="Times New Roman"/>
          <w:b/>
          <w:bCs/>
          <w:snapToGrid w:val="0"/>
          <w:color w:val="auto"/>
          <w:sz w:val="30"/>
          <w:szCs w:val="30"/>
        </w:rPr>
        <w:t>六、结论</w:t>
      </w:r>
    </w:p>
    <w:tbl>
      <w:tblPr>
        <w:tblStyle w:val="88"/>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9060"/>
      </w:tblGrid>
      <w:tr w14:paraId="17382F1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2423" w:hRule="atLeast"/>
          <w:jc w:val="center"/>
        </w:trPr>
        <w:tc>
          <w:tcPr>
            <w:tcW w:w="8865" w:type="dxa"/>
          </w:tcPr>
          <w:p w14:paraId="17382F12">
            <w:pPr>
              <w:adjustRightInd w:val="0"/>
              <w:snapToGrid w:val="0"/>
              <w:spacing w:line="360" w:lineRule="auto"/>
              <w:ind w:firstLine="480" w:firstLineChars="200"/>
              <w:rPr>
                <w:bCs/>
                <w:color w:val="auto"/>
                <w:sz w:val="24"/>
              </w:rPr>
            </w:pPr>
            <w:r>
              <w:rPr>
                <w:bCs/>
                <w:color w:val="auto"/>
                <w:kern w:val="0"/>
                <w:sz w:val="24"/>
              </w:rPr>
              <w:t>通过对本项目环境影响评价后认为：项目建设符合国家产业政</w:t>
            </w:r>
            <w:r>
              <w:rPr>
                <w:bCs/>
                <w:color w:val="auto"/>
                <w:sz w:val="24"/>
              </w:rPr>
              <w:t>策；项目选址于</w:t>
            </w:r>
            <w:r>
              <w:rPr>
                <w:rFonts w:hint="eastAsia"/>
                <w:bCs/>
                <w:color w:val="auto"/>
                <w:sz w:val="24"/>
              </w:rPr>
              <w:t>淮安市淮安市淮阴区马头镇东港路一号</w:t>
            </w:r>
            <w:r>
              <w:rPr>
                <w:bCs/>
                <w:color w:val="auto"/>
                <w:sz w:val="24"/>
              </w:rPr>
              <w:t>，符合用地规划要求；建设单位在认真落实本报告</w:t>
            </w:r>
            <w:r>
              <w:rPr>
                <w:rFonts w:hint="eastAsia"/>
                <w:bCs/>
                <w:color w:val="auto"/>
                <w:sz w:val="24"/>
                <w:lang w:eastAsia="zh-CN"/>
              </w:rPr>
              <w:t>表</w:t>
            </w:r>
            <w:r>
              <w:rPr>
                <w:bCs/>
                <w:color w:val="auto"/>
                <w:sz w:val="24"/>
              </w:rPr>
              <w:t>提出的各项环保措施与建议，对预期产生的主要污染物采取切实可行的污染治理措施，确保实现达标排放，最大限度减小对项目所在地环境影响的前提下，从环境保护角度论证，在拟建地址建设是可行的。</w:t>
            </w:r>
          </w:p>
          <w:p w14:paraId="17382F13">
            <w:pPr>
              <w:spacing w:line="360" w:lineRule="auto"/>
              <w:rPr>
                <w:color w:val="auto"/>
                <w:sz w:val="24"/>
              </w:rPr>
            </w:pPr>
          </w:p>
        </w:tc>
      </w:tr>
    </w:tbl>
    <w:p w14:paraId="1AF94BE9">
      <w:pPr>
        <w:rPr>
          <w:color w:val="auto"/>
        </w:rPr>
        <w:sectPr>
          <w:pgSz w:w="11906" w:h="16838"/>
          <w:pgMar w:top="1701" w:right="1531" w:bottom="1701" w:left="1531" w:header="851" w:footer="851" w:gutter="0"/>
          <w:cols w:space="720" w:num="1"/>
          <w:docGrid w:linePitch="312" w:charSpace="0"/>
        </w:sectPr>
      </w:pPr>
    </w:p>
    <w:p w14:paraId="17382F16">
      <w:pPr>
        <w:pStyle w:val="81"/>
        <w:adjustRightInd w:val="0"/>
        <w:snapToGrid w:val="0"/>
        <w:spacing w:before="0" w:beforeAutospacing="0" w:after="0" w:afterAutospacing="0" w:line="648" w:lineRule="auto"/>
        <w:outlineLvl w:val="0"/>
        <w:rPr>
          <w:rFonts w:ascii="Times New Roman" w:hAnsi="Times New Roman"/>
          <w:snapToGrid w:val="0"/>
          <w:color w:val="auto"/>
          <w:sz w:val="32"/>
          <w:szCs w:val="32"/>
        </w:rPr>
      </w:pPr>
      <w:r>
        <w:rPr>
          <w:rFonts w:ascii="Times New Roman" w:hAnsi="Times New Roman"/>
          <w:snapToGrid w:val="0"/>
          <w:color w:val="auto"/>
          <w:sz w:val="32"/>
          <w:szCs w:val="32"/>
        </w:rPr>
        <w:t>附表</w:t>
      </w:r>
    </w:p>
    <w:p w14:paraId="17382F17">
      <w:pPr>
        <w:pStyle w:val="81"/>
        <w:adjustRightInd w:val="0"/>
        <w:snapToGrid w:val="0"/>
        <w:spacing w:before="0" w:beforeAutospacing="0" w:after="0" w:afterAutospacing="0" w:line="360" w:lineRule="auto"/>
        <w:jc w:val="center"/>
        <w:outlineLvl w:val="0"/>
        <w:rPr>
          <w:rFonts w:ascii="Times New Roman" w:hAnsi="Times New Roman"/>
          <w:snapToGrid w:val="0"/>
          <w:color w:val="auto"/>
          <w:sz w:val="38"/>
          <w:szCs w:val="38"/>
        </w:rPr>
      </w:pPr>
      <w:r>
        <w:rPr>
          <w:rFonts w:ascii="Times New Roman" w:hAnsi="Times New Roman"/>
          <w:snapToGrid w:val="0"/>
          <w:color w:val="auto"/>
          <w:sz w:val="38"/>
          <w:szCs w:val="38"/>
        </w:rPr>
        <w:t>建设项目污染物排放量汇总表</w:t>
      </w:r>
    </w:p>
    <w:tbl>
      <w:tblPr>
        <w:tblStyle w:val="88"/>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064"/>
        <w:gridCol w:w="449"/>
        <w:gridCol w:w="1731"/>
        <w:gridCol w:w="1612"/>
        <w:gridCol w:w="1194"/>
        <w:gridCol w:w="1612"/>
        <w:gridCol w:w="1471"/>
        <w:gridCol w:w="1668"/>
        <w:gridCol w:w="1552"/>
        <w:gridCol w:w="1139"/>
      </w:tblGrid>
      <w:tr w14:paraId="17382F2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tcBorders>
              <w:tl2br w:val="single" w:color="auto" w:sz="4" w:space="0"/>
            </w:tcBorders>
            <w:tcMar>
              <w:left w:w="28" w:type="dxa"/>
              <w:right w:w="28" w:type="dxa"/>
            </w:tcMar>
            <w:vAlign w:val="center"/>
          </w:tcPr>
          <w:p w14:paraId="17382F18">
            <w:pPr>
              <w:pStyle w:val="136"/>
              <w:spacing w:beforeLines="0" w:afterLines="0" w:line="240" w:lineRule="auto"/>
              <w:jc w:val="right"/>
              <w:rPr>
                <w:rFonts w:ascii="Times New Roman"/>
                <w:snapToGrid w:val="0"/>
                <w:color w:val="auto"/>
                <w:szCs w:val="21"/>
                <w:lang w:val="en-US"/>
              </w:rPr>
            </w:pPr>
            <w:r>
              <w:rPr>
                <w:rFonts w:ascii="Times New Roman"/>
                <w:snapToGrid w:val="0"/>
                <w:color w:val="auto"/>
                <w:szCs w:val="21"/>
                <w:lang w:val="en-US"/>
              </w:rPr>
              <w:t>项目</w:t>
            </w:r>
          </w:p>
          <w:p w14:paraId="17382F19">
            <w:pPr>
              <w:pStyle w:val="136"/>
              <w:spacing w:beforeLines="0" w:afterLines="0" w:line="240" w:lineRule="auto"/>
              <w:jc w:val="left"/>
              <w:rPr>
                <w:rFonts w:ascii="Times New Roman"/>
                <w:snapToGrid w:val="0"/>
                <w:color w:val="auto"/>
                <w:szCs w:val="21"/>
                <w:lang w:val="en-US"/>
              </w:rPr>
            </w:pPr>
            <w:r>
              <w:rPr>
                <w:rFonts w:ascii="Times New Roman"/>
                <w:snapToGrid w:val="0"/>
                <w:color w:val="auto"/>
                <w:szCs w:val="21"/>
                <w:lang w:val="en-US"/>
              </w:rPr>
              <w:t>分类</w:t>
            </w:r>
          </w:p>
        </w:tc>
        <w:tc>
          <w:tcPr>
            <w:tcW w:w="806" w:type="pct"/>
            <w:gridSpan w:val="2"/>
            <w:tcMar>
              <w:left w:w="28" w:type="dxa"/>
              <w:right w:w="28" w:type="dxa"/>
            </w:tcMar>
            <w:vAlign w:val="center"/>
          </w:tcPr>
          <w:p w14:paraId="17382F1A">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污染物名称</w:t>
            </w:r>
          </w:p>
        </w:tc>
        <w:tc>
          <w:tcPr>
            <w:tcW w:w="597" w:type="pct"/>
            <w:tcMar>
              <w:left w:w="28" w:type="dxa"/>
              <w:right w:w="28" w:type="dxa"/>
            </w:tcMar>
            <w:vAlign w:val="center"/>
          </w:tcPr>
          <w:p w14:paraId="17382F1B">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现有工程</w:t>
            </w:r>
          </w:p>
          <w:p w14:paraId="17382F1C">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排放量（固体废物产生量）</w:t>
            </w:r>
            <w:r>
              <w:rPr>
                <w:rFonts w:ascii="Times New Roman"/>
                <w:snapToGrid w:val="0"/>
                <w:color w:val="auto"/>
                <w:szCs w:val="21"/>
                <w:lang w:val="en-US"/>
              </w:rPr>
              <w:fldChar w:fldCharType="begin"/>
            </w:r>
            <w:r>
              <w:rPr>
                <w:rFonts w:ascii="Times New Roman"/>
                <w:snapToGrid w:val="0"/>
                <w:color w:val="auto"/>
                <w:szCs w:val="21"/>
                <w:lang w:val="en-US"/>
              </w:rPr>
              <w:instrText xml:space="preserve"> = 1 \* GB3 \* MERGEFORMAT </w:instrText>
            </w:r>
            <w:r>
              <w:rPr>
                <w:rFonts w:ascii="Times New Roman"/>
                <w:snapToGrid w:val="0"/>
                <w:color w:val="auto"/>
                <w:szCs w:val="21"/>
                <w:lang w:val="en-US"/>
              </w:rPr>
              <w:fldChar w:fldCharType="separate"/>
            </w:r>
            <w:r>
              <w:rPr>
                <w:rFonts w:ascii="Times New Roman"/>
                <w:snapToGrid w:val="0"/>
                <w:color w:val="auto"/>
                <w:szCs w:val="21"/>
                <w:lang w:val="en-US"/>
              </w:rPr>
              <w:t>①</w:t>
            </w:r>
            <w:r>
              <w:rPr>
                <w:rFonts w:ascii="Times New Roman"/>
                <w:snapToGrid w:val="0"/>
                <w:color w:val="auto"/>
                <w:szCs w:val="21"/>
                <w:lang w:val="en-US"/>
              </w:rPr>
              <w:fldChar w:fldCharType="end"/>
            </w:r>
          </w:p>
        </w:tc>
        <w:tc>
          <w:tcPr>
            <w:tcW w:w="442" w:type="pct"/>
            <w:tcMar>
              <w:left w:w="28" w:type="dxa"/>
              <w:right w:w="28" w:type="dxa"/>
            </w:tcMar>
            <w:vAlign w:val="center"/>
          </w:tcPr>
          <w:p w14:paraId="17382F1D">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现有工程</w:t>
            </w:r>
          </w:p>
          <w:p w14:paraId="17382F1E">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许可排放量</w:t>
            </w:r>
          </w:p>
          <w:p w14:paraId="17382F1F">
            <w:pPr>
              <w:pStyle w:val="136"/>
              <w:spacing w:beforeLines="0" w:afterLines="0"/>
              <w:rPr>
                <w:rFonts w:ascii="Times New Roman"/>
                <w:snapToGrid w:val="0"/>
                <w:color w:val="auto"/>
                <w:szCs w:val="21"/>
                <w:lang w:val="en-US"/>
              </w:rPr>
            </w:pPr>
            <w:r>
              <w:rPr>
                <w:rFonts w:ascii="Times New Roman"/>
                <w:snapToGrid w:val="0"/>
                <w:color w:val="auto"/>
                <w:szCs w:val="21"/>
                <w:lang w:val="en-US"/>
              </w:rPr>
              <w:fldChar w:fldCharType="begin"/>
            </w:r>
            <w:r>
              <w:rPr>
                <w:rFonts w:ascii="Times New Roman"/>
                <w:snapToGrid w:val="0"/>
                <w:color w:val="auto"/>
                <w:szCs w:val="21"/>
                <w:lang w:val="en-US"/>
              </w:rPr>
              <w:instrText xml:space="preserve"> = 2 \* GB3 \* MERGEFORMAT </w:instrText>
            </w:r>
            <w:r>
              <w:rPr>
                <w:rFonts w:ascii="Times New Roman"/>
                <w:snapToGrid w:val="0"/>
                <w:color w:val="auto"/>
                <w:szCs w:val="21"/>
                <w:lang w:val="en-US"/>
              </w:rPr>
              <w:fldChar w:fldCharType="separate"/>
            </w:r>
            <w:r>
              <w:rPr>
                <w:rFonts w:ascii="Times New Roman"/>
                <w:snapToGrid w:val="0"/>
                <w:color w:val="auto"/>
                <w:szCs w:val="21"/>
                <w:lang w:val="en-US"/>
              </w:rPr>
              <w:t>②</w:t>
            </w:r>
            <w:r>
              <w:rPr>
                <w:rFonts w:ascii="Times New Roman"/>
                <w:snapToGrid w:val="0"/>
                <w:color w:val="auto"/>
                <w:szCs w:val="21"/>
                <w:lang w:val="en-US"/>
              </w:rPr>
              <w:fldChar w:fldCharType="end"/>
            </w:r>
          </w:p>
        </w:tc>
        <w:tc>
          <w:tcPr>
            <w:tcW w:w="597" w:type="pct"/>
            <w:tcMar>
              <w:left w:w="28" w:type="dxa"/>
              <w:right w:w="28" w:type="dxa"/>
            </w:tcMar>
            <w:vAlign w:val="center"/>
          </w:tcPr>
          <w:p w14:paraId="17382F20">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在建工程</w:t>
            </w:r>
          </w:p>
          <w:p w14:paraId="17382F21">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排放量（固体废物产生量）</w:t>
            </w:r>
            <w:r>
              <w:rPr>
                <w:rFonts w:ascii="Times New Roman"/>
                <w:snapToGrid w:val="0"/>
                <w:color w:val="auto"/>
                <w:szCs w:val="21"/>
                <w:lang w:val="en-US"/>
              </w:rPr>
              <w:fldChar w:fldCharType="begin"/>
            </w:r>
            <w:r>
              <w:rPr>
                <w:rFonts w:ascii="Times New Roman"/>
                <w:snapToGrid w:val="0"/>
                <w:color w:val="auto"/>
                <w:szCs w:val="21"/>
                <w:lang w:val="en-US"/>
              </w:rPr>
              <w:instrText xml:space="preserve"> = 3 \* GB3 \* MERGEFORMAT </w:instrText>
            </w:r>
            <w:r>
              <w:rPr>
                <w:rFonts w:ascii="Times New Roman"/>
                <w:snapToGrid w:val="0"/>
                <w:color w:val="auto"/>
                <w:szCs w:val="21"/>
                <w:lang w:val="en-US"/>
              </w:rPr>
              <w:fldChar w:fldCharType="separate"/>
            </w:r>
            <w:r>
              <w:rPr>
                <w:rFonts w:ascii="Times New Roman"/>
                <w:snapToGrid w:val="0"/>
                <w:color w:val="auto"/>
                <w:szCs w:val="21"/>
                <w:lang w:val="en-US"/>
              </w:rPr>
              <w:t>③</w:t>
            </w:r>
            <w:r>
              <w:rPr>
                <w:rFonts w:ascii="Times New Roman"/>
                <w:snapToGrid w:val="0"/>
                <w:color w:val="auto"/>
                <w:szCs w:val="21"/>
                <w:lang w:val="en-US"/>
              </w:rPr>
              <w:fldChar w:fldCharType="end"/>
            </w:r>
          </w:p>
        </w:tc>
        <w:tc>
          <w:tcPr>
            <w:tcW w:w="545" w:type="pct"/>
            <w:tcMar>
              <w:left w:w="28" w:type="dxa"/>
              <w:right w:w="28" w:type="dxa"/>
            </w:tcMar>
            <w:vAlign w:val="center"/>
          </w:tcPr>
          <w:p w14:paraId="17382F22">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本项目</w:t>
            </w:r>
          </w:p>
          <w:p w14:paraId="17382F23">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排放量（固体废物产生量）</w:t>
            </w:r>
            <w:r>
              <w:rPr>
                <w:rFonts w:ascii="Times New Roman"/>
                <w:snapToGrid w:val="0"/>
                <w:color w:val="auto"/>
                <w:szCs w:val="21"/>
                <w:lang w:val="en-US"/>
              </w:rPr>
              <w:fldChar w:fldCharType="begin"/>
            </w:r>
            <w:r>
              <w:rPr>
                <w:rFonts w:ascii="Times New Roman"/>
                <w:snapToGrid w:val="0"/>
                <w:color w:val="auto"/>
                <w:szCs w:val="21"/>
                <w:lang w:val="en-US"/>
              </w:rPr>
              <w:instrText xml:space="preserve"> = 4 \* GB3 \* MERGEFORMAT </w:instrText>
            </w:r>
            <w:r>
              <w:rPr>
                <w:rFonts w:ascii="Times New Roman"/>
                <w:snapToGrid w:val="0"/>
                <w:color w:val="auto"/>
                <w:szCs w:val="21"/>
                <w:lang w:val="en-US"/>
              </w:rPr>
              <w:fldChar w:fldCharType="separate"/>
            </w:r>
            <w:r>
              <w:rPr>
                <w:rFonts w:ascii="Times New Roman"/>
                <w:snapToGrid w:val="0"/>
                <w:color w:val="auto"/>
                <w:szCs w:val="21"/>
                <w:lang w:val="en-US"/>
              </w:rPr>
              <w:t>④</w:t>
            </w:r>
            <w:r>
              <w:rPr>
                <w:rFonts w:ascii="Times New Roman"/>
                <w:snapToGrid w:val="0"/>
                <w:color w:val="auto"/>
                <w:szCs w:val="21"/>
                <w:lang w:val="en-US"/>
              </w:rPr>
              <w:fldChar w:fldCharType="end"/>
            </w:r>
          </w:p>
        </w:tc>
        <w:tc>
          <w:tcPr>
            <w:tcW w:w="618" w:type="pct"/>
            <w:tcMar>
              <w:left w:w="28" w:type="dxa"/>
              <w:right w:w="28" w:type="dxa"/>
            </w:tcMar>
            <w:vAlign w:val="center"/>
          </w:tcPr>
          <w:p w14:paraId="17382F24">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以新带老削减量</w:t>
            </w:r>
          </w:p>
          <w:p w14:paraId="17382F25">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（新建项目不填）</w:t>
            </w:r>
            <w:r>
              <w:rPr>
                <w:rFonts w:ascii="Times New Roman"/>
                <w:snapToGrid w:val="0"/>
                <w:color w:val="auto"/>
                <w:szCs w:val="21"/>
                <w:lang w:val="en-US"/>
              </w:rPr>
              <w:fldChar w:fldCharType="begin"/>
            </w:r>
            <w:r>
              <w:rPr>
                <w:rFonts w:ascii="Times New Roman"/>
                <w:snapToGrid w:val="0"/>
                <w:color w:val="auto"/>
                <w:szCs w:val="21"/>
                <w:lang w:val="en-US"/>
              </w:rPr>
              <w:instrText xml:space="preserve"> = 5 \* GB3 \* MERGEFORMAT </w:instrText>
            </w:r>
            <w:r>
              <w:rPr>
                <w:rFonts w:ascii="Times New Roman"/>
                <w:snapToGrid w:val="0"/>
                <w:color w:val="auto"/>
                <w:szCs w:val="21"/>
                <w:lang w:val="en-US"/>
              </w:rPr>
              <w:fldChar w:fldCharType="separate"/>
            </w:r>
            <w:r>
              <w:rPr>
                <w:rFonts w:ascii="Times New Roman"/>
                <w:snapToGrid w:val="0"/>
                <w:color w:val="auto"/>
                <w:szCs w:val="21"/>
                <w:lang w:val="en-US"/>
              </w:rPr>
              <w:t>⑤</w:t>
            </w:r>
            <w:r>
              <w:rPr>
                <w:rFonts w:ascii="Times New Roman"/>
                <w:snapToGrid w:val="0"/>
                <w:color w:val="auto"/>
                <w:szCs w:val="21"/>
                <w:lang w:val="en-US"/>
              </w:rPr>
              <w:fldChar w:fldCharType="end"/>
            </w:r>
          </w:p>
        </w:tc>
        <w:tc>
          <w:tcPr>
            <w:tcW w:w="575" w:type="pct"/>
            <w:tcMar>
              <w:left w:w="28" w:type="dxa"/>
              <w:right w:w="28" w:type="dxa"/>
            </w:tcMar>
            <w:vAlign w:val="center"/>
          </w:tcPr>
          <w:p w14:paraId="17382F26">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本项目建成后</w:t>
            </w:r>
          </w:p>
          <w:p w14:paraId="17382F27">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全厂排放量（固体废物产生量）</w:t>
            </w:r>
            <w:r>
              <w:rPr>
                <w:rFonts w:ascii="Times New Roman"/>
                <w:snapToGrid w:val="0"/>
                <w:color w:val="auto"/>
                <w:szCs w:val="21"/>
                <w:lang w:val="en-US"/>
              </w:rPr>
              <w:fldChar w:fldCharType="begin"/>
            </w:r>
            <w:r>
              <w:rPr>
                <w:rFonts w:ascii="Times New Roman"/>
                <w:snapToGrid w:val="0"/>
                <w:color w:val="auto"/>
                <w:szCs w:val="21"/>
                <w:lang w:val="en-US"/>
              </w:rPr>
              <w:instrText xml:space="preserve"> = 6 \* GB3 \* MERGEFORMAT </w:instrText>
            </w:r>
            <w:r>
              <w:rPr>
                <w:rFonts w:ascii="Times New Roman"/>
                <w:snapToGrid w:val="0"/>
                <w:color w:val="auto"/>
                <w:szCs w:val="21"/>
                <w:lang w:val="en-US"/>
              </w:rPr>
              <w:fldChar w:fldCharType="separate"/>
            </w:r>
            <w:r>
              <w:rPr>
                <w:rFonts w:ascii="Times New Roman"/>
                <w:snapToGrid w:val="0"/>
                <w:color w:val="auto"/>
                <w:szCs w:val="21"/>
                <w:lang w:val="en-US"/>
              </w:rPr>
              <w:t>⑥</w:t>
            </w:r>
            <w:r>
              <w:rPr>
                <w:rFonts w:ascii="Times New Roman"/>
                <w:snapToGrid w:val="0"/>
                <w:color w:val="auto"/>
                <w:szCs w:val="21"/>
                <w:lang w:val="en-US"/>
              </w:rPr>
              <w:fldChar w:fldCharType="end"/>
            </w:r>
          </w:p>
        </w:tc>
        <w:tc>
          <w:tcPr>
            <w:tcW w:w="422" w:type="pct"/>
            <w:tcMar>
              <w:left w:w="28" w:type="dxa"/>
              <w:right w:w="28" w:type="dxa"/>
            </w:tcMar>
            <w:vAlign w:val="center"/>
          </w:tcPr>
          <w:p w14:paraId="17382F28">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变化量</w:t>
            </w:r>
          </w:p>
          <w:p w14:paraId="17382F29">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fldChar w:fldCharType="begin"/>
            </w:r>
            <w:r>
              <w:rPr>
                <w:rFonts w:ascii="Times New Roman"/>
                <w:snapToGrid w:val="0"/>
                <w:color w:val="auto"/>
                <w:szCs w:val="21"/>
                <w:lang w:val="en-US"/>
              </w:rPr>
              <w:instrText xml:space="preserve"> = 7 \* GB3 \* MERGEFORMAT </w:instrText>
            </w:r>
            <w:r>
              <w:rPr>
                <w:rFonts w:ascii="Times New Roman"/>
                <w:snapToGrid w:val="0"/>
                <w:color w:val="auto"/>
                <w:szCs w:val="21"/>
                <w:lang w:val="en-US"/>
              </w:rPr>
              <w:fldChar w:fldCharType="separate"/>
            </w:r>
            <w:r>
              <w:rPr>
                <w:rFonts w:ascii="Times New Roman"/>
                <w:snapToGrid w:val="0"/>
                <w:color w:val="auto"/>
                <w:szCs w:val="21"/>
                <w:lang w:val="en-US"/>
              </w:rPr>
              <w:t>⑦</w:t>
            </w:r>
            <w:r>
              <w:rPr>
                <w:rFonts w:ascii="Times New Roman"/>
                <w:snapToGrid w:val="0"/>
                <w:color w:val="auto"/>
                <w:szCs w:val="21"/>
                <w:lang w:val="en-US"/>
              </w:rPr>
              <w:fldChar w:fldCharType="end"/>
            </w:r>
          </w:p>
        </w:tc>
      </w:tr>
      <w:tr w14:paraId="17382F3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Merge w:val="restart"/>
            <w:vAlign w:val="center"/>
          </w:tcPr>
          <w:p w14:paraId="17382F2B">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废气</w:t>
            </w:r>
          </w:p>
        </w:tc>
        <w:tc>
          <w:tcPr>
            <w:tcW w:w="806" w:type="pct"/>
            <w:gridSpan w:val="2"/>
            <w:vAlign w:val="center"/>
          </w:tcPr>
          <w:p w14:paraId="17382F2C">
            <w:pPr>
              <w:spacing w:line="280" w:lineRule="exact"/>
              <w:jc w:val="center"/>
              <w:rPr>
                <w:snapToGrid w:val="0"/>
                <w:color w:val="auto"/>
                <w:szCs w:val="21"/>
              </w:rPr>
            </w:pPr>
            <w:r>
              <w:rPr>
                <w:rFonts w:hint="eastAsia"/>
                <w:bCs/>
                <w:color w:val="auto"/>
                <w:szCs w:val="21"/>
              </w:rPr>
              <w:t>颗粒物</w:t>
            </w:r>
            <w:r>
              <w:rPr>
                <w:bCs/>
                <w:color w:val="auto"/>
                <w:szCs w:val="21"/>
              </w:rPr>
              <w:t>（有组织）</w:t>
            </w:r>
          </w:p>
        </w:tc>
        <w:tc>
          <w:tcPr>
            <w:tcW w:w="597" w:type="pct"/>
            <w:vAlign w:val="center"/>
          </w:tcPr>
          <w:p w14:paraId="17382F2D">
            <w:pPr>
              <w:jc w:val="center"/>
              <w:rPr>
                <w:snapToGrid w:val="0"/>
                <w:color w:val="auto"/>
                <w:kern w:val="0"/>
                <w:szCs w:val="21"/>
              </w:rPr>
            </w:pPr>
            <w:r>
              <w:rPr>
                <w:snapToGrid w:val="0"/>
                <w:color w:val="auto"/>
                <w:kern w:val="0"/>
                <w:szCs w:val="21"/>
              </w:rPr>
              <w:t>0</w:t>
            </w:r>
          </w:p>
        </w:tc>
        <w:tc>
          <w:tcPr>
            <w:tcW w:w="442" w:type="pct"/>
            <w:vAlign w:val="center"/>
          </w:tcPr>
          <w:p w14:paraId="17382F2E">
            <w:pPr>
              <w:jc w:val="center"/>
              <w:rPr>
                <w:snapToGrid w:val="0"/>
                <w:color w:val="auto"/>
                <w:kern w:val="0"/>
                <w:szCs w:val="21"/>
              </w:rPr>
            </w:pPr>
            <w:r>
              <w:rPr>
                <w:snapToGrid w:val="0"/>
                <w:color w:val="auto"/>
                <w:kern w:val="0"/>
                <w:szCs w:val="21"/>
              </w:rPr>
              <w:t>0</w:t>
            </w:r>
          </w:p>
        </w:tc>
        <w:tc>
          <w:tcPr>
            <w:tcW w:w="597" w:type="pct"/>
            <w:vAlign w:val="center"/>
          </w:tcPr>
          <w:p w14:paraId="17382F2F">
            <w:pPr>
              <w:jc w:val="center"/>
              <w:rPr>
                <w:snapToGrid w:val="0"/>
                <w:color w:val="auto"/>
                <w:kern w:val="0"/>
                <w:szCs w:val="21"/>
              </w:rPr>
            </w:pPr>
            <w:r>
              <w:rPr>
                <w:snapToGrid w:val="0"/>
                <w:color w:val="auto"/>
                <w:kern w:val="0"/>
                <w:szCs w:val="21"/>
              </w:rPr>
              <w:t>0</w:t>
            </w:r>
          </w:p>
        </w:tc>
        <w:tc>
          <w:tcPr>
            <w:tcW w:w="1473" w:type="dxa"/>
            <w:vAlign w:val="center"/>
          </w:tcPr>
          <w:p w14:paraId="17382F30">
            <w:pPr>
              <w:pStyle w:val="136"/>
              <w:spacing w:beforeLines="0" w:afterLines="0" w:line="240" w:lineRule="auto"/>
              <w:rPr>
                <w:rFonts w:ascii="Times New Roman"/>
                <w:snapToGrid w:val="0"/>
                <w:color w:val="auto"/>
                <w:szCs w:val="21"/>
                <w:lang w:val="en-US"/>
              </w:rPr>
            </w:pPr>
            <w:r>
              <w:rPr>
                <w:rFonts w:hint="eastAsia" w:ascii="Times New Roman"/>
                <w:snapToGrid w:val="0"/>
                <w:color w:val="auto"/>
                <w:szCs w:val="21"/>
                <w:lang w:val="en-US"/>
              </w:rPr>
              <w:t>0.1295</w:t>
            </w:r>
          </w:p>
        </w:tc>
        <w:tc>
          <w:tcPr>
            <w:tcW w:w="618" w:type="pct"/>
            <w:vAlign w:val="center"/>
          </w:tcPr>
          <w:p w14:paraId="17382F31">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1554" w:type="dxa"/>
            <w:vAlign w:val="center"/>
          </w:tcPr>
          <w:p w14:paraId="17382F32">
            <w:pPr>
              <w:pStyle w:val="136"/>
              <w:spacing w:beforeLines="0" w:afterLines="0" w:line="240" w:lineRule="auto"/>
              <w:rPr>
                <w:rFonts w:ascii="Times New Roman"/>
                <w:bCs/>
                <w:color w:val="auto"/>
                <w:szCs w:val="21"/>
              </w:rPr>
            </w:pPr>
            <w:r>
              <w:rPr>
                <w:rFonts w:hint="eastAsia" w:ascii="Times New Roman"/>
                <w:snapToGrid w:val="0"/>
                <w:color w:val="auto"/>
                <w:szCs w:val="21"/>
                <w:lang w:val="en-US"/>
              </w:rPr>
              <w:t xml:space="preserve">0.1295 </w:t>
            </w:r>
          </w:p>
        </w:tc>
        <w:tc>
          <w:tcPr>
            <w:tcW w:w="1139" w:type="dxa"/>
            <w:vAlign w:val="center"/>
          </w:tcPr>
          <w:p w14:paraId="17382F33">
            <w:pPr>
              <w:pStyle w:val="136"/>
              <w:spacing w:beforeLines="0" w:afterLines="0" w:line="240" w:lineRule="auto"/>
              <w:rPr>
                <w:rFonts w:ascii="Times New Roman"/>
                <w:bCs/>
                <w:color w:val="auto"/>
                <w:szCs w:val="21"/>
              </w:rPr>
            </w:pPr>
            <w:r>
              <w:rPr>
                <w:rFonts w:hint="eastAsia" w:ascii="Times New Roman"/>
                <w:snapToGrid w:val="0"/>
                <w:color w:val="auto"/>
                <w:szCs w:val="21"/>
                <w:lang w:val="en-US"/>
              </w:rPr>
              <w:t>+0.1295</w:t>
            </w:r>
          </w:p>
        </w:tc>
      </w:tr>
      <w:tr w14:paraId="17382F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Merge w:val="continue"/>
            <w:vAlign w:val="center"/>
          </w:tcPr>
          <w:p w14:paraId="17382F35">
            <w:pPr>
              <w:pStyle w:val="136"/>
              <w:spacing w:beforeLines="0" w:afterLines="0" w:line="240" w:lineRule="auto"/>
              <w:rPr>
                <w:rFonts w:ascii="Times New Roman"/>
                <w:snapToGrid w:val="0"/>
                <w:color w:val="auto"/>
                <w:szCs w:val="21"/>
                <w:lang w:val="en-US"/>
              </w:rPr>
            </w:pPr>
          </w:p>
        </w:tc>
        <w:tc>
          <w:tcPr>
            <w:tcW w:w="806" w:type="pct"/>
            <w:gridSpan w:val="2"/>
            <w:vAlign w:val="center"/>
          </w:tcPr>
          <w:p w14:paraId="17382F36">
            <w:pPr>
              <w:spacing w:line="280" w:lineRule="exact"/>
              <w:jc w:val="center"/>
              <w:rPr>
                <w:snapToGrid w:val="0"/>
                <w:color w:val="auto"/>
                <w:szCs w:val="21"/>
              </w:rPr>
            </w:pPr>
            <w:r>
              <w:rPr>
                <w:rFonts w:hint="eastAsia"/>
                <w:bCs/>
                <w:color w:val="auto"/>
                <w:szCs w:val="21"/>
              </w:rPr>
              <w:t>颗粒物</w:t>
            </w:r>
            <w:r>
              <w:rPr>
                <w:bCs/>
                <w:color w:val="auto"/>
                <w:szCs w:val="21"/>
              </w:rPr>
              <w:t>（无组织）</w:t>
            </w:r>
          </w:p>
        </w:tc>
        <w:tc>
          <w:tcPr>
            <w:tcW w:w="597" w:type="pct"/>
            <w:vAlign w:val="center"/>
          </w:tcPr>
          <w:p w14:paraId="17382F37">
            <w:pPr>
              <w:jc w:val="center"/>
              <w:rPr>
                <w:snapToGrid w:val="0"/>
                <w:color w:val="auto"/>
                <w:kern w:val="0"/>
                <w:szCs w:val="21"/>
              </w:rPr>
            </w:pPr>
            <w:r>
              <w:rPr>
                <w:snapToGrid w:val="0"/>
                <w:color w:val="auto"/>
                <w:kern w:val="0"/>
                <w:szCs w:val="21"/>
              </w:rPr>
              <w:t>0</w:t>
            </w:r>
          </w:p>
        </w:tc>
        <w:tc>
          <w:tcPr>
            <w:tcW w:w="442" w:type="pct"/>
            <w:vAlign w:val="center"/>
          </w:tcPr>
          <w:p w14:paraId="17382F38">
            <w:pPr>
              <w:jc w:val="center"/>
              <w:rPr>
                <w:snapToGrid w:val="0"/>
                <w:color w:val="auto"/>
                <w:kern w:val="0"/>
                <w:szCs w:val="21"/>
              </w:rPr>
            </w:pPr>
            <w:r>
              <w:rPr>
                <w:snapToGrid w:val="0"/>
                <w:color w:val="auto"/>
                <w:kern w:val="0"/>
                <w:szCs w:val="21"/>
              </w:rPr>
              <w:t>0</w:t>
            </w:r>
          </w:p>
        </w:tc>
        <w:tc>
          <w:tcPr>
            <w:tcW w:w="597" w:type="pct"/>
            <w:vAlign w:val="center"/>
          </w:tcPr>
          <w:p w14:paraId="17382F39">
            <w:pPr>
              <w:jc w:val="center"/>
              <w:rPr>
                <w:snapToGrid w:val="0"/>
                <w:color w:val="auto"/>
                <w:kern w:val="0"/>
                <w:szCs w:val="21"/>
              </w:rPr>
            </w:pPr>
            <w:r>
              <w:rPr>
                <w:snapToGrid w:val="0"/>
                <w:color w:val="auto"/>
                <w:kern w:val="0"/>
                <w:szCs w:val="21"/>
              </w:rPr>
              <w:t>0</w:t>
            </w:r>
          </w:p>
        </w:tc>
        <w:tc>
          <w:tcPr>
            <w:tcW w:w="1473" w:type="dxa"/>
            <w:vAlign w:val="center"/>
          </w:tcPr>
          <w:p w14:paraId="17382F3A">
            <w:pPr>
              <w:pStyle w:val="136"/>
              <w:spacing w:beforeLines="0" w:afterLines="0" w:line="240" w:lineRule="auto"/>
              <w:rPr>
                <w:rFonts w:ascii="Times New Roman"/>
                <w:snapToGrid w:val="0"/>
                <w:color w:val="auto"/>
                <w:szCs w:val="21"/>
                <w:lang w:val="en-US"/>
              </w:rPr>
            </w:pPr>
            <w:r>
              <w:rPr>
                <w:rFonts w:hint="eastAsia" w:ascii="Times New Roman"/>
                <w:snapToGrid w:val="0"/>
                <w:color w:val="auto"/>
                <w:szCs w:val="21"/>
                <w:lang w:val="en-US"/>
              </w:rPr>
              <w:t xml:space="preserve">0.1712 </w:t>
            </w:r>
          </w:p>
        </w:tc>
        <w:tc>
          <w:tcPr>
            <w:tcW w:w="618" w:type="pct"/>
            <w:vAlign w:val="center"/>
          </w:tcPr>
          <w:p w14:paraId="17382F3B">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1554" w:type="dxa"/>
            <w:vAlign w:val="center"/>
          </w:tcPr>
          <w:p w14:paraId="17382F3C">
            <w:pPr>
              <w:pStyle w:val="136"/>
              <w:spacing w:beforeLines="0" w:afterLines="0" w:line="240" w:lineRule="auto"/>
              <w:rPr>
                <w:rFonts w:ascii="Times New Roman"/>
                <w:bCs/>
                <w:color w:val="auto"/>
                <w:szCs w:val="21"/>
              </w:rPr>
            </w:pPr>
            <w:r>
              <w:rPr>
                <w:rFonts w:hint="eastAsia" w:ascii="Times New Roman"/>
                <w:snapToGrid w:val="0"/>
                <w:color w:val="auto"/>
                <w:szCs w:val="21"/>
                <w:lang w:val="en-US"/>
              </w:rPr>
              <w:t xml:space="preserve">0.1712 </w:t>
            </w:r>
          </w:p>
        </w:tc>
        <w:tc>
          <w:tcPr>
            <w:tcW w:w="1139" w:type="dxa"/>
            <w:vAlign w:val="center"/>
          </w:tcPr>
          <w:p w14:paraId="17382F3D">
            <w:pPr>
              <w:pStyle w:val="136"/>
              <w:spacing w:beforeLines="0" w:afterLines="0" w:line="240" w:lineRule="auto"/>
              <w:rPr>
                <w:rFonts w:ascii="Times New Roman"/>
                <w:bCs/>
                <w:color w:val="auto"/>
                <w:szCs w:val="21"/>
              </w:rPr>
            </w:pPr>
            <w:r>
              <w:rPr>
                <w:rFonts w:hint="eastAsia" w:ascii="Times New Roman"/>
                <w:snapToGrid w:val="0"/>
                <w:color w:val="auto"/>
                <w:szCs w:val="21"/>
                <w:lang w:val="en-US"/>
              </w:rPr>
              <w:t xml:space="preserve">+0.1712 </w:t>
            </w:r>
          </w:p>
        </w:tc>
      </w:tr>
      <w:tr w14:paraId="17382F4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Merge w:val="continue"/>
            <w:vAlign w:val="center"/>
          </w:tcPr>
          <w:p w14:paraId="17382F3F">
            <w:pPr>
              <w:pStyle w:val="136"/>
              <w:spacing w:beforeLines="0" w:afterLines="0" w:line="240" w:lineRule="auto"/>
              <w:rPr>
                <w:rFonts w:ascii="Times New Roman"/>
                <w:snapToGrid w:val="0"/>
                <w:color w:val="auto"/>
                <w:szCs w:val="21"/>
                <w:lang w:val="en-US"/>
              </w:rPr>
            </w:pPr>
          </w:p>
        </w:tc>
        <w:tc>
          <w:tcPr>
            <w:tcW w:w="806" w:type="pct"/>
            <w:gridSpan w:val="2"/>
            <w:vAlign w:val="center"/>
          </w:tcPr>
          <w:p w14:paraId="17382F40">
            <w:pPr>
              <w:spacing w:line="280" w:lineRule="exact"/>
              <w:jc w:val="center"/>
              <w:rPr>
                <w:bCs/>
                <w:color w:val="auto"/>
                <w:szCs w:val="21"/>
              </w:rPr>
            </w:pPr>
            <w:r>
              <w:rPr>
                <w:rFonts w:hint="eastAsia"/>
                <w:bCs/>
                <w:color w:val="auto"/>
                <w:szCs w:val="21"/>
              </w:rPr>
              <w:t>VOCs</w:t>
            </w:r>
            <w:r>
              <w:rPr>
                <w:bCs/>
                <w:color w:val="auto"/>
                <w:szCs w:val="21"/>
              </w:rPr>
              <w:t>（有组织）</w:t>
            </w:r>
          </w:p>
        </w:tc>
        <w:tc>
          <w:tcPr>
            <w:tcW w:w="597" w:type="pct"/>
            <w:vAlign w:val="center"/>
          </w:tcPr>
          <w:p w14:paraId="17382F41">
            <w:pPr>
              <w:jc w:val="center"/>
              <w:rPr>
                <w:snapToGrid w:val="0"/>
                <w:color w:val="auto"/>
                <w:kern w:val="0"/>
                <w:szCs w:val="21"/>
              </w:rPr>
            </w:pPr>
            <w:r>
              <w:rPr>
                <w:rFonts w:hint="eastAsia"/>
                <w:snapToGrid w:val="0"/>
                <w:color w:val="auto"/>
                <w:kern w:val="0"/>
                <w:szCs w:val="21"/>
              </w:rPr>
              <w:t>0</w:t>
            </w:r>
          </w:p>
        </w:tc>
        <w:tc>
          <w:tcPr>
            <w:tcW w:w="442" w:type="pct"/>
            <w:vAlign w:val="center"/>
          </w:tcPr>
          <w:p w14:paraId="17382F42">
            <w:pPr>
              <w:jc w:val="center"/>
              <w:rPr>
                <w:snapToGrid w:val="0"/>
                <w:color w:val="auto"/>
                <w:kern w:val="0"/>
                <w:szCs w:val="21"/>
              </w:rPr>
            </w:pPr>
            <w:r>
              <w:rPr>
                <w:rFonts w:hint="eastAsia"/>
                <w:snapToGrid w:val="0"/>
                <w:color w:val="auto"/>
                <w:kern w:val="0"/>
                <w:szCs w:val="21"/>
              </w:rPr>
              <w:t>0</w:t>
            </w:r>
          </w:p>
        </w:tc>
        <w:tc>
          <w:tcPr>
            <w:tcW w:w="597" w:type="pct"/>
            <w:vAlign w:val="center"/>
          </w:tcPr>
          <w:p w14:paraId="17382F43">
            <w:pPr>
              <w:jc w:val="center"/>
              <w:rPr>
                <w:snapToGrid w:val="0"/>
                <w:color w:val="auto"/>
                <w:kern w:val="0"/>
                <w:szCs w:val="21"/>
              </w:rPr>
            </w:pPr>
            <w:r>
              <w:rPr>
                <w:rFonts w:hint="eastAsia"/>
                <w:snapToGrid w:val="0"/>
                <w:color w:val="auto"/>
                <w:kern w:val="0"/>
                <w:szCs w:val="21"/>
              </w:rPr>
              <w:t>0</w:t>
            </w:r>
          </w:p>
        </w:tc>
        <w:tc>
          <w:tcPr>
            <w:tcW w:w="1473" w:type="dxa"/>
            <w:vAlign w:val="center"/>
          </w:tcPr>
          <w:p w14:paraId="17382F44">
            <w:pPr>
              <w:pStyle w:val="136"/>
              <w:spacing w:beforeLines="0" w:afterLines="0" w:line="240" w:lineRule="auto"/>
              <w:rPr>
                <w:rFonts w:hint="default" w:ascii="Times New Roman" w:eastAsia="宋体"/>
                <w:snapToGrid w:val="0"/>
                <w:color w:val="auto"/>
                <w:szCs w:val="21"/>
                <w:lang w:val="en-US" w:eastAsia="zh-CN"/>
              </w:rPr>
            </w:pPr>
            <w:r>
              <w:rPr>
                <w:rFonts w:hint="eastAsia" w:ascii="Times New Roman"/>
                <w:snapToGrid w:val="0"/>
                <w:color w:val="auto"/>
                <w:szCs w:val="21"/>
                <w:lang w:val="en-US" w:eastAsia="zh-CN"/>
              </w:rPr>
              <w:t>0.0183</w:t>
            </w:r>
          </w:p>
        </w:tc>
        <w:tc>
          <w:tcPr>
            <w:tcW w:w="618" w:type="pct"/>
            <w:vAlign w:val="center"/>
          </w:tcPr>
          <w:p w14:paraId="17382F45">
            <w:pPr>
              <w:pStyle w:val="136"/>
              <w:spacing w:beforeLines="0" w:afterLines="0" w:line="240" w:lineRule="auto"/>
              <w:rPr>
                <w:rFonts w:ascii="Times New Roman"/>
                <w:snapToGrid w:val="0"/>
                <w:color w:val="auto"/>
                <w:szCs w:val="21"/>
                <w:lang w:val="en-US"/>
              </w:rPr>
            </w:pPr>
            <w:r>
              <w:rPr>
                <w:rFonts w:hint="eastAsia" w:ascii="Times New Roman"/>
                <w:snapToGrid w:val="0"/>
                <w:color w:val="auto"/>
                <w:szCs w:val="21"/>
                <w:lang w:val="en-US"/>
              </w:rPr>
              <w:t>0</w:t>
            </w:r>
          </w:p>
        </w:tc>
        <w:tc>
          <w:tcPr>
            <w:tcW w:w="1554" w:type="dxa"/>
            <w:vAlign w:val="center"/>
          </w:tcPr>
          <w:p w14:paraId="17382F46">
            <w:pPr>
              <w:pStyle w:val="136"/>
              <w:spacing w:beforeLines="0" w:afterLines="0" w:line="240" w:lineRule="auto"/>
              <w:rPr>
                <w:rFonts w:ascii="Times New Roman"/>
                <w:bCs/>
                <w:color w:val="auto"/>
                <w:szCs w:val="21"/>
              </w:rPr>
            </w:pPr>
            <w:r>
              <w:rPr>
                <w:rFonts w:hint="eastAsia" w:ascii="Times New Roman"/>
                <w:snapToGrid w:val="0"/>
                <w:color w:val="auto"/>
                <w:szCs w:val="21"/>
                <w:lang w:val="en-US" w:eastAsia="zh-CN"/>
              </w:rPr>
              <w:t>0.0183</w:t>
            </w:r>
          </w:p>
        </w:tc>
        <w:tc>
          <w:tcPr>
            <w:tcW w:w="1139" w:type="dxa"/>
            <w:vAlign w:val="center"/>
          </w:tcPr>
          <w:p w14:paraId="17382F47">
            <w:pPr>
              <w:pStyle w:val="136"/>
              <w:spacing w:beforeLines="0" w:afterLines="0" w:line="240" w:lineRule="auto"/>
              <w:rPr>
                <w:rFonts w:ascii="Times New Roman"/>
                <w:bCs/>
                <w:color w:val="auto"/>
                <w:szCs w:val="21"/>
                <w:lang w:val="en-US"/>
              </w:rPr>
            </w:pPr>
            <w:r>
              <w:rPr>
                <w:rFonts w:hint="eastAsia" w:ascii="Times New Roman"/>
                <w:snapToGrid w:val="0"/>
                <w:color w:val="auto"/>
                <w:szCs w:val="21"/>
                <w:lang w:val="en-US" w:eastAsia="zh-CN"/>
              </w:rPr>
              <w:t>+0.0183</w:t>
            </w:r>
          </w:p>
        </w:tc>
      </w:tr>
      <w:tr w14:paraId="17382F5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Merge w:val="continue"/>
            <w:vAlign w:val="center"/>
          </w:tcPr>
          <w:p w14:paraId="17382F49">
            <w:pPr>
              <w:pStyle w:val="136"/>
              <w:spacing w:beforeLines="0" w:afterLines="0" w:line="240" w:lineRule="auto"/>
              <w:rPr>
                <w:rFonts w:ascii="Times New Roman"/>
                <w:snapToGrid w:val="0"/>
                <w:color w:val="auto"/>
                <w:szCs w:val="21"/>
                <w:lang w:val="en-US"/>
              </w:rPr>
            </w:pPr>
          </w:p>
        </w:tc>
        <w:tc>
          <w:tcPr>
            <w:tcW w:w="806" w:type="pct"/>
            <w:gridSpan w:val="2"/>
            <w:vAlign w:val="center"/>
          </w:tcPr>
          <w:p w14:paraId="17382F4A">
            <w:pPr>
              <w:spacing w:line="280" w:lineRule="exact"/>
              <w:jc w:val="center"/>
              <w:rPr>
                <w:bCs/>
                <w:color w:val="auto"/>
                <w:szCs w:val="21"/>
              </w:rPr>
            </w:pPr>
            <w:r>
              <w:rPr>
                <w:rFonts w:hint="eastAsia"/>
                <w:bCs/>
                <w:color w:val="auto"/>
                <w:szCs w:val="21"/>
              </w:rPr>
              <w:t>VOCs</w:t>
            </w:r>
            <w:r>
              <w:rPr>
                <w:bCs/>
                <w:color w:val="auto"/>
                <w:szCs w:val="21"/>
              </w:rPr>
              <w:t>（无组织）</w:t>
            </w:r>
          </w:p>
        </w:tc>
        <w:tc>
          <w:tcPr>
            <w:tcW w:w="597" w:type="pct"/>
            <w:vAlign w:val="center"/>
          </w:tcPr>
          <w:p w14:paraId="17382F4B">
            <w:pPr>
              <w:jc w:val="center"/>
              <w:rPr>
                <w:snapToGrid w:val="0"/>
                <w:color w:val="auto"/>
                <w:kern w:val="0"/>
                <w:szCs w:val="21"/>
              </w:rPr>
            </w:pPr>
            <w:r>
              <w:rPr>
                <w:rFonts w:hint="eastAsia"/>
                <w:snapToGrid w:val="0"/>
                <w:color w:val="auto"/>
                <w:kern w:val="0"/>
                <w:szCs w:val="21"/>
              </w:rPr>
              <w:t>0</w:t>
            </w:r>
          </w:p>
        </w:tc>
        <w:tc>
          <w:tcPr>
            <w:tcW w:w="442" w:type="pct"/>
            <w:vAlign w:val="center"/>
          </w:tcPr>
          <w:p w14:paraId="17382F4C">
            <w:pPr>
              <w:jc w:val="center"/>
              <w:rPr>
                <w:snapToGrid w:val="0"/>
                <w:color w:val="auto"/>
                <w:kern w:val="0"/>
                <w:szCs w:val="21"/>
              </w:rPr>
            </w:pPr>
            <w:r>
              <w:rPr>
                <w:rFonts w:hint="eastAsia"/>
                <w:snapToGrid w:val="0"/>
                <w:color w:val="auto"/>
                <w:kern w:val="0"/>
                <w:szCs w:val="21"/>
              </w:rPr>
              <w:t>0</w:t>
            </w:r>
          </w:p>
        </w:tc>
        <w:tc>
          <w:tcPr>
            <w:tcW w:w="597" w:type="pct"/>
            <w:vAlign w:val="center"/>
          </w:tcPr>
          <w:p w14:paraId="17382F4D">
            <w:pPr>
              <w:jc w:val="center"/>
              <w:rPr>
                <w:snapToGrid w:val="0"/>
                <w:color w:val="auto"/>
                <w:kern w:val="0"/>
                <w:szCs w:val="21"/>
              </w:rPr>
            </w:pPr>
            <w:r>
              <w:rPr>
                <w:rFonts w:hint="eastAsia"/>
                <w:snapToGrid w:val="0"/>
                <w:color w:val="auto"/>
                <w:kern w:val="0"/>
                <w:szCs w:val="21"/>
              </w:rPr>
              <w:t>0</w:t>
            </w:r>
          </w:p>
        </w:tc>
        <w:tc>
          <w:tcPr>
            <w:tcW w:w="1473" w:type="dxa"/>
            <w:vAlign w:val="center"/>
          </w:tcPr>
          <w:p w14:paraId="17382F4E">
            <w:pPr>
              <w:pStyle w:val="136"/>
              <w:spacing w:beforeLines="0" w:afterLines="0" w:line="240" w:lineRule="auto"/>
              <w:rPr>
                <w:rFonts w:hint="default" w:ascii="Times New Roman" w:eastAsia="宋体"/>
                <w:snapToGrid w:val="0"/>
                <w:color w:val="auto"/>
                <w:szCs w:val="21"/>
                <w:lang w:val="en-US" w:eastAsia="zh-CN"/>
              </w:rPr>
            </w:pPr>
            <w:r>
              <w:rPr>
                <w:rFonts w:hint="eastAsia" w:ascii="Times New Roman"/>
                <w:snapToGrid w:val="0"/>
                <w:color w:val="auto"/>
                <w:szCs w:val="21"/>
                <w:lang w:val="en-US" w:eastAsia="zh-CN"/>
              </w:rPr>
              <w:t>0.0096</w:t>
            </w:r>
          </w:p>
        </w:tc>
        <w:tc>
          <w:tcPr>
            <w:tcW w:w="618" w:type="pct"/>
            <w:vAlign w:val="center"/>
          </w:tcPr>
          <w:p w14:paraId="17382F4F">
            <w:pPr>
              <w:pStyle w:val="136"/>
              <w:spacing w:beforeLines="0" w:afterLines="0" w:line="240" w:lineRule="auto"/>
              <w:rPr>
                <w:rFonts w:ascii="Times New Roman"/>
                <w:snapToGrid w:val="0"/>
                <w:color w:val="auto"/>
                <w:szCs w:val="21"/>
                <w:lang w:val="en-US"/>
              </w:rPr>
            </w:pPr>
            <w:r>
              <w:rPr>
                <w:rFonts w:hint="eastAsia" w:ascii="Times New Roman"/>
                <w:snapToGrid w:val="0"/>
                <w:color w:val="auto"/>
                <w:szCs w:val="21"/>
                <w:lang w:val="en-US"/>
              </w:rPr>
              <w:t>0</w:t>
            </w:r>
          </w:p>
        </w:tc>
        <w:tc>
          <w:tcPr>
            <w:tcW w:w="1554" w:type="dxa"/>
            <w:vAlign w:val="center"/>
          </w:tcPr>
          <w:p w14:paraId="17382F50">
            <w:pPr>
              <w:pStyle w:val="136"/>
              <w:spacing w:beforeLines="0" w:afterLines="0" w:line="240" w:lineRule="auto"/>
              <w:rPr>
                <w:rFonts w:ascii="Times New Roman"/>
                <w:bCs/>
                <w:color w:val="auto"/>
                <w:szCs w:val="21"/>
              </w:rPr>
            </w:pPr>
            <w:r>
              <w:rPr>
                <w:rFonts w:hint="eastAsia" w:ascii="Times New Roman"/>
                <w:snapToGrid w:val="0"/>
                <w:color w:val="auto"/>
                <w:szCs w:val="21"/>
                <w:lang w:val="en-US" w:eastAsia="zh-CN"/>
              </w:rPr>
              <w:t>0.0096</w:t>
            </w:r>
          </w:p>
        </w:tc>
        <w:tc>
          <w:tcPr>
            <w:tcW w:w="1139" w:type="dxa"/>
            <w:vAlign w:val="center"/>
          </w:tcPr>
          <w:p w14:paraId="17382F51">
            <w:pPr>
              <w:pStyle w:val="136"/>
              <w:spacing w:beforeLines="0" w:afterLines="0" w:line="240" w:lineRule="auto"/>
              <w:rPr>
                <w:rFonts w:ascii="Times New Roman"/>
                <w:bCs/>
                <w:color w:val="auto"/>
                <w:szCs w:val="21"/>
                <w:lang w:val="en-US"/>
              </w:rPr>
            </w:pPr>
            <w:r>
              <w:rPr>
                <w:rFonts w:hint="eastAsia" w:ascii="Times New Roman"/>
                <w:snapToGrid w:val="0"/>
                <w:color w:val="auto"/>
                <w:szCs w:val="21"/>
                <w:lang w:val="en-US" w:eastAsia="zh-CN"/>
              </w:rPr>
              <w:t>+0.0096</w:t>
            </w:r>
          </w:p>
        </w:tc>
      </w:tr>
      <w:tr w14:paraId="17382F5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Merge w:val="restart"/>
            <w:vAlign w:val="center"/>
          </w:tcPr>
          <w:p w14:paraId="17382F53">
            <w:pPr>
              <w:pStyle w:val="136"/>
              <w:spacing w:before="31" w:after="31" w:line="240" w:lineRule="auto"/>
              <w:rPr>
                <w:rFonts w:ascii="Times New Roman"/>
                <w:snapToGrid w:val="0"/>
                <w:color w:val="auto"/>
                <w:szCs w:val="21"/>
                <w:lang w:val="en-US"/>
              </w:rPr>
            </w:pPr>
            <w:r>
              <w:rPr>
                <w:rFonts w:ascii="Times New Roman"/>
                <w:snapToGrid w:val="0"/>
                <w:color w:val="auto"/>
                <w:szCs w:val="21"/>
                <w:lang w:val="en-US"/>
              </w:rPr>
              <w:t>废水</w:t>
            </w:r>
          </w:p>
        </w:tc>
        <w:tc>
          <w:tcPr>
            <w:tcW w:w="166" w:type="pct"/>
            <w:vMerge w:val="restart"/>
            <w:vAlign w:val="center"/>
          </w:tcPr>
          <w:p w14:paraId="17382F54">
            <w:pPr>
              <w:pStyle w:val="144"/>
              <w:adjustRightInd w:val="0"/>
              <w:snapToGrid w:val="0"/>
              <w:jc w:val="center"/>
              <w:rPr>
                <w:rFonts w:ascii="Times New Roman" w:hAnsi="Times New Roman" w:cs="Times New Roman"/>
                <w:bCs/>
                <w:color w:val="auto"/>
                <w:sz w:val="21"/>
                <w:szCs w:val="21"/>
              </w:rPr>
            </w:pPr>
            <w:r>
              <w:rPr>
                <w:rFonts w:ascii="Times New Roman" w:hAnsi="Times New Roman" w:cs="Times New Roman"/>
                <w:bCs/>
                <w:color w:val="auto"/>
                <w:sz w:val="21"/>
                <w:szCs w:val="21"/>
              </w:rPr>
              <w:t>生活</w:t>
            </w:r>
          </w:p>
          <w:p w14:paraId="17382F55">
            <w:pPr>
              <w:jc w:val="center"/>
              <w:rPr>
                <w:snapToGrid w:val="0"/>
                <w:color w:val="auto"/>
                <w:kern w:val="0"/>
                <w:szCs w:val="21"/>
              </w:rPr>
            </w:pPr>
            <w:r>
              <w:rPr>
                <w:bCs/>
                <w:color w:val="auto"/>
                <w:szCs w:val="21"/>
              </w:rPr>
              <w:t>废水</w:t>
            </w:r>
          </w:p>
        </w:tc>
        <w:tc>
          <w:tcPr>
            <w:tcW w:w="639" w:type="pct"/>
            <w:vAlign w:val="center"/>
          </w:tcPr>
          <w:p w14:paraId="17382F56">
            <w:pPr>
              <w:jc w:val="center"/>
              <w:rPr>
                <w:bCs/>
                <w:color w:val="auto"/>
                <w:szCs w:val="21"/>
              </w:rPr>
            </w:pPr>
            <w:r>
              <w:rPr>
                <w:bCs/>
                <w:color w:val="auto"/>
                <w:szCs w:val="21"/>
              </w:rPr>
              <w:t>水量 (m</w:t>
            </w:r>
            <w:r>
              <w:rPr>
                <w:bCs/>
                <w:color w:val="auto"/>
                <w:szCs w:val="21"/>
                <w:vertAlign w:val="superscript"/>
              </w:rPr>
              <w:t>3</w:t>
            </w:r>
            <w:r>
              <w:rPr>
                <w:bCs/>
                <w:color w:val="auto"/>
                <w:szCs w:val="21"/>
              </w:rPr>
              <w:t>/a)</w:t>
            </w:r>
          </w:p>
        </w:tc>
        <w:tc>
          <w:tcPr>
            <w:tcW w:w="597" w:type="pct"/>
            <w:vAlign w:val="center"/>
          </w:tcPr>
          <w:p w14:paraId="17382F57">
            <w:pPr>
              <w:jc w:val="center"/>
              <w:rPr>
                <w:snapToGrid w:val="0"/>
                <w:color w:val="auto"/>
                <w:kern w:val="0"/>
                <w:szCs w:val="21"/>
              </w:rPr>
            </w:pPr>
            <w:r>
              <w:rPr>
                <w:snapToGrid w:val="0"/>
                <w:color w:val="auto"/>
                <w:kern w:val="0"/>
                <w:szCs w:val="21"/>
              </w:rPr>
              <w:t>0</w:t>
            </w:r>
          </w:p>
        </w:tc>
        <w:tc>
          <w:tcPr>
            <w:tcW w:w="442" w:type="pct"/>
            <w:vAlign w:val="center"/>
          </w:tcPr>
          <w:p w14:paraId="17382F58">
            <w:pPr>
              <w:jc w:val="center"/>
              <w:rPr>
                <w:snapToGrid w:val="0"/>
                <w:color w:val="auto"/>
                <w:kern w:val="0"/>
                <w:szCs w:val="21"/>
              </w:rPr>
            </w:pPr>
            <w:r>
              <w:rPr>
                <w:snapToGrid w:val="0"/>
                <w:color w:val="auto"/>
                <w:kern w:val="0"/>
                <w:szCs w:val="21"/>
              </w:rPr>
              <w:t>0</w:t>
            </w:r>
          </w:p>
        </w:tc>
        <w:tc>
          <w:tcPr>
            <w:tcW w:w="597" w:type="pct"/>
            <w:vAlign w:val="center"/>
          </w:tcPr>
          <w:p w14:paraId="17382F59">
            <w:pPr>
              <w:jc w:val="center"/>
              <w:rPr>
                <w:snapToGrid w:val="0"/>
                <w:color w:val="auto"/>
                <w:kern w:val="0"/>
                <w:szCs w:val="21"/>
              </w:rPr>
            </w:pPr>
            <w:r>
              <w:rPr>
                <w:snapToGrid w:val="0"/>
                <w:color w:val="auto"/>
                <w:kern w:val="0"/>
                <w:szCs w:val="21"/>
              </w:rPr>
              <w:t>0</w:t>
            </w:r>
          </w:p>
        </w:tc>
        <w:tc>
          <w:tcPr>
            <w:tcW w:w="545" w:type="pct"/>
            <w:vAlign w:val="center"/>
          </w:tcPr>
          <w:p w14:paraId="17382F5A">
            <w:pPr>
              <w:widowControl/>
              <w:jc w:val="center"/>
              <w:rPr>
                <w:bCs/>
                <w:color w:val="auto"/>
                <w:kern w:val="0"/>
                <w:szCs w:val="21"/>
              </w:rPr>
            </w:pPr>
            <w:r>
              <w:rPr>
                <w:rFonts w:hint="eastAsia"/>
                <w:bCs/>
                <w:color w:val="auto"/>
                <w:kern w:val="0"/>
                <w:szCs w:val="21"/>
              </w:rPr>
              <w:t>0</w:t>
            </w:r>
          </w:p>
        </w:tc>
        <w:tc>
          <w:tcPr>
            <w:tcW w:w="618" w:type="pct"/>
            <w:vAlign w:val="center"/>
          </w:tcPr>
          <w:p w14:paraId="17382F5B">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575" w:type="pct"/>
            <w:vAlign w:val="center"/>
          </w:tcPr>
          <w:p w14:paraId="17382F5C">
            <w:pPr>
              <w:widowControl/>
              <w:jc w:val="center"/>
              <w:rPr>
                <w:bCs/>
                <w:color w:val="auto"/>
                <w:kern w:val="0"/>
                <w:szCs w:val="21"/>
              </w:rPr>
            </w:pPr>
            <w:r>
              <w:rPr>
                <w:rFonts w:hint="eastAsia"/>
                <w:bCs/>
                <w:color w:val="auto"/>
                <w:kern w:val="0"/>
                <w:szCs w:val="21"/>
              </w:rPr>
              <w:t>0</w:t>
            </w:r>
          </w:p>
        </w:tc>
        <w:tc>
          <w:tcPr>
            <w:tcW w:w="422" w:type="pct"/>
            <w:vAlign w:val="center"/>
          </w:tcPr>
          <w:p w14:paraId="17382F5D">
            <w:pPr>
              <w:widowControl/>
              <w:jc w:val="center"/>
              <w:rPr>
                <w:bCs/>
                <w:color w:val="auto"/>
                <w:kern w:val="0"/>
                <w:szCs w:val="21"/>
              </w:rPr>
            </w:pPr>
            <w:r>
              <w:rPr>
                <w:rFonts w:hint="eastAsia"/>
                <w:bCs/>
                <w:color w:val="auto"/>
                <w:kern w:val="0"/>
                <w:szCs w:val="21"/>
              </w:rPr>
              <w:t>0</w:t>
            </w:r>
          </w:p>
        </w:tc>
      </w:tr>
      <w:tr w14:paraId="17382F6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Merge w:val="continue"/>
            <w:vAlign w:val="center"/>
          </w:tcPr>
          <w:p w14:paraId="17382F5F">
            <w:pPr>
              <w:pStyle w:val="136"/>
              <w:spacing w:before="31" w:after="31" w:line="240" w:lineRule="auto"/>
              <w:rPr>
                <w:rFonts w:ascii="Times New Roman"/>
                <w:snapToGrid w:val="0"/>
                <w:color w:val="auto"/>
                <w:szCs w:val="21"/>
                <w:lang w:val="en-US"/>
              </w:rPr>
            </w:pPr>
          </w:p>
        </w:tc>
        <w:tc>
          <w:tcPr>
            <w:tcW w:w="166" w:type="pct"/>
            <w:vMerge w:val="continue"/>
            <w:vAlign w:val="center"/>
          </w:tcPr>
          <w:p w14:paraId="17382F60">
            <w:pPr>
              <w:jc w:val="center"/>
              <w:rPr>
                <w:snapToGrid w:val="0"/>
                <w:color w:val="auto"/>
                <w:kern w:val="0"/>
                <w:szCs w:val="21"/>
              </w:rPr>
            </w:pPr>
          </w:p>
        </w:tc>
        <w:tc>
          <w:tcPr>
            <w:tcW w:w="639" w:type="pct"/>
            <w:vAlign w:val="center"/>
          </w:tcPr>
          <w:p w14:paraId="17382F61">
            <w:pPr>
              <w:widowControl/>
              <w:jc w:val="center"/>
              <w:textAlignment w:val="center"/>
              <w:rPr>
                <w:color w:val="auto"/>
                <w:szCs w:val="21"/>
              </w:rPr>
            </w:pPr>
            <w:r>
              <w:rPr>
                <w:color w:val="auto"/>
                <w:kern w:val="0"/>
                <w:szCs w:val="21"/>
              </w:rPr>
              <w:t>COD</w:t>
            </w:r>
          </w:p>
        </w:tc>
        <w:tc>
          <w:tcPr>
            <w:tcW w:w="597" w:type="pct"/>
            <w:vAlign w:val="center"/>
          </w:tcPr>
          <w:p w14:paraId="17382F62">
            <w:pPr>
              <w:jc w:val="center"/>
              <w:rPr>
                <w:snapToGrid w:val="0"/>
                <w:color w:val="auto"/>
                <w:kern w:val="0"/>
                <w:szCs w:val="21"/>
              </w:rPr>
            </w:pPr>
            <w:r>
              <w:rPr>
                <w:snapToGrid w:val="0"/>
                <w:color w:val="auto"/>
                <w:kern w:val="0"/>
                <w:szCs w:val="21"/>
              </w:rPr>
              <w:t>0</w:t>
            </w:r>
          </w:p>
        </w:tc>
        <w:tc>
          <w:tcPr>
            <w:tcW w:w="442" w:type="pct"/>
            <w:vAlign w:val="center"/>
          </w:tcPr>
          <w:p w14:paraId="17382F63">
            <w:pPr>
              <w:jc w:val="center"/>
              <w:rPr>
                <w:snapToGrid w:val="0"/>
                <w:color w:val="auto"/>
                <w:kern w:val="0"/>
                <w:szCs w:val="21"/>
              </w:rPr>
            </w:pPr>
            <w:r>
              <w:rPr>
                <w:snapToGrid w:val="0"/>
                <w:color w:val="auto"/>
                <w:kern w:val="0"/>
                <w:szCs w:val="21"/>
              </w:rPr>
              <w:t>0</w:t>
            </w:r>
          </w:p>
        </w:tc>
        <w:tc>
          <w:tcPr>
            <w:tcW w:w="597" w:type="pct"/>
            <w:vAlign w:val="center"/>
          </w:tcPr>
          <w:p w14:paraId="17382F64">
            <w:pPr>
              <w:jc w:val="center"/>
              <w:rPr>
                <w:snapToGrid w:val="0"/>
                <w:color w:val="auto"/>
                <w:kern w:val="0"/>
                <w:szCs w:val="21"/>
              </w:rPr>
            </w:pPr>
            <w:r>
              <w:rPr>
                <w:snapToGrid w:val="0"/>
                <w:color w:val="auto"/>
                <w:kern w:val="0"/>
                <w:szCs w:val="21"/>
              </w:rPr>
              <w:t>0</w:t>
            </w:r>
          </w:p>
        </w:tc>
        <w:tc>
          <w:tcPr>
            <w:tcW w:w="545" w:type="pct"/>
            <w:vAlign w:val="center"/>
          </w:tcPr>
          <w:p w14:paraId="17382F65">
            <w:pPr>
              <w:widowControl/>
              <w:jc w:val="center"/>
              <w:rPr>
                <w:bCs/>
                <w:color w:val="auto"/>
                <w:kern w:val="0"/>
                <w:szCs w:val="21"/>
              </w:rPr>
            </w:pPr>
            <w:r>
              <w:rPr>
                <w:rFonts w:hint="eastAsia"/>
                <w:bCs/>
                <w:color w:val="auto"/>
                <w:kern w:val="0"/>
                <w:szCs w:val="21"/>
              </w:rPr>
              <w:t>0</w:t>
            </w:r>
          </w:p>
        </w:tc>
        <w:tc>
          <w:tcPr>
            <w:tcW w:w="618" w:type="pct"/>
            <w:vAlign w:val="center"/>
          </w:tcPr>
          <w:p w14:paraId="17382F66">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575" w:type="pct"/>
            <w:vAlign w:val="center"/>
          </w:tcPr>
          <w:p w14:paraId="17382F67">
            <w:pPr>
              <w:widowControl/>
              <w:jc w:val="center"/>
              <w:rPr>
                <w:bCs/>
                <w:color w:val="auto"/>
                <w:kern w:val="0"/>
                <w:szCs w:val="21"/>
              </w:rPr>
            </w:pPr>
            <w:r>
              <w:rPr>
                <w:rFonts w:hint="eastAsia"/>
                <w:bCs/>
                <w:color w:val="auto"/>
                <w:kern w:val="0"/>
                <w:szCs w:val="21"/>
              </w:rPr>
              <w:t>0</w:t>
            </w:r>
          </w:p>
        </w:tc>
        <w:tc>
          <w:tcPr>
            <w:tcW w:w="422" w:type="pct"/>
            <w:vAlign w:val="center"/>
          </w:tcPr>
          <w:p w14:paraId="17382F68">
            <w:pPr>
              <w:widowControl/>
              <w:jc w:val="center"/>
              <w:rPr>
                <w:bCs/>
                <w:color w:val="auto"/>
                <w:kern w:val="0"/>
                <w:szCs w:val="21"/>
              </w:rPr>
            </w:pPr>
            <w:r>
              <w:rPr>
                <w:rFonts w:hint="eastAsia"/>
                <w:bCs/>
                <w:color w:val="auto"/>
                <w:kern w:val="0"/>
                <w:szCs w:val="21"/>
              </w:rPr>
              <w:t>0</w:t>
            </w:r>
          </w:p>
        </w:tc>
      </w:tr>
      <w:tr w14:paraId="17382F7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Merge w:val="continue"/>
            <w:vAlign w:val="center"/>
          </w:tcPr>
          <w:p w14:paraId="17382F6A">
            <w:pPr>
              <w:pStyle w:val="136"/>
              <w:spacing w:before="31" w:after="31" w:line="240" w:lineRule="auto"/>
              <w:rPr>
                <w:rFonts w:ascii="Times New Roman"/>
                <w:snapToGrid w:val="0"/>
                <w:color w:val="auto"/>
                <w:szCs w:val="21"/>
                <w:lang w:val="en-US"/>
              </w:rPr>
            </w:pPr>
          </w:p>
        </w:tc>
        <w:tc>
          <w:tcPr>
            <w:tcW w:w="166" w:type="pct"/>
            <w:vMerge w:val="continue"/>
            <w:vAlign w:val="center"/>
          </w:tcPr>
          <w:p w14:paraId="17382F6B">
            <w:pPr>
              <w:jc w:val="center"/>
              <w:rPr>
                <w:snapToGrid w:val="0"/>
                <w:color w:val="auto"/>
                <w:kern w:val="0"/>
                <w:szCs w:val="21"/>
              </w:rPr>
            </w:pPr>
          </w:p>
        </w:tc>
        <w:tc>
          <w:tcPr>
            <w:tcW w:w="639" w:type="pct"/>
            <w:vAlign w:val="center"/>
          </w:tcPr>
          <w:p w14:paraId="17382F6C">
            <w:pPr>
              <w:widowControl/>
              <w:jc w:val="center"/>
              <w:textAlignment w:val="center"/>
              <w:rPr>
                <w:color w:val="auto"/>
                <w:szCs w:val="21"/>
              </w:rPr>
            </w:pPr>
            <w:r>
              <w:rPr>
                <w:color w:val="auto"/>
                <w:kern w:val="0"/>
                <w:szCs w:val="21"/>
              </w:rPr>
              <w:t>SS</w:t>
            </w:r>
          </w:p>
        </w:tc>
        <w:tc>
          <w:tcPr>
            <w:tcW w:w="597" w:type="pct"/>
            <w:vAlign w:val="center"/>
          </w:tcPr>
          <w:p w14:paraId="17382F6D">
            <w:pPr>
              <w:jc w:val="center"/>
              <w:rPr>
                <w:snapToGrid w:val="0"/>
                <w:color w:val="auto"/>
                <w:kern w:val="0"/>
                <w:szCs w:val="21"/>
              </w:rPr>
            </w:pPr>
            <w:r>
              <w:rPr>
                <w:snapToGrid w:val="0"/>
                <w:color w:val="auto"/>
                <w:kern w:val="0"/>
                <w:szCs w:val="21"/>
              </w:rPr>
              <w:t>0</w:t>
            </w:r>
          </w:p>
        </w:tc>
        <w:tc>
          <w:tcPr>
            <w:tcW w:w="442" w:type="pct"/>
            <w:vAlign w:val="center"/>
          </w:tcPr>
          <w:p w14:paraId="17382F6E">
            <w:pPr>
              <w:jc w:val="center"/>
              <w:rPr>
                <w:snapToGrid w:val="0"/>
                <w:color w:val="auto"/>
                <w:kern w:val="0"/>
                <w:szCs w:val="21"/>
              </w:rPr>
            </w:pPr>
            <w:r>
              <w:rPr>
                <w:snapToGrid w:val="0"/>
                <w:color w:val="auto"/>
                <w:kern w:val="0"/>
                <w:szCs w:val="21"/>
              </w:rPr>
              <w:t>0</w:t>
            </w:r>
          </w:p>
        </w:tc>
        <w:tc>
          <w:tcPr>
            <w:tcW w:w="597" w:type="pct"/>
            <w:vAlign w:val="center"/>
          </w:tcPr>
          <w:p w14:paraId="17382F6F">
            <w:pPr>
              <w:jc w:val="center"/>
              <w:rPr>
                <w:snapToGrid w:val="0"/>
                <w:color w:val="auto"/>
                <w:kern w:val="0"/>
                <w:szCs w:val="21"/>
              </w:rPr>
            </w:pPr>
            <w:r>
              <w:rPr>
                <w:snapToGrid w:val="0"/>
                <w:color w:val="auto"/>
                <w:kern w:val="0"/>
                <w:szCs w:val="21"/>
              </w:rPr>
              <w:t>0</w:t>
            </w:r>
          </w:p>
        </w:tc>
        <w:tc>
          <w:tcPr>
            <w:tcW w:w="545" w:type="pct"/>
            <w:vAlign w:val="center"/>
          </w:tcPr>
          <w:p w14:paraId="17382F70">
            <w:pPr>
              <w:widowControl/>
              <w:jc w:val="center"/>
              <w:rPr>
                <w:bCs/>
                <w:color w:val="auto"/>
                <w:kern w:val="0"/>
                <w:szCs w:val="21"/>
              </w:rPr>
            </w:pPr>
            <w:r>
              <w:rPr>
                <w:rFonts w:hint="eastAsia"/>
                <w:bCs/>
                <w:color w:val="auto"/>
                <w:kern w:val="0"/>
                <w:szCs w:val="21"/>
              </w:rPr>
              <w:t>0</w:t>
            </w:r>
          </w:p>
        </w:tc>
        <w:tc>
          <w:tcPr>
            <w:tcW w:w="618" w:type="pct"/>
            <w:vAlign w:val="center"/>
          </w:tcPr>
          <w:p w14:paraId="17382F71">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575" w:type="pct"/>
            <w:vAlign w:val="center"/>
          </w:tcPr>
          <w:p w14:paraId="17382F72">
            <w:pPr>
              <w:widowControl/>
              <w:jc w:val="center"/>
              <w:rPr>
                <w:bCs/>
                <w:color w:val="auto"/>
                <w:kern w:val="0"/>
                <w:szCs w:val="21"/>
              </w:rPr>
            </w:pPr>
            <w:r>
              <w:rPr>
                <w:rFonts w:hint="eastAsia"/>
                <w:bCs/>
                <w:color w:val="auto"/>
                <w:kern w:val="0"/>
                <w:szCs w:val="21"/>
              </w:rPr>
              <w:t>0</w:t>
            </w:r>
          </w:p>
        </w:tc>
        <w:tc>
          <w:tcPr>
            <w:tcW w:w="422" w:type="pct"/>
            <w:vAlign w:val="center"/>
          </w:tcPr>
          <w:p w14:paraId="17382F73">
            <w:pPr>
              <w:widowControl/>
              <w:jc w:val="center"/>
              <w:rPr>
                <w:bCs/>
                <w:color w:val="auto"/>
                <w:kern w:val="0"/>
                <w:szCs w:val="21"/>
              </w:rPr>
            </w:pPr>
            <w:r>
              <w:rPr>
                <w:rFonts w:hint="eastAsia"/>
                <w:bCs/>
                <w:color w:val="auto"/>
                <w:kern w:val="0"/>
                <w:szCs w:val="21"/>
              </w:rPr>
              <w:t>0</w:t>
            </w:r>
          </w:p>
        </w:tc>
      </w:tr>
      <w:tr w14:paraId="17382F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Merge w:val="continue"/>
            <w:vAlign w:val="center"/>
          </w:tcPr>
          <w:p w14:paraId="17382F75">
            <w:pPr>
              <w:pStyle w:val="136"/>
              <w:spacing w:before="31" w:after="31" w:line="240" w:lineRule="auto"/>
              <w:rPr>
                <w:rFonts w:ascii="Times New Roman"/>
                <w:snapToGrid w:val="0"/>
                <w:color w:val="auto"/>
                <w:szCs w:val="21"/>
                <w:lang w:val="en-US"/>
              </w:rPr>
            </w:pPr>
          </w:p>
        </w:tc>
        <w:tc>
          <w:tcPr>
            <w:tcW w:w="166" w:type="pct"/>
            <w:vMerge w:val="continue"/>
            <w:vAlign w:val="center"/>
          </w:tcPr>
          <w:p w14:paraId="17382F76">
            <w:pPr>
              <w:jc w:val="center"/>
              <w:rPr>
                <w:snapToGrid w:val="0"/>
                <w:color w:val="auto"/>
                <w:kern w:val="0"/>
                <w:szCs w:val="21"/>
              </w:rPr>
            </w:pPr>
          </w:p>
        </w:tc>
        <w:tc>
          <w:tcPr>
            <w:tcW w:w="639" w:type="pct"/>
            <w:vAlign w:val="center"/>
          </w:tcPr>
          <w:p w14:paraId="17382F77">
            <w:pPr>
              <w:adjustRightInd w:val="0"/>
              <w:snapToGrid w:val="0"/>
              <w:jc w:val="center"/>
              <w:rPr>
                <w:color w:val="auto"/>
                <w:szCs w:val="21"/>
              </w:rPr>
            </w:pPr>
            <w:r>
              <w:rPr>
                <w:color w:val="auto"/>
                <w:szCs w:val="21"/>
              </w:rPr>
              <w:t>NH</w:t>
            </w:r>
            <w:r>
              <w:rPr>
                <w:color w:val="auto"/>
                <w:szCs w:val="21"/>
                <w:vertAlign w:val="subscript"/>
              </w:rPr>
              <w:t>3</w:t>
            </w:r>
            <w:r>
              <w:rPr>
                <w:color w:val="auto"/>
                <w:szCs w:val="21"/>
              </w:rPr>
              <w:t>-N</w:t>
            </w:r>
          </w:p>
        </w:tc>
        <w:tc>
          <w:tcPr>
            <w:tcW w:w="597" w:type="pct"/>
            <w:vAlign w:val="center"/>
          </w:tcPr>
          <w:p w14:paraId="17382F78">
            <w:pPr>
              <w:jc w:val="center"/>
              <w:rPr>
                <w:snapToGrid w:val="0"/>
                <w:color w:val="auto"/>
                <w:kern w:val="0"/>
                <w:szCs w:val="21"/>
              </w:rPr>
            </w:pPr>
            <w:r>
              <w:rPr>
                <w:snapToGrid w:val="0"/>
                <w:color w:val="auto"/>
                <w:kern w:val="0"/>
                <w:szCs w:val="21"/>
              </w:rPr>
              <w:t>0</w:t>
            </w:r>
          </w:p>
        </w:tc>
        <w:tc>
          <w:tcPr>
            <w:tcW w:w="442" w:type="pct"/>
            <w:vAlign w:val="center"/>
          </w:tcPr>
          <w:p w14:paraId="17382F79">
            <w:pPr>
              <w:jc w:val="center"/>
              <w:rPr>
                <w:snapToGrid w:val="0"/>
                <w:color w:val="auto"/>
                <w:kern w:val="0"/>
                <w:szCs w:val="21"/>
              </w:rPr>
            </w:pPr>
            <w:r>
              <w:rPr>
                <w:snapToGrid w:val="0"/>
                <w:color w:val="auto"/>
                <w:kern w:val="0"/>
                <w:szCs w:val="21"/>
              </w:rPr>
              <w:t>0</w:t>
            </w:r>
          </w:p>
        </w:tc>
        <w:tc>
          <w:tcPr>
            <w:tcW w:w="597" w:type="pct"/>
            <w:vAlign w:val="center"/>
          </w:tcPr>
          <w:p w14:paraId="17382F7A">
            <w:pPr>
              <w:jc w:val="center"/>
              <w:rPr>
                <w:snapToGrid w:val="0"/>
                <w:color w:val="auto"/>
                <w:kern w:val="0"/>
                <w:szCs w:val="21"/>
              </w:rPr>
            </w:pPr>
            <w:r>
              <w:rPr>
                <w:snapToGrid w:val="0"/>
                <w:color w:val="auto"/>
                <w:kern w:val="0"/>
                <w:szCs w:val="21"/>
              </w:rPr>
              <w:t>0</w:t>
            </w:r>
          </w:p>
        </w:tc>
        <w:tc>
          <w:tcPr>
            <w:tcW w:w="545" w:type="pct"/>
            <w:vAlign w:val="center"/>
          </w:tcPr>
          <w:p w14:paraId="17382F7B">
            <w:pPr>
              <w:widowControl/>
              <w:jc w:val="center"/>
              <w:rPr>
                <w:bCs/>
                <w:color w:val="auto"/>
                <w:kern w:val="0"/>
                <w:szCs w:val="21"/>
              </w:rPr>
            </w:pPr>
            <w:r>
              <w:rPr>
                <w:rFonts w:hint="eastAsia"/>
                <w:bCs/>
                <w:color w:val="auto"/>
                <w:kern w:val="0"/>
                <w:szCs w:val="21"/>
              </w:rPr>
              <w:t>0</w:t>
            </w:r>
          </w:p>
        </w:tc>
        <w:tc>
          <w:tcPr>
            <w:tcW w:w="618" w:type="pct"/>
            <w:vAlign w:val="center"/>
          </w:tcPr>
          <w:p w14:paraId="17382F7C">
            <w:pPr>
              <w:jc w:val="center"/>
              <w:rPr>
                <w:snapToGrid w:val="0"/>
                <w:color w:val="auto"/>
                <w:szCs w:val="21"/>
              </w:rPr>
            </w:pPr>
            <w:r>
              <w:rPr>
                <w:snapToGrid w:val="0"/>
                <w:color w:val="auto"/>
                <w:szCs w:val="21"/>
              </w:rPr>
              <w:t>0</w:t>
            </w:r>
          </w:p>
        </w:tc>
        <w:tc>
          <w:tcPr>
            <w:tcW w:w="575" w:type="pct"/>
            <w:vAlign w:val="center"/>
          </w:tcPr>
          <w:p w14:paraId="17382F7D">
            <w:pPr>
              <w:widowControl/>
              <w:jc w:val="center"/>
              <w:rPr>
                <w:bCs/>
                <w:color w:val="auto"/>
                <w:kern w:val="0"/>
                <w:szCs w:val="21"/>
              </w:rPr>
            </w:pPr>
            <w:r>
              <w:rPr>
                <w:rFonts w:hint="eastAsia"/>
                <w:bCs/>
                <w:color w:val="auto"/>
                <w:kern w:val="0"/>
                <w:szCs w:val="21"/>
              </w:rPr>
              <w:t>0</w:t>
            </w:r>
          </w:p>
        </w:tc>
        <w:tc>
          <w:tcPr>
            <w:tcW w:w="422" w:type="pct"/>
            <w:vAlign w:val="center"/>
          </w:tcPr>
          <w:p w14:paraId="17382F7E">
            <w:pPr>
              <w:widowControl/>
              <w:jc w:val="center"/>
              <w:rPr>
                <w:bCs/>
                <w:color w:val="auto"/>
                <w:kern w:val="0"/>
                <w:szCs w:val="21"/>
              </w:rPr>
            </w:pPr>
            <w:r>
              <w:rPr>
                <w:rFonts w:hint="eastAsia"/>
                <w:bCs/>
                <w:color w:val="auto"/>
                <w:kern w:val="0"/>
                <w:szCs w:val="21"/>
              </w:rPr>
              <w:t>0</w:t>
            </w:r>
          </w:p>
        </w:tc>
      </w:tr>
      <w:tr w14:paraId="17382F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Merge w:val="continue"/>
            <w:vAlign w:val="center"/>
          </w:tcPr>
          <w:p w14:paraId="17382F80">
            <w:pPr>
              <w:pStyle w:val="136"/>
              <w:spacing w:before="31" w:after="31" w:line="240" w:lineRule="auto"/>
              <w:rPr>
                <w:rFonts w:ascii="Times New Roman"/>
                <w:snapToGrid w:val="0"/>
                <w:color w:val="auto"/>
                <w:szCs w:val="21"/>
                <w:lang w:val="en-US"/>
              </w:rPr>
            </w:pPr>
          </w:p>
        </w:tc>
        <w:tc>
          <w:tcPr>
            <w:tcW w:w="166" w:type="pct"/>
            <w:vMerge w:val="continue"/>
            <w:vAlign w:val="center"/>
          </w:tcPr>
          <w:p w14:paraId="17382F81">
            <w:pPr>
              <w:jc w:val="center"/>
              <w:rPr>
                <w:snapToGrid w:val="0"/>
                <w:color w:val="auto"/>
                <w:kern w:val="0"/>
                <w:szCs w:val="21"/>
              </w:rPr>
            </w:pPr>
          </w:p>
        </w:tc>
        <w:tc>
          <w:tcPr>
            <w:tcW w:w="639" w:type="pct"/>
            <w:vAlign w:val="center"/>
          </w:tcPr>
          <w:p w14:paraId="17382F82">
            <w:pPr>
              <w:adjustRightInd w:val="0"/>
              <w:snapToGrid w:val="0"/>
              <w:jc w:val="center"/>
              <w:rPr>
                <w:color w:val="auto"/>
                <w:szCs w:val="21"/>
              </w:rPr>
            </w:pPr>
            <w:r>
              <w:rPr>
                <w:rFonts w:hint="eastAsia"/>
                <w:color w:val="auto"/>
                <w:szCs w:val="21"/>
              </w:rPr>
              <w:t>TN</w:t>
            </w:r>
          </w:p>
        </w:tc>
        <w:tc>
          <w:tcPr>
            <w:tcW w:w="597" w:type="pct"/>
            <w:vAlign w:val="center"/>
          </w:tcPr>
          <w:p w14:paraId="17382F83">
            <w:pPr>
              <w:jc w:val="center"/>
              <w:rPr>
                <w:snapToGrid w:val="0"/>
                <w:color w:val="auto"/>
                <w:kern w:val="0"/>
                <w:szCs w:val="21"/>
              </w:rPr>
            </w:pPr>
            <w:r>
              <w:rPr>
                <w:snapToGrid w:val="0"/>
                <w:color w:val="auto"/>
                <w:kern w:val="0"/>
                <w:szCs w:val="21"/>
              </w:rPr>
              <w:t>0</w:t>
            </w:r>
          </w:p>
        </w:tc>
        <w:tc>
          <w:tcPr>
            <w:tcW w:w="442" w:type="pct"/>
            <w:vAlign w:val="center"/>
          </w:tcPr>
          <w:p w14:paraId="17382F84">
            <w:pPr>
              <w:jc w:val="center"/>
              <w:rPr>
                <w:snapToGrid w:val="0"/>
                <w:color w:val="auto"/>
                <w:kern w:val="0"/>
                <w:szCs w:val="21"/>
              </w:rPr>
            </w:pPr>
            <w:r>
              <w:rPr>
                <w:snapToGrid w:val="0"/>
                <w:color w:val="auto"/>
                <w:kern w:val="0"/>
                <w:szCs w:val="21"/>
              </w:rPr>
              <w:t>0</w:t>
            </w:r>
          </w:p>
        </w:tc>
        <w:tc>
          <w:tcPr>
            <w:tcW w:w="597" w:type="pct"/>
            <w:vAlign w:val="center"/>
          </w:tcPr>
          <w:p w14:paraId="17382F85">
            <w:pPr>
              <w:jc w:val="center"/>
              <w:rPr>
                <w:snapToGrid w:val="0"/>
                <w:color w:val="auto"/>
                <w:kern w:val="0"/>
                <w:szCs w:val="21"/>
              </w:rPr>
            </w:pPr>
            <w:r>
              <w:rPr>
                <w:snapToGrid w:val="0"/>
                <w:color w:val="auto"/>
                <w:kern w:val="0"/>
                <w:szCs w:val="21"/>
              </w:rPr>
              <w:t>0</w:t>
            </w:r>
          </w:p>
        </w:tc>
        <w:tc>
          <w:tcPr>
            <w:tcW w:w="545" w:type="pct"/>
            <w:vAlign w:val="center"/>
          </w:tcPr>
          <w:p w14:paraId="17382F86">
            <w:pPr>
              <w:widowControl/>
              <w:jc w:val="center"/>
              <w:rPr>
                <w:bCs/>
                <w:color w:val="auto"/>
                <w:kern w:val="0"/>
                <w:szCs w:val="21"/>
              </w:rPr>
            </w:pPr>
            <w:r>
              <w:rPr>
                <w:rFonts w:hint="eastAsia"/>
                <w:bCs/>
                <w:color w:val="auto"/>
                <w:kern w:val="0"/>
                <w:szCs w:val="21"/>
              </w:rPr>
              <w:t>0</w:t>
            </w:r>
          </w:p>
        </w:tc>
        <w:tc>
          <w:tcPr>
            <w:tcW w:w="618" w:type="pct"/>
            <w:vAlign w:val="center"/>
          </w:tcPr>
          <w:p w14:paraId="17382F87">
            <w:pPr>
              <w:jc w:val="center"/>
              <w:rPr>
                <w:snapToGrid w:val="0"/>
                <w:color w:val="auto"/>
                <w:szCs w:val="21"/>
              </w:rPr>
            </w:pPr>
            <w:r>
              <w:rPr>
                <w:snapToGrid w:val="0"/>
                <w:color w:val="auto"/>
                <w:szCs w:val="21"/>
              </w:rPr>
              <w:t>0</w:t>
            </w:r>
          </w:p>
        </w:tc>
        <w:tc>
          <w:tcPr>
            <w:tcW w:w="575" w:type="pct"/>
            <w:vAlign w:val="center"/>
          </w:tcPr>
          <w:p w14:paraId="17382F88">
            <w:pPr>
              <w:widowControl/>
              <w:jc w:val="center"/>
              <w:rPr>
                <w:bCs/>
                <w:color w:val="auto"/>
                <w:kern w:val="0"/>
                <w:szCs w:val="21"/>
              </w:rPr>
            </w:pPr>
            <w:r>
              <w:rPr>
                <w:rFonts w:hint="eastAsia"/>
                <w:bCs/>
                <w:color w:val="auto"/>
                <w:kern w:val="0"/>
                <w:szCs w:val="21"/>
              </w:rPr>
              <w:t>0</w:t>
            </w:r>
          </w:p>
        </w:tc>
        <w:tc>
          <w:tcPr>
            <w:tcW w:w="422" w:type="pct"/>
            <w:vAlign w:val="center"/>
          </w:tcPr>
          <w:p w14:paraId="17382F89">
            <w:pPr>
              <w:widowControl/>
              <w:jc w:val="center"/>
              <w:rPr>
                <w:bCs/>
                <w:color w:val="auto"/>
                <w:kern w:val="0"/>
                <w:szCs w:val="21"/>
              </w:rPr>
            </w:pPr>
            <w:r>
              <w:rPr>
                <w:rFonts w:hint="eastAsia"/>
                <w:bCs/>
                <w:color w:val="auto"/>
                <w:kern w:val="0"/>
                <w:szCs w:val="21"/>
              </w:rPr>
              <w:t>0</w:t>
            </w:r>
          </w:p>
        </w:tc>
      </w:tr>
      <w:tr w14:paraId="17382F9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Merge w:val="continue"/>
            <w:vAlign w:val="center"/>
          </w:tcPr>
          <w:p w14:paraId="17382F8B">
            <w:pPr>
              <w:pStyle w:val="136"/>
              <w:spacing w:before="31" w:after="31" w:line="240" w:lineRule="auto"/>
              <w:rPr>
                <w:rFonts w:ascii="Times New Roman"/>
                <w:snapToGrid w:val="0"/>
                <w:color w:val="auto"/>
                <w:szCs w:val="21"/>
                <w:lang w:val="en-US"/>
              </w:rPr>
            </w:pPr>
          </w:p>
        </w:tc>
        <w:tc>
          <w:tcPr>
            <w:tcW w:w="166" w:type="pct"/>
            <w:vMerge w:val="continue"/>
            <w:vAlign w:val="center"/>
          </w:tcPr>
          <w:p w14:paraId="17382F8C">
            <w:pPr>
              <w:jc w:val="center"/>
              <w:rPr>
                <w:snapToGrid w:val="0"/>
                <w:color w:val="auto"/>
                <w:kern w:val="0"/>
                <w:szCs w:val="21"/>
              </w:rPr>
            </w:pPr>
          </w:p>
        </w:tc>
        <w:tc>
          <w:tcPr>
            <w:tcW w:w="639" w:type="pct"/>
            <w:vAlign w:val="center"/>
          </w:tcPr>
          <w:p w14:paraId="17382F8D">
            <w:pPr>
              <w:adjustRightInd w:val="0"/>
              <w:snapToGrid w:val="0"/>
              <w:jc w:val="center"/>
              <w:rPr>
                <w:color w:val="auto"/>
                <w:szCs w:val="21"/>
              </w:rPr>
            </w:pPr>
            <w:r>
              <w:rPr>
                <w:color w:val="auto"/>
                <w:szCs w:val="21"/>
              </w:rPr>
              <w:t>TP</w:t>
            </w:r>
          </w:p>
        </w:tc>
        <w:tc>
          <w:tcPr>
            <w:tcW w:w="597" w:type="pct"/>
            <w:vAlign w:val="center"/>
          </w:tcPr>
          <w:p w14:paraId="17382F8E">
            <w:pPr>
              <w:jc w:val="center"/>
              <w:rPr>
                <w:snapToGrid w:val="0"/>
                <w:color w:val="auto"/>
                <w:kern w:val="0"/>
                <w:szCs w:val="21"/>
              </w:rPr>
            </w:pPr>
            <w:r>
              <w:rPr>
                <w:snapToGrid w:val="0"/>
                <w:color w:val="auto"/>
                <w:kern w:val="0"/>
                <w:szCs w:val="21"/>
              </w:rPr>
              <w:t>0</w:t>
            </w:r>
          </w:p>
        </w:tc>
        <w:tc>
          <w:tcPr>
            <w:tcW w:w="442" w:type="pct"/>
            <w:vAlign w:val="center"/>
          </w:tcPr>
          <w:p w14:paraId="17382F8F">
            <w:pPr>
              <w:jc w:val="center"/>
              <w:rPr>
                <w:snapToGrid w:val="0"/>
                <w:color w:val="auto"/>
                <w:kern w:val="0"/>
                <w:szCs w:val="21"/>
              </w:rPr>
            </w:pPr>
            <w:r>
              <w:rPr>
                <w:snapToGrid w:val="0"/>
                <w:color w:val="auto"/>
                <w:kern w:val="0"/>
                <w:szCs w:val="21"/>
              </w:rPr>
              <w:t>0</w:t>
            </w:r>
          </w:p>
        </w:tc>
        <w:tc>
          <w:tcPr>
            <w:tcW w:w="597" w:type="pct"/>
            <w:vAlign w:val="center"/>
          </w:tcPr>
          <w:p w14:paraId="17382F90">
            <w:pPr>
              <w:jc w:val="center"/>
              <w:rPr>
                <w:snapToGrid w:val="0"/>
                <w:color w:val="auto"/>
                <w:kern w:val="0"/>
                <w:szCs w:val="21"/>
              </w:rPr>
            </w:pPr>
            <w:r>
              <w:rPr>
                <w:snapToGrid w:val="0"/>
                <w:color w:val="auto"/>
                <w:kern w:val="0"/>
                <w:szCs w:val="21"/>
              </w:rPr>
              <w:t>0</w:t>
            </w:r>
          </w:p>
        </w:tc>
        <w:tc>
          <w:tcPr>
            <w:tcW w:w="545" w:type="pct"/>
            <w:vAlign w:val="center"/>
          </w:tcPr>
          <w:p w14:paraId="17382F91">
            <w:pPr>
              <w:widowControl/>
              <w:jc w:val="center"/>
              <w:rPr>
                <w:bCs/>
                <w:color w:val="auto"/>
                <w:kern w:val="0"/>
                <w:szCs w:val="21"/>
              </w:rPr>
            </w:pPr>
            <w:r>
              <w:rPr>
                <w:rFonts w:hint="eastAsia"/>
                <w:bCs/>
                <w:color w:val="auto"/>
                <w:kern w:val="0"/>
                <w:szCs w:val="21"/>
              </w:rPr>
              <w:t>0</w:t>
            </w:r>
          </w:p>
        </w:tc>
        <w:tc>
          <w:tcPr>
            <w:tcW w:w="618" w:type="pct"/>
            <w:vAlign w:val="center"/>
          </w:tcPr>
          <w:p w14:paraId="17382F92">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575" w:type="pct"/>
            <w:vAlign w:val="center"/>
          </w:tcPr>
          <w:p w14:paraId="17382F93">
            <w:pPr>
              <w:widowControl/>
              <w:jc w:val="center"/>
              <w:rPr>
                <w:bCs/>
                <w:color w:val="auto"/>
                <w:kern w:val="0"/>
                <w:szCs w:val="21"/>
              </w:rPr>
            </w:pPr>
            <w:r>
              <w:rPr>
                <w:rFonts w:hint="eastAsia"/>
                <w:bCs/>
                <w:color w:val="auto"/>
                <w:kern w:val="0"/>
                <w:szCs w:val="21"/>
              </w:rPr>
              <w:t>0</w:t>
            </w:r>
          </w:p>
        </w:tc>
        <w:tc>
          <w:tcPr>
            <w:tcW w:w="422" w:type="pct"/>
            <w:vAlign w:val="center"/>
          </w:tcPr>
          <w:p w14:paraId="17382F94">
            <w:pPr>
              <w:widowControl/>
              <w:jc w:val="center"/>
              <w:rPr>
                <w:bCs/>
                <w:color w:val="auto"/>
                <w:kern w:val="0"/>
                <w:szCs w:val="21"/>
              </w:rPr>
            </w:pPr>
            <w:r>
              <w:rPr>
                <w:rFonts w:hint="eastAsia"/>
                <w:bCs/>
                <w:color w:val="auto"/>
                <w:kern w:val="0"/>
                <w:szCs w:val="21"/>
              </w:rPr>
              <w:t>0</w:t>
            </w:r>
          </w:p>
        </w:tc>
      </w:tr>
      <w:tr w14:paraId="17382F9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Align w:val="center"/>
          </w:tcPr>
          <w:p w14:paraId="17382F96">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一般工业固体废物</w:t>
            </w:r>
          </w:p>
        </w:tc>
        <w:tc>
          <w:tcPr>
            <w:tcW w:w="806" w:type="pct"/>
            <w:gridSpan w:val="2"/>
            <w:vAlign w:val="center"/>
          </w:tcPr>
          <w:p w14:paraId="17382F97">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w:t>
            </w:r>
          </w:p>
        </w:tc>
        <w:tc>
          <w:tcPr>
            <w:tcW w:w="597" w:type="pct"/>
            <w:vAlign w:val="center"/>
          </w:tcPr>
          <w:p w14:paraId="17382F98">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442" w:type="pct"/>
            <w:vAlign w:val="center"/>
          </w:tcPr>
          <w:p w14:paraId="17382F99">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597" w:type="pct"/>
            <w:vAlign w:val="center"/>
          </w:tcPr>
          <w:p w14:paraId="17382F9A">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545" w:type="pct"/>
            <w:vAlign w:val="center"/>
          </w:tcPr>
          <w:p w14:paraId="17382F9B">
            <w:pPr>
              <w:pStyle w:val="136"/>
              <w:spacing w:beforeLines="0" w:afterLines="0" w:line="240" w:lineRule="auto"/>
              <w:rPr>
                <w:rFonts w:hint="default" w:ascii="Times New Roman" w:eastAsia="宋体"/>
                <w:snapToGrid w:val="0"/>
                <w:color w:val="auto"/>
                <w:szCs w:val="21"/>
                <w:lang w:val="en-US" w:eastAsia="zh-CN"/>
              </w:rPr>
            </w:pPr>
            <w:r>
              <w:rPr>
                <w:rFonts w:hint="eastAsia" w:ascii="Times New Roman"/>
                <w:snapToGrid w:val="0"/>
                <w:color w:val="auto"/>
                <w:szCs w:val="21"/>
                <w:lang w:val="en-US" w:eastAsia="zh-CN"/>
              </w:rPr>
              <w:t>5.859</w:t>
            </w:r>
          </w:p>
        </w:tc>
        <w:tc>
          <w:tcPr>
            <w:tcW w:w="618" w:type="pct"/>
            <w:vAlign w:val="center"/>
          </w:tcPr>
          <w:p w14:paraId="17382F9C">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1554" w:type="dxa"/>
            <w:vAlign w:val="center"/>
          </w:tcPr>
          <w:p w14:paraId="17382F9D">
            <w:pPr>
              <w:pStyle w:val="136"/>
              <w:spacing w:beforeLines="0" w:afterLines="0" w:line="240" w:lineRule="auto"/>
              <w:rPr>
                <w:rFonts w:hint="default" w:ascii="Times New Roman" w:eastAsia="宋体"/>
                <w:snapToGrid w:val="0"/>
                <w:color w:val="auto"/>
                <w:szCs w:val="21"/>
                <w:lang w:val="en-US" w:eastAsia="zh-CN"/>
              </w:rPr>
            </w:pPr>
            <w:r>
              <w:rPr>
                <w:rFonts w:hint="eastAsia" w:ascii="Times New Roman"/>
                <w:snapToGrid w:val="0"/>
                <w:color w:val="auto"/>
                <w:szCs w:val="21"/>
                <w:lang w:val="en-US" w:eastAsia="zh-CN"/>
              </w:rPr>
              <w:t>5.859</w:t>
            </w:r>
          </w:p>
        </w:tc>
        <w:tc>
          <w:tcPr>
            <w:tcW w:w="1139" w:type="dxa"/>
            <w:vAlign w:val="center"/>
          </w:tcPr>
          <w:p w14:paraId="17382F9E">
            <w:pPr>
              <w:pStyle w:val="136"/>
              <w:spacing w:beforeLines="0" w:afterLines="0" w:line="240" w:lineRule="auto"/>
              <w:rPr>
                <w:rFonts w:hint="default" w:ascii="Times New Roman" w:eastAsia="宋体"/>
                <w:snapToGrid w:val="0"/>
                <w:color w:val="auto"/>
                <w:szCs w:val="21"/>
                <w:lang w:val="en-US" w:eastAsia="zh-CN"/>
              </w:rPr>
            </w:pPr>
            <w:r>
              <w:rPr>
                <w:rFonts w:hint="eastAsia" w:ascii="Times New Roman"/>
                <w:snapToGrid w:val="0"/>
                <w:color w:val="auto"/>
                <w:szCs w:val="21"/>
                <w:lang w:val="en-US"/>
              </w:rPr>
              <w:t>+</w:t>
            </w:r>
            <w:r>
              <w:rPr>
                <w:rFonts w:hint="eastAsia" w:ascii="Times New Roman"/>
                <w:snapToGrid w:val="0"/>
                <w:color w:val="auto"/>
                <w:szCs w:val="21"/>
                <w:lang w:val="en-US" w:eastAsia="zh-CN"/>
              </w:rPr>
              <w:t>5.859</w:t>
            </w:r>
          </w:p>
        </w:tc>
      </w:tr>
      <w:tr w14:paraId="17382FA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Align w:val="center"/>
          </w:tcPr>
          <w:p w14:paraId="17382FA0">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危险废物</w:t>
            </w:r>
          </w:p>
        </w:tc>
        <w:tc>
          <w:tcPr>
            <w:tcW w:w="806" w:type="pct"/>
            <w:gridSpan w:val="2"/>
            <w:vAlign w:val="center"/>
          </w:tcPr>
          <w:p w14:paraId="17382FA1">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w:t>
            </w:r>
          </w:p>
        </w:tc>
        <w:tc>
          <w:tcPr>
            <w:tcW w:w="597" w:type="pct"/>
            <w:vAlign w:val="center"/>
          </w:tcPr>
          <w:p w14:paraId="17382FA2">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442" w:type="pct"/>
            <w:vAlign w:val="center"/>
          </w:tcPr>
          <w:p w14:paraId="17382FA3">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597" w:type="pct"/>
            <w:vAlign w:val="center"/>
          </w:tcPr>
          <w:p w14:paraId="17382FA4">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545" w:type="pct"/>
            <w:vAlign w:val="center"/>
          </w:tcPr>
          <w:p w14:paraId="17382FA5">
            <w:pPr>
              <w:pStyle w:val="136"/>
              <w:spacing w:beforeLines="0" w:afterLines="0" w:line="240" w:lineRule="auto"/>
              <w:rPr>
                <w:rFonts w:hint="default" w:ascii="Times New Roman" w:eastAsia="宋体"/>
                <w:snapToGrid w:val="0"/>
                <w:color w:val="auto"/>
                <w:szCs w:val="21"/>
                <w:lang w:val="en-US" w:eastAsia="zh-CN"/>
              </w:rPr>
            </w:pPr>
            <w:r>
              <w:rPr>
                <w:rFonts w:hint="eastAsia" w:ascii="Times New Roman"/>
                <w:snapToGrid w:val="0"/>
                <w:color w:val="auto"/>
                <w:szCs w:val="21"/>
                <w:lang w:val="en-US" w:eastAsia="zh-CN"/>
              </w:rPr>
              <w:t>1.5435</w:t>
            </w:r>
          </w:p>
        </w:tc>
        <w:tc>
          <w:tcPr>
            <w:tcW w:w="618" w:type="pct"/>
            <w:vAlign w:val="center"/>
          </w:tcPr>
          <w:p w14:paraId="17382FA6">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1554" w:type="dxa"/>
            <w:vAlign w:val="center"/>
          </w:tcPr>
          <w:p w14:paraId="17382FA7">
            <w:pPr>
              <w:pStyle w:val="136"/>
              <w:spacing w:beforeLines="0" w:afterLines="0" w:line="240" w:lineRule="auto"/>
              <w:rPr>
                <w:rFonts w:hint="default" w:ascii="Times New Roman" w:eastAsia="宋体"/>
                <w:snapToGrid w:val="0"/>
                <w:color w:val="auto"/>
                <w:szCs w:val="21"/>
                <w:lang w:val="en-US" w:eastAsia="zh-CN"/>
              </w:rPr>
            </w:pPr>
            <w:r>
              <w:rPr>
                <w:rFonts w:hint="eastAsia" w:ascii="Times New Roman"/>
                <w:snapToGrid w:val="0"/>
                <w:color w:val="auto"/>
                <w:szCs w:val="21"/>
                <w:lang w:val="en-US" w:eastAsia="zh-CN"/>
              </w:rPr>
              <w:t>1.5435</w:t>
            </w:r>
          </w:p>
        </w:tc>
        <w:tc>
          <w:tcPr>
            <w:tcW w:w="1139" w:type="dxa"/>
            <w:vAlign w:val="center"/>
          </w:tcPr>
          <w:p w14:paraId="17382FA8">
            <w:pPr>
              <w:pStyle w:val="136"/>
              <w:spacing w:beforeLines="0" w:afterLines="0" w:line="240" w:lineRule="auto"/>
              <w:rPr>
                <w:rFonts w:hint="default" w:ascii="Times New Roman" w:eastAsia="宋体"/>
                <w:snapToGrid w:val="0"/>
                <w:color w:val="auto"/>
                <w:szCs w:val="21"/>
                <w:lang w:val="en-US" w:eastAsia="zh-CN"/>
              </w:rPr>
            </w:pPr>
            <w:r>
              <w:rPr>
                <w:rFonts w:hint="eastAsia" w:ascii="Times New Roman"/>
                <w:snapToGrid w:val="0"/>
                <w:color w:val="auto"/>
                <w:szCs w:val="21"/>
                <w:lang w:val="en-US" w:eastAsia="zh-CN"/>
              </w:rPr>
              <w:t>+1.5435</w:t>
            </w:r>
          </w:p>
        </w:tc>
      </w:tr>
      <w:tr w14:paraId="17382FB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86" w:hRule="atLeast"/>
        </w:trPr>
        <w:tc>
          <w:tcPr>
            <w:tcW w:w="394" w:type="pct"/>
            <w:vAlign w:val="center"/>
          </w:tcPr>
          <w:p w14:paraId="17382FAA">
            <w:pPr>
              <w:pStyle w:val="136"/>
              <w:spacing w:beforeLines="0" w:afterLines="0" w:line="240" w:lineRule="auto"/>
              <w:rPr>
                <w:rFonts w:ascii="Times New Roman"/>
                <w:snapToGrid w:val="0"/>
                <w:color w:val="auto"/>
                <w:szCs w:val="21"/>
                <w:lang w:val="en-US"/>
              </w:rPr>
            </w:pPr>
            <w:r>
              <w:rPr>
                <w:rFonts w:hint="eastAsia" w:ascii="Times New Roman"/>
                <w:snapToGrid w:val="0"/>
                <w:color w:val="auto"/>
                <w:szCs w:val="21"/>
                <w:lang w:val="en-US"/>
              </w:rPr>
              <w:t>生活垃圾</w:t>
            </w:r>
          </w:p>
        </w:tc>
        <w:tc>
          <w:tcPr>
            <w:tcW w:w="806" w:type="pct"/>
            <w:gridSpan w:val="2"/>
            <w:vAlign w:val="center"/>
          </w:tcPr>
          <w:p w14:paraId="17382FAB">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w:t>
            </w:r>
          </w:p>
        </w:tc>
        <w:tc>
          <w:tcPr>
            <w:tcW w:w="597" w:type="pct"/>
            <w:vAlign w:val="center"/>
          </w:tcPr>
          <w:p w14:paraId="17382FAC">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442" w:type="pct"/>
            <w:vAlign w:val="center"/>
          </w:tcPr>
          <w:p w14:paraId="17382FAD">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597" w:type="pct"/>
            <w:vAlign w:val="center"/>
          </w:tcPr>
          <w:p w14:paraId="17382FAE">
            <w:pPr>
              <w:pStyle w:val="136"/>
              <w:spacing w:beforeLines="0" w:afterLines="0" w:line="240" w:lineRule="auto"/>
              <w:rPr>
                <w:rFonts w:ascii="Times New Roman"/>
                <w:snapToGrid w:val="0"/>
                <w:color w:val="auto"/>
                <w:szCs w:val="21"/>
                <w:lang w:val="en-US"/>
              </w:rPr>
            </w:pPr>
            <w:r>
              <w:rPr>
                <w:rFonts w:ascii="Times New Roman"/>
                <w:snapToGrid w:val="0"/>
                <w:color w:val="auto"/>
                <w:szCs w:val="21"/>
                <w:lang w:val="en-US"/>
              </w:rPr>
              <w:t>0</w:t>
            </w:r>
          </w:p>
        </w:tc>
        <w:tc>
          <w:tcPr>
            <w:tcW w:w="545" w:type="pct"/>
            <w:vAlign w:val="center"/>
          </w:tcPr>
          <w:p w14:paraId="17382FAF">
            <w:pPr>
              <w:pStyle w:val="136"/>
              <w:spacing w:beforeLines="0" w:afterLines="0" w:line="240" w:lineRule="auto"/>
              <w:rPr>
                <w:rFonts w:ascii="Times New Roman"/>
                <w:snapToGrid w:val="0"/>
                <w:color w:val="auto"/>
                <w:szCs w:val="21"/>
                <w:lang w:val="en-US"/>
              </w:rPr>
            </w:pPr>
            <w:r>
              <w:rPr>
                <w:rFonts w:hint="eastAsia" w:ascii="Times New Roman"/>
                <w:snapToGrid w:val="0"/>
                <w:color w:val="auto"/>
                <w:szCs w:val="21"/>
                <w:lang w:val="en-US"/>
              </w:rPr>
              <w:t>1.8</w:t>
            </w:r>
          </w:p>
        </w:tc>
        <w:tc>
          <w:tcPr>
            <w:tcW w:w="618" w:type="pct"/>
            <w:vAlign w:val="center"/>
          </w:tcPr>
          <w:p w14:paraId="17382FB0">
            <w:pPr>
              <w:pStyle w:val="136"/>
              <w:spacing w:beforeLines="0" w:afterLines="0" w:line="240" w:lineRule="auto"/>
              <w:rPr>
                <w:rFonts w:ascii="Times New Roman"/>
                <w:snapToGrid w:val="0"/>
                <w:color w:val="auto"/>
                <w:szCs w:val="21"/>
                <w:lang w:val="en-US"/>
              </w:rPr>
            </w:pPr>
            <w:r>
              <w:rPr>
                <w:rFonts w:hint="eastAsia" w:ascii="Times New Roman"/>
                <w:snapToGrid w:val="0"/>
                <w:color w:val="auto"/>
                <w:szCs w:val="21"/>
                <w:lang w:val="en-US"/>
              </w:rPr>
              <w:t>0</w:t>
            </w:r>
          </w:p>
        </w:tc>
        <w:tc>
          <w:tcPr>
            <w:tcW w:w="1554" w:type="dxa"/>
            <w:vAlign w:val="center"/>
          </w:tcPr>
          <w:p w14:paraId="17382FB1">
            <w:pPr>
              <w:pStyle w:val="136"/>
              <w:spacing w:beforeLines="0" w:afterLines="0" w:line="240" w:lineRule="auto"/>
              <w:rPr>
                <w:rFonts w:ascii="Times New Roman"/>
                <w:snapToGrid w:val="0"/>
                <w:color w:val="auto"/>
                <w:szCs w:val="21"/>
                <w:lang w:val="en-US"/>
              </w:rPr>
            </w:pPr>
            <w:r>
              <w:rPr>
                <w:rFonts w:hint="eastAsia" w:ascii="Times New Roman"/>
                <w:snapToGrid w:val="0"/>
                <w:color w:val="auto"/>
                <w:szCs w:val="21"/>
                <w:lang w:val="en-US"/>
              </w:rPr>
              <w:t>1.8</w:t>
            </w:r>
          </w:p>
        </w:tc>
        <w:tc>
          <w:tcPr>
            <w:tcW w:w="1139" w:type="dxa"/>
            <w:vAlign w:val="center"/>
          </w:tcPr>
          <w:p w14:paraId="17382FB2">
            <w:pPr>
              <w:pStyle w:val="136"/>
              <w:spacing w:beforeLines="0" w:afterLines="0" w:line="240" w:lineRule="auto"/>
              <w:rPr>
                <w:rFonts w:ascii="Times New Roman"/>
                <w:snapToGrid w:val="0"/>
                <w:color w:val="auto"/>
                <w:szCs w:val="21"/>
                <w:lang w:val="en-US"/>
              </w:rPr>
            </w:pPr>
            <w:r>
              <w:rPr>
                <w:rFonts w:hint="eastAsia" w:ascii="Times New Roman"/>
                <w:snapToGrid w:val="0"/>
                <w:color w:val="auto"/>
                <w:szCs w:val="21"/>
                <w:lang w:val="en-US"/>
              </w:rPr>
              <w:t>+1.8</w:t>
            </w:r>
          </w:p>
        </w:tc>
      </w:tr>
    </w:tbl>
    <w:p w14:paraId="58D62860">
      <w:pPr>
        <w:pStyle w:val="136"/>
        <w:spacing w:before="249" w:beforeLines="80" w:after="31" w:line="240" w:lineRule="auto"/>
        <w:jc w:val="left"/>
        <w:rPr>
          <w:b/>
          <w:snapToGrid w:val="0"/>
          <w:color w:val="auto"/>
          <w:sz w:val="24"/>
          <w:lang w:val="en-US"/>
        </w:rPr>
      </w:pPr>
      <w:r>
        <w:rPr>
          <w:rFonts w:ascii="Times New Roman"/>
          <w:snapToGrid w:val="0"/>
          <w:color w:val="auto"/>
          <w:kern w:val="21"/>
          <w:szCs w:val="21"/>
        </w:rPr>
        <w:t>注</w:t>
      </w:r>
      <w:r>
        <w:rPr>
          <w:rFonts w:ascii="Times New Roman"/>
          <w:snapToGrid w:val="0"/>
          <w:color w:val="auto"/>
          <w:kern w:val="21"/>
          <w:szCs w:val="21"/>
          <w:lang w:val="en-US"/>
        </w:rPr>
        <w:t>：</w:t>
      </w:r>
      <w:r>
        <w:rPr>
          <w:rFonts w:ascii="Times New Roman"/>
          <w:snapToGrid w:val="0"/>
          <w:color w:val="auto"/>
          <w:spacing w:val="-16"/>
          <w:kern w:val="21"/>
          <w:szCs w:val="21"/>
        </w:rPr>
        <w:fldChar w:fldCharType="begin"/>
      </w:r>
      <w:r>
        <w:rPr>
          <w:rFonts w:ascii="Times New Roman"/>
          <w:snapToGrid w:val="0"/>
          <w:color w:val="auto"/>
          <w:spacing w:val="-16"/>
          <w:kern w:val="21"/>
          <w:szCs w:val="21"/>
          <w:lang w:val="en-US"/>
        </w:rPr>
        <w:instrText xml:space="preserve"> = 6 \* GB3 \* MERGEFORMAT </w:instrText>
      </w:r>
      <w:r>
        <w:rPr>
          <w:rFonts w:ascii="Times New Roman"/>
          <w:snapToGrid w:val="0"/>
          <w:color w:val="auto"/>
          <w:spacing w:val="-16"/>
          <w:kern w:val="21"/>
          <w:szCs w:val="21"/>
        </w:rPr>
        <w:fldChar w:fldCharType="separate"/>
      </w:r>
      <w:r>
        <w:rPr>
          <w:rFonts w:ascii="Times New Roman"/>
          <w:color w:val="auto"/>
          <w:szCs w:val="21"/>
          <w:lang w:val="en-US"/>
        </w:rPr>
        <w:t>⑥</w:t>
      </w:r>
      <w:r>
        <w:rPr>
          <w:rFonts w:ascii="Times New Roman"/>
          <w:snapToGrid w:val="0"/>
          <w:color w:val="auto"/>
          <w:spacing w:val="-16"/>
          <w:kern w:val="21"/>
          <w:szCs w:val="21"/>
        </w:rPr>
        <w:fldChar w:fldCharType="end"/>
      </w:r>
      <w:r>
        <w:rPr>
          <w:rFonts w:ascii="Times New Roman"/>
          <w:snapToGrid w:val="0"/>
          <w:color w:val="auto"/>
          <w:spacing w:val="-16"/>
          <w:kern w:val="21"/>
          <w:szCs w:val="21"/>
          <w:lang w:val="en-US"/>
        </w:rPr>
        <w:t>=</w:t>
      </w:r>
      <w:r>
        <w:rPr>
          <w:rFonts w:ascii="Times New Roman"/>
          <w:snapToGrid w:val="0"/>
          <w:color w:val="auto"/>
          <w:spacing w:val="-6"/>
          <w:kern w:val="21"/>
          <w:szCs w:val="21"/>
        </w:rPr>
        <w:fldChar w:fldCharType="begin"/>
      </w:r>
      <w:r>
        <w:rPr>
          <w:rFonts w:ascii="Times New Roman"/>
          <w:snapToGrid w:val="0"/>
          <w:color w:val="auto"/>
          <w:spacing w:val="-6"/>
          <w:kern w:val="21"/>
          <w:szCs w:val="21"/>
          <w:lang w:val="en-US"/>
        </w:rPr>
        <w:instrText xml:space="preserve"> = 1 \* GB3 \* MERGEFORMAT </w:instrText>
      </w:r>
      <w:r>
        <w:rPr>
          <w:rFonts w:ascii="Times New Roman"/>
          <w:snapToGrid w:val="0"/>
          <w:color w:val="auto"/>
          <w:spacing w:val="-6"/>
          <w:kern w:val="21"/>
          <w:szCs w:val="21"/>
        </w:rPr>
        <w:fldChar w:fldCharType="separate"/>
      </w:r>
      <w:r>
        <w:rPr>
          <w:rFonts w:ascii="Times New Roman"/>
          <w:color w:val="auto"/>
          <w:szCs w:val="21"/>
          <w:lang w:val="en-US"/>
        </w:rPr>
        <w:t>①</w:t>
      </w:r>
      <w:r>
        <w:rPr>
          <w:rFonts w:ascii="Times New Roman"/>
          <w:snapToGrid w:val="0"/>
          <w:color w:val="auto"/>
          <w:spacing w:val="-6"/>
          <w:kern w:val="21"/>
          <w:szCs w:val="21"/>
        </w:rPr>
        <w:fldChar w:fldCharType="end"/>
      </w:r>
      <w:r>
        <w:rPr>
          <w:rFonts w:ascii="Times New Roman"/>
          <w:snapToGrid w:val="0"/>
          <w:color w:val="auto"/>
          <w:spacing w:val="-6"/>
          <w:kern w:val="21"/>
          <w:szCs w:val="21"/>
          <w:lang w:val="en-US"/>
        </w:rPr>
        <w:t>+</w:t>
      </w:r>
      <w:r>
        <w:rPr>
          <w:rFonts w:ascii="Times New Roman"/>
          <w:snapToGrid w:val="0"/>
          <w:color w:val="auto"/>
          <w:spacing w:val="-6"/>
          <w:kern w:val="21"/>
          <w:szCs w:val="21"/>
        </w:rPr>
        <w:fldChar w:fldCharType="begin"/>
      </w:r>
      <w:r>
        <w:rPr>
          <w:rFonts w:ascii="Times New Roman"/>
          <w:snapToGrid w:val="0"/>
          <w:color w:val="auto"/>
          <w:spacing w:val="-6"/>
          <w:kern w:val="21"/>
          <w:szCs w:val="21"/>
          <w:lang w:val="en-US"/>
        </w:rPr>
        <w:instrText xml:space="preserve"> = 3 \* GB3 \* MERGEFORMAT </w:instrText>
      </w:r>
      <w:r>
        <w:rPr>
          <w:rFonts w:ascii="Times New Roman"/>
          <w:snapToGrid w:val="0"/>
          <w:color w:val="auto"/>
          <w:spacing w:val="-6"/>
          <w:kern w:val="21"/>
          <w:szCs w:val="21"/>
        </w:rPr>
        <w:fldChar w:fldCharType="separate"/>
      </w:r>
      <w:r>
        <w:rPr>
          <w:rFonts w:ascii="Times New Roman"/>
          <w:color w:val="auto"/>
          <w:szCs w:val="21"/>
          <w:lang w:val="en-US"/>
        </w:rPr>
        <w:t>③</w:t>
      </w:r>
      <w:r>
        <w:rPr>
          <w:rFonts w:ascii="Times New Roman"/>
          <w:snapToGrid w:val="0"/>
          <w:color w:val="auto"/>
          <w:spacing w:val="-6"/>
          <w:kern w:val="21"/>
          <w:szCs w:val="21"/>
        </w:rPr>
        <w:fldChar w:fldCharType="end"/>
      </w:r>
      <w:r>
        <w:rPr>
          <w:rFonts w:ascii="Times New Roman"/>
          <w:snapToGrid w:val="0"/>
          <w:color w:val="auto"/>
          <w:spacing w:val="-6"/>
          <w:kern w:val="21"/>
          <w:szCs w:val="21"/>
          <w:lang w:val="en-US"/>
        </w:rPr>
        <w:t>+</w:t>
      </w:r>
      <w:r>
        <w:rPr>
          <w:rFonts w:ascii="Times New Roman"/>
          <w:snapToGrid w:val="0"/>
          <w:color w:val="auto"/>
          <w:spacing w:val="-6"/>
          <w:kern w:val="21"/>
          <w:szCs w:val="21"/>
        </w:rPr>
        <w:fldChar w:fldCharType="begin"/>
      </w:r>
      <w:r>
        <w:rPr>
          <w:rFonts w:ascii="Times New Roman"/>
          <w:snapToGrid w:val="0"/>
          <w:color w:val="auto"/>
          <w:spacing w:val="-6"/>
          <w:kern w:val="21"/>
          <w:szCs w:val="21"/>
          <w:lang w:val="en-US"/>
        </w:rPr>
        <w:instrText xml:space="preserve"> = 4 \* GB3 \* MERGEFORMAT </w:instrText>
      </w:r>
      <w:r>
        <w:rPr>
          <w:rFonts w:ascii="Times New Roman"/>
          <w:snapToGrid w:val="0"/>
          <w:color w:val="auto"/>
          <w:spacing w:val="-6"/>
          <w:kern w:val="21"/>
          <w:szCs w:val="21"/>
        </w:rPr>
        <w:fldChar w:fldCharType="separate"/>
      </w:r>
      <w:r>
        <w:rPr>
          <w:rFonts w:ascii="Times New Roman"/>
          <w:color w:val="auto"/>
          <w:szCs w:val="21"/>
          <w:lang w:val="en-US"/>
        </w:rPr>
        <w:t>④</w:t>
      </w:r>
      <w:r>
        <w:rPr>
          <w:rFonts w:ascii="Times New Roman"/>
          <w:snapToGrid w:val="0"/>
          <w:color w:val="auto"/>
          <w:spacing w:val="-6"/>
          <w:kern w:val="21"/>
          <w:szCs w:val="21"/>
        </w:rPr>
        <w:fldChar w:fldCharType="end"/>
      </w:r>
      <w:r>
        <w:rPr>
          <w:rFonts w:ascii="Times New Roman"/>
          <w:snapToGrid w:val="0"/>
          <w:color w:val="auto"/>
          <w:spacing w:val="-6"/>
          <w:kern w:val="21"/>
          <w:szCs w:val="21"/>
          <w:lang w:val="en-US"/>
        </w:rPr>
        <w:t>-</w:t>
      </w:r>
      <w:r>
        <w:rPr>
          <w:rFonts w:ascii="Times New Roman"/>
          <w:snapToGrid w:val="0"/>
          <w:color w:val="auto"/>
          <w:spacing w:val="-16"/>
          <w:kern w:val="21"/>
          <w:szCs w:val="21"/>
        </w:rPr>
        <w:fldChar w:fldCharType="begin"/>
      </w:r>
      <w:r>
        <w:rPr>
          <w:rFonts w:ascii="Times New Roman"/>
          <w:snapToGrid w:val="0"/>
          <w:color w:val="auto"/>
          <w:spacing w:val="-16"/>
          <w:kern w:val="21"/>
          <w:szCs w:val="21"/>
          <w:lang w:val="en-US"/>
        </w:rPr>
        <w:instrText xml:space="preserve"> = 5 \* GB3 \* MERGEFORMAT </w:instrText>
      </w:r>
      <w:r>
        <w:rPr>
          <w:rFonts w:ascii="Times New Roman"/>
          <w:snapToGrid w:val="0"/>
          <w:color w:val="auto"/>
          <w:spacing w:val="-16"/>
          <w:kern w:val="21"/>
          <w:szCs w:val="21"/>
        </w:rPr>
        <w:fldChar w:fldCharType="separate"/>
      </w:r>
      <w:r>
        <w:rPr>
          <w:rFonts w:ascii="Times New Roman"/>
          <w:color w:val="auto"/>
          <w:szCs w:val="21"/>
          <w:lang w:val="en-US"/>
        </w:rPr>
        <w:t>⑤</w:t>
      </w:r>
      <w:r>
        <w:rPr>
          <w:rFonts w:ascii="Times New Roman"/>
          <w:snapToGrid w:val="0"/>
          <w:color w:val="auto"/>
          <w:spacing w:val="-16"/>
          <w:kern w:val="21"/>
          <w:szCs w:val="21"/>
        </w:rPr>
        <w:fldChar w:fldCharType="end"/>
      </w:r>
      <w:r>
        <w:rPr>
          <w:rFonts w:ascii="Times New Roman"/>
          <w:snapToGrid w:val="0"/>
          <w:color w:val="auto"/>
          <w:spacing w:val="-16"/>
          <w:kern w:val="21"/>
          <w:szCs w:val="21"/>
          <w:lang w:val="en-US"/>
        </w:rPr>
        <w:t>；</w:t>
      </w:r>
      <w:r>
        <w:rPr>
          <w:rFonts w:ascii="Times New Roman"/>
          <w:snapToGrid w:val="0"/>
          <w:color w:val="auto"/>
          <w:spacing w:val="-6"/>
          <w:kern w:val="21"/>
          <w:szCs w:val="21"/>
        </w:rPr>
        <w:fldChar w:fldCharType="begin"/>
      </w:r>
      <w:r>
        <w:rPr>
          <w:rFonts w:ascii="Times New Roman"/>
          <w:snapToGrid w:val="0"/>
          <w:color w:val="auto"/>
          <w:spacing w:val="-6"/>
          <w:kern w:val="21"/>
          <w:szCs w:val="21"/>
          <w:lang w:val="en-US"/>
        </w:rPr>
        <w:instrText xml:space="preserve"> = 7 \* GB3 \* MERGEFORMAT </w:instrText>
      </w:r>
      <w:r>
        <w:rPr>
          <w:rFonts w:ascii="Times New Roman"/>
          <w:snapToGrid w:val="0"/>
          <w:color w:val="auto"/>
          <w:spacing w:val="-6"/>
          <w:kern w:val="21"/>
          <w:szCs w:val="21"/>
        </w:rPr>
        <w:fldChar w:fldCharType="separate"/>
      </w:r>
      <w:r>
        <w:rPr>
          <w:rFonts w:ascii="Times New Roman"/>
          <w:color w:val="auto"/>
          <w:szCs w:val="21"/>
          <w:lang w:val="en-US"/>
        </w:rPr>
        <w:t>⑦</w:t>
      </w:r>
      <w:r>
        <w:rPr>
          <w:rFonts w:ascii="Times New Roman"/>
          <w:snapToGrid w:val="0"/>
          <w:color w:val="auto"/>
          <w:spacing w:val="-6"/>
          <w:kern w:val="21"/>
          <w:szCs w:val="21"/>
        </w:rPr>
        <w:fldChar w:fldCharType="end"/>
      </w:r>
      <w:r>
        <w:rPr>
          <w:rFonts w:ascii="Times New Roman"/>
          <w:snapToGrid w:val="0"/>
          <w:color w:val="auto"/>
          <w:spacing w:val="-6"/>
          <w:kern w:val="21"/>
          <w:szCs w:val="21"/>
          <w:lang w:val="en-US"/>
        </w:rPr>
        <w:t>=</w:t>
      </w:r>
      <w:r>
        <w:rPr>
          <w:rFonts w:ascii="Times New Roman"/>
          <w:snapToGrid w:val="0"/>
          <w:color w:val="auto"/>
          <w:spacing w:val="-16"/>
          <w:kern w:val="21"/>
          <w:szCs w:val="21"/>
        </w:rPr>
        <w:fldChar w:fldCharType="begin"/>
      </w:r>
      <w:r>
        <w:rPr>
          <w:rFonts w:ascii="Times New Roman"/>
          <w:snapToGrid w:val="0"/>
          <w:color w:val="auto"/>
          <w:spacing w:val="-16"/>
          <w:kern w:val="21"/>
          <w:szCs w:val="21"/>
          <w:lang w:val="en-US"/>
        </w:rPr>
        <w:instrText xml:space="preserve"> = 6 \* GB3 \* MERGEFORMAT </w:instrText>
      </w:r>
      <w:r>
        <w:rPr>
          <w:rFonts w:ascii="Times New Roman"/>
          <w:snapToGrid w:val="0"/>
          <w:color w:val="auto"/>
          <w:spacing w:val="-16"/>
          <w:kern w:val="21"/>
          <w:szCs w:val="21"/>
        </w:rPr>
        <w:fldChar w:fldCharType="separate"/>
      </w:r>
      <w:r>
        <w:rPr>
          <w:rFonts w:ascii="Times New Roman"/>
          <w:color w:val="auto"/>
          <w:szCs w:val="21"/>
          <w:lang w:val="en-US"/>
        </w:rPr>
        <w:t>⑥</w:t>
      </w:r>
      <w:r>
        <w:rPr>
          <w:rFonts w:ascii="Times New Roman"/>
          <w:snapToGrid w:val="0"/>
          <w:color w:val="auto"/>
          <w:spacing w:val="-16"/>
          <w:kern w:val="21"/>
          <w:szCs w:val="21"/>
        </w:rPr>
        <w:fldChar w:fldCharType="end"/>
      </w:r>
      <w:r>
        <w:rPr>
          <w:rFonts w:ascii="Times New Roman"/>
          <w:snapToGrid w:val="0"/>
          <w:color w:val="auto"/>
          <w:spacing w:val="-16"/>
          <w:kern w:val="21"/>
          <w:szCs w:val="21"/>
          <w:lang w:val="en-US"/>
        </w:rPr>
        <w:t>-</w:t>
      </w:r>
      <w:r>
        <w:rPr>
          <w:rFonts w:ascii="Times New Roman"/>
          <w:snapToGrid w:val="0"/>
          <w:color w:val="auto"/>
          <w:spacing w:val="-6"/>
          <w:kern w:val="21"/>
          <w:szCs w:val="21"/>
        </w:rPr>
        <w:fldChar w:fldCharType="begin"/>
      </w:r>
      <w:r>
        <w:rPr>
          <w:rFonts w:ascii="Times New Roman"/>
          <w:snapToGrid w:val="0"/>
          <w:color w:val="auto"/>
          <w:spacing w:val="-6"/>
          <w:kern w:val="21"/>
          <w:szCs w:val="21"/>
          <w:lang w:val="en-US"/>
        </w:rPr>
        <w:instrText xml:space="preserve"> = 1 \* GB3 \* MERGEFORMAT </w:instrText>
      </w:r>
      <w:r>
        <w:rPr>
          <w:rFonts w:ascii="Times New Roman"/>
          <w:snapToGrid w:val="0"/>
          <w:color w:val="auto"/>
          <w:spacing w:val="-6"/>
          <w:kern w:val="21"/>
          <w:szCs w:val="21"/>
        </w:rPr>
        <w:fldChar w:fldCharType="separate"/>
      </w:r>
      <w:r>
        <w:rPr>
          <w:rFonts w:ascii="Times New Roman"/>
          <w:color w:val="auto"/>
          <w:szCs w:val="21"/>
          <w:lang w:val="en-US"/>
        </w:rPr>
        <w:t>①</w:t>
      </w:r>
      <w:r>
        <w:rPr>
          <w:rFonts w:ascii="Times New Roman"/>
          <w:snapToGrid w:val="0"/>
          <w:color w:val="auto"/>
          <w:spacing w:val="-6"/>
          <w:kern w:val="21"/>
          <w:szCs w:val="21"/>
        </w:rPr>
        <w:fldChar w:fldCharType="end"/>
      </w:r>
    </w:p>
    <w:sectPr>
      <w:footerReference r:id="rId7" w:type="default"/>
      <w:pgSz w:w="16838" w:h="11906" w:orient="landscape"/>
      <w:pgMar w:top="1531" w:right="1701" w:bottom="1531" w:left="1701" w:header="851" w:footer="851"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B1"/>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新宋体">
    <w:panose1 w:val="02010609030101010101"/>
    <w:charset w:val="86"/>
    <w:family w:val="modern"/>
    <w:pitch w:val="default"/>
    <w:sig w:usb0="00000203" w:usb1="288F0000" w:usb2="0000000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Arial Black">
    <w:panose1 w:val="020B0A04020102020204"/>
    <w:charset w:val="00"/>
    <w:family w:val="swiss"/>
    <w:pitch w:val="default"/>
    <w:sig w:usb0="A00002AF" w:usb1="400078FB" w:usb2="00000000" w:usb3="00000000" w:csb0="6000009F" w:csb1="DFD70000"/>
  </w:font>
  <w:font w:name="幼圆">
    <w:panose1 w:val="02010509060101010101"/>
    <w:charset w:val="86"/>
    <w:family w:val="modern"/>
    <w:pitch w:val="default"/>
    <w:sig w:usb0="00000001" w:usb1="080E0000" w:usb2="00000000" w:usb3="00000000" w:csb0="00040000" w:csb1="00000000"/>
  </w:font>
  <w:font w:name="ˎ̥">
    <w:altName w:val="微软雅黑"/>
    <w:panose1 w:val="00000000000000000000"/>
    <w:charset w:val="00"/>
    <w:family w:val="roman"/>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Bookman Old Style">
    <w:panose1 w:val="02050604050505020204"/>
    <w:charset w:val="00"/>
    <w:family w:val="roman"/>
    <w:pitch w:val="default"/>
    <w:sig w:usb0="00000287" w:usb1="00000000" w:usb2="00000000" w:usb3="00000000" w:csb0="2000009F" w:csb1="DFD70000"/>
  </w:font>
  <w:font w:name="华文楷体">
    <w:panose1 w:val="02010600040101010101"/>
    <w:charset w:val="86"/>
    <w:family w:val="auto"/>
    <w:pitch w:val="default"/>
    <w:sig w:usb0="00000287" w:usb1="080F0000" w:usb2="00000000" w:usb3="00000000" w:csb0="0004009F" w:csb1="DFD70000"/>
  </w:font>
  <w:font w:name="Arial Narrow">
    <w:panose1 w:val="020B0606020202030204"/>
    <w:charset w:val="00"/>
    <w:family w:val="swiss"/>
    <w:pitch w:val="default"/>
    <w:sig w:usb0="00000287" w:usb1="00000800" w:usb2="00000000" w:usb3="00000000" w:csb0="2000009F" w:csb1="DFD70000"/>
  </w:font>
  <w:font w:name="楷体">
    <w:panose1 w:val="02010609060101010101"/>
    <w:charset w:val="86"/>
    <w:family w:val="modern"/>
    <w:pitch w:val="default"/>
    <w:sig w:usb0="800002BF" w:usb1="38CF7CFA" w:usb2="00000016" w:usb3="00000000" w:csb0="00040001" w:csb1="00000000"/>
  </w:font>
  <w:font w:name="Verdana">
    <w:panose1 w:val="020B0604030504040204"/>
    <w:charset w:val="00"/>
    <w:family w:val="swiss"/>
    <w:pitch w:val="default"/>
    <w:sig w:usb0="A00006FF" w:usb1="4000205B" w:usb2="00000010" w:usb3="00000000" w:csb0="2000019F" w:csb1="00000000"/>
  </w:font>
  <w:font w:name="Arial Unicode MS">
    <w:altName w:val="宋体"/>
    <w:panose1 w:val="020B0604020202020204"/>
    <w:charset w:val="86"/>
    <w:family w:val="swiss"/>
    <w:pitch w:val="default"/>
    <w:sig w:usb0="00000000" w:usb1="00000000" w:usb2="0000003F" w:usb3="00000000" w:csb0="603F01FF" w:csb1="FFFF0000"/>
  </w:font>
  <w:font w:name="MS Shell Dlg">
    <w:altName w:val="Microsoft Sans Serif"/>
    <w:panose1 w:val="020B0604020202020204"/>
    <w:charset w:val="00"/>
    <w:family w:val="swiss"/>
    <w:pitch w:val="default"/>
    <w:sig w:usb0="00000000" w:usb1="00000000" w:usb2="00000029" w:usb3="00000000" w:csb0="000101FF" w:csb1="00000000"/>
  </w:font>
  <w:font w:name="Microsoft Sans Serif">
    <w:panose1 w:val="020B0604020202020204"/>
    <w:charset w:val="00"/>
    <w:family w:val="auto"/>
    <w:pitch w:val="default"/>
    <w:sig w:usb0="E5002EFF" w:usb1="C000605B" w:usb2="00000029" w:usb3="00000000" w:csb0="200101FF" w:csb1="20280000"/>
  </w:font>
  <w:font w:name="PMingLiU">
    <w:altName w:val="PMingLiU-ExtB"/>
    <w:panose1 w:val="02020500000000000000"/>
    <w:charset w:val="88"/>
    <w:family w:val="roman"/>
    <w:pitch w:val="default"/>
    <w:sig w:usb0="00000000" w:usb1="00000000" w:usb2="00000016" w:usb3="00000000" w:csb0="00100001" w:csb1="00000000"/>
  </w:font>
  <w:font w:name="仿宋体">
    <w:altName w:val="宋体"/>
    <w:panose1 w:val="00000000000000000000"/>
    <w:charset w:val="86"/>
    <w:family w:val="roman"/>
    <w:pitch w:val="default"/>
    <w:sig w:usb0="00000000" w:usb1="00000000" w:usb2="00000010" w:usb3="00000000" w:csb0="00040000" w:csb1="00000000"/>
  </w:font>
  <w:font w:name="汉鼎简书宋">
    <w:altName w:val="宋体"/>
    <w:panose1 w:val="00000000000000000000"/>
    <w:charset w:val="86"/>
    <w:family w:val="modern"/>
    <w:pitch w:val="default"/>
    <w:sig w:usb0="00000000" w:usb1="00000000" w:usb2="00000010" w:usb3="00000000" w:csb0="00040000" w:csb1="00000000"/>
  </w:font>
  <w:font w:name="等线 Light">
    <w:panose1 w:val="02010600030101010101"/>
    <w:charset w:val="86"/>
    <w:family w:val="auto"/>
    <w:pitch w:val="default"/>
    <w:sig w:usb0="A00002BF" w:usb1="38CF7CFA" w:usb2="00000016" w:usb3="00000000" w:csb0="0004000F" w:csb1="00000000"/>
  </w:font>
  <w:font w:name="Times">
    <w:altName w:val="Times New Roman"/>
    <w:panose1 w:val="02020603050405020304"/>
    <w:charset w:val="00"/>
    <w:family w:val="roman"/>
    <w:pitch w:val="default"/>
    <w:sig w:usb0="00000000" w:usb1="00000000" w:usb2="00000009" w:usb3="00000000" w:csb0="000001FF" w:csb1="00000000"/>
  </w:font>
  <w:font w:name="Tahoma">
    <w:panose1 w:val="020B0604030504040204"/>
    <w:charset w:val="00"/>
    <w:family w:val="swiss"/>
    <w:pitch w:val="default"/>
    <w:sig w:usb0="E1002EFF" w:usb1="C000605B" w:usb2="00000029" w:usb3="00000000" w:csb0="200101FF" w:csb1="20280000"/>
  </w:font>
  <w:font w:name="Times New Roman;Symbol;Arial;婼">
    <w:altName w:val="黑体"/>
    <w:panose1 w:val="00000000000000000000"/>
    <w:charset w:val="86"/>
    <w:family w:val="auto"/>
    <w:pitch w:val="default"/>
    <w:sig w:usb0="00000000" w:usb1="00000000" w:usb2="00000010" w:usb3="00000000" w:csb0="00040000" w:csb1="00000000"/>
  </w:font>
  <w:font w:name="文鼎CS中宋">
    <w:altName w:val="宋体"/>
    <w:panose1 w:val="00000000000000000000"/>
    <w:charset w:val="86"/>
    <w:family w:val="auto"/>
    <w:pitch w:val="default"/>
    <w:sig w:usb0="00000000" w:usb1="00000000" w:usb2="00000010" w:usb3="00000000" w:csb0="00040000" w:csb1="00000000"/>
  </w:font>
  <w:font w:name="文鼎大标宋简">
    <w:altName w:val="宋体"/>
    <w:panose1 w:val="00000000000000000000"/>
    <w:charset w:val="86"/>
    <w:family w:val="modern"/>
    <w:pitch w:val="default"/>
    <w:sig w:usb0="00000000" w:usb1="00000000" w:usb2="00000010" w:usb3="00000000" w:csb0="00040000"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Times New Roman”“">
    <w:altName w:val="宋体"/>
    <w:panose1 w:val="00000000000000000000"/>
    <w:charset w:val="86"/>
    <w:family w:val="roman"/>
    <w:pitch w:val="default"/>
    <w:sig w:usb0="00000000" w:usb1="00000000" w:usb2="00000010" w:usb3="00000000" w:csb0="00040000" w:csb1="00000000"/>
  </w:font>
  <w:font w:name="Courier">
    <w:altName w:val="Courier New"/>
    <w:panose1 w:val="02070409020205020404"/>
    <w:charset w:val="00"/>
    <w:family w:val="modern"/>
    <w:pitch w:val="default"/>
    <w:sig w:usb0="00000000" w:usb1="00000000" w:usb2="00000000" w:usb3="00000000" w:csb0="00000001" w:csb1="00000000"/>
  </w:font>
  <w:font w:name="Alaska">
    <w:altName w:val="Lucida Sans Unicode"/>
    <w:panose1 w:val="00000000000000000000"/>
    <w:charset w:val="00"/>
    <w:family w:val="swiss"/>
    <w:pitch w:val="default"/>
    <w:sig w:usb0="00000000" w:usb1="00000000" w:usb2="00000000" w:usb3="00000000" w:csb0="00000017" w:csb1="00000000"/>
  </w:font>
  <w:font w:name="Lucida Sans Unicode">
    <w:panose1 w:val="020B0602030504020204"/>
    <w:charset w:val="00"/>
    <w:family w:val="auto"/>
    <w:pitch w:val="default"/>
    <w:sig w:usb0="80001AFF" w:usb1="0000396B" w:usb2="00000000" w:usb3="00000000" w:csb0="200000BF" w:csb1="D7F70000"/>
  </w:font>
  <w:font w:name="Li Super">
    <w:altName w:val="黑体"/>
    <w:panose1 w:val="00000000000000000000"/>
    <w:charset w:val="86"/>
    <w:family w:val="auto"/>
    <w:pitch w:val="default"/>
    <w:sig w:usb0="00000000" w:usb1="00000000" w:usb2="00000010" w:usb3="00000000" w:csb0="00040000" w:csb1="00000000"/>
  </w:font>
  <w:font w:name="華康中楷體">
    <w:altName w:val="Microsoft JhengHei"/>
    <w:panose1 w:val="00000000000000000000"/>
    <w:charset w:val="88"/>
    <w:family w:val="modern"/>
    <w:pitch w:val="default"/>
    <w:sig w:usb0="00000000" w:usb1="00000000" w:usb2="00000010" w:usb3="00000000" w:csb0="00100000" w:csb1="00000000"/>
  </w:font>
  <w:font w:name="Microsoft JhengHei">
    <w:panose1 w:val="020B0604030504040204"/>
    <w:charset w:val="88"/>
    <w:family w:val="auto"/>
    <w:pitch w:val="default"/>
    <w:sig w:usb0="000002A7" w:usb1="28CF4400" w:usb2="00000016" w:usb3="00000000" w:csb0="00100009" w:csb1="00000000"/>
  </w:font>
  <w:font w:name="方正仿宋_GBK">
    <w:panose1 w:val="03000509000000000000"/>
    <w:charset w:val="86"/>
    <w:family w:val="script"/>
    <w:pitch w:val="default"/>
    <w:sig w:usb0="00000001" w:usb1="080E0000" w:usb2="00000000" w:usb3="00000000" w:csb0="00040000" w:csb1="00000000"/>
  </w:font>
  <w:font w:name="Century">
    <w:panose1 w:val="02040604050505020304"/>
    <w:charset w:val="00"/>
    <w:family w:val="roman"/>
    <w:pitch w:val="default"/>
    <w:sig w:usb0="00000287" w:usb1="00000000" w:usb2="00000000" w:usb3="00000000" w:csb0="2000009F" w:csb1="DFD70000"/>
  </w:font>
  <w:font w:name="隶书">
    <w:panose1 w:val="02010509060101010101"/>
    <w:charset w:val="86"/>
    <w:family w:val="modern"/>
    <w:pitch w:val="default"/>
    <w:sig w:usb0="00000001" w:usb1="080E0000" w:usb2="00000000" w:usb3="00000000" w:csb0="00040000" w:csb1="00000000"/>
  </w:font>
  <w:font w:name="Garamond">
    <w:panose1 w:val="02020404030301010803"/>
    <w:charset w:val="00"/>
    <w:family w:val="roman"/>
    <w:pitch w:val="default"/>
    <w:sig w:usb0="00000287" w:usb1="00000000" w:usb2="00000000" w:usb3="00000000" w:csb0="0000009F" w:csb1="DFD70000"/>
  </w:font>
  <w:font w:name="华文细黑">
    <w:panose1 w:val="02010600040101010101"/>
    <w:charset w:val="86"/>
    <w:family w:val="auto"/>
    <w:pitch w:val="default"/>
    <w:sig w:usb0="00000287" w:usb1="080F0000" w:usb2="00000000" w:usb3="00000000" w:csb0="0004009F" w:csb1="DFD70000"/>
  </w:font>
  <w:font w:name="Wingdings 2">
    <w:panose1 w:val="05020102010507070707"/>
    <w:charset w:val="02"/>
    <w:family w:val="roman"/>
    <w:pitch w:val="default"/>
    <w:sig w:usb0="00000000" w:usb1="00000000" w:usb2="00000000" w:usb3="00000000" w:csb0="80000000" w:csb1="00000000"/>
  </w:font>
  <w:font w:name="等线">
    <w:panose1 w:val="02010600030101010101"/>
    <w:charset w:val="86"/>
    <w:family w:val="auto"/>
    <w:pitch w:val="default"/>
    <w:sig w:usb0="A00002BF" w:usb1="38CF7CFA" w:usb2="00000016" w:usb3="00000000" w:csb0="0004000F" w:csb1="00000000"/>
  </w:font>
  <w:font w:name="Segoe UI Symbol">
    <w:panose1 w:val="020B0502040204020203"/>
    <w:charset w:val="00"/>
    <w:family w:val="swiss"/>
    <w:pitch w:val="default"/>
    <w:sig w:usb0="800001E3" w:usb1="1200FFEF" w:usb2="00040000" w:usb3="04000000" w:csb0="00000001" w:csb1="40000000"/>
  </w:font>
  <w:font w:name="仿宋">
    <w:panose1 w:val="02010609060101010101"/>
    <w:charset w:val="86"/>
    <w:family w:val="auto"/>
    <w:pitch w:val="default"/>
    <w:sig w:usb0="800002BF" w:usb1="38CF7CFA" w:usb2="00000016" w:usb3="00000000" w:csb0="00040001" w:csb1="00000000"/>
  </w:font>
  <w:font w:name="PMingLiU-ExtB">
    <w:panose1 w:val="02020500000000000000"/>
    <w:charset w:val="88"/>
    <w:family w:val="auto"/>
    <w:pitch w:val="default"/>
    <w:sig w:usb0="8000002F" w:usb1="02000008" w:usb2="00000000"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382FDC">
    <w:pPr>
      <w:pStyle w:val="55"/>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382FDA">
    <w:pPr>
      <w:pStyle w:val="55"/>
      <w:framePr w:wrap="around" w:vAnchor="text" w:hAnchor="margin" w:xAlign="center" w:y="1"/>
      <w:rPr>
        <w:rStyle w:val="92"/>
      </w:rPr>
    </w:pPr>
    <w:r>
      <w:fldChar w:fldCharType="begin"/>
    </w:r>
    <w:r>
      <w:rPr>
        <w:rStyle w:val="92"/>
      </w:rPr>
      <w:instrText xml:space="preserve">PAGE  </w:instrText>
    </w:r>
    <w:r>
      <w:fldChar w:fldCharType="separate"/>
    </w:r>
    <w:r>
      <w:rPr>
        <w:rStyle w:val="92"/>
      </w:rPr>
      <w:t>2</w:t>
    </w:r>
    <w:r>
      <w:fldChar w:fldCharType="end"/>
    </w:r>
  </w:p>
  <w:p w14:paraId="17382FDB">
    <w:pPr>
      <w:pStyle w:val="55"/>
      <w:ind w:right="360"/>
      <w:jc w:val="center"/>
    </w:pPr>
    <w:r>
      <w:rPr>
        <w:sz w:val="20"/>
      </w:rPr>
      <w:t>-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382FDD">
    <w:pPr>
      <w:pStyle w:val="55"/>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7382FFF">
                          <w:pPr>
                            <w:pStyle w:val="55"/>
                            <w:jc w:val="center"/>
                          </w:pPr>
                          <w:r>
                            <w:fldChar w:fldCharType="begin"/>
                          </w:r>
                          <w:r>
                            <w:instrText xml:space="preserve">PAGE   \* MERGEFORMAT</w:instrText>
                          </w:r>
                          <w:r>
                            <w:fldChar w:fldCharType="separate"/>
                          </w:r>
                          <w:r>
                            <w:t>30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Bl4K5AtAgAAVwQAAA4AAAAAAAAAAQAgAAAAHwEAAGRycy9lMm9Eb2MueG1sUEsFBgAAAAAG&#10;AAYAWQEAAL4FAAAAAA==&#10;">
              <v:fill on="f" focussize="0,0"/>
              <v:stroke on="f" weight="0.5pt"/>
              <v:imagedata o:title=""/>
              <o:lock v:ext="edit" aspectratio="f"/>
              <v:textbox inset="0mm,0mm,0mm,0mm" style="mso-fit-shape-to-text:t;">
                <w:txbxContent>
                  <w:p w14:paraId="17382FFF">
                    <w:pPr>
                      <w:pStyle w:val="55"/>
                      <w:jc w:val="center"/>
                    </w:pPr>
                    <w:r>
                      <w:fldChar w:fldCharType="begin"/>
                    </w:r>
                    <w:r>
                      <w:instrText xml:space="preserve">PAGE   \* MERGEFORMAT</w:instrText>
                    </w:r>
                    <w:r>
                      <w:fldChar w:fldCharType="separate"/>
                    </w:r>
                    <w:r>
                      <w:t>30</w:t>
                    </w:r>
                    <w:r>
                      <w:fldChar w:fldCharType="end"/>
                    </w:r>
                  </w:p>
                </w:txbxContent>
              </v:textbox>
            </v:shape>
          </w:pict>
        </mc:Fallback>
      </mc:AlternateContent>
    </w:r>
  </w:p>
  <w:p w14:paraId="17382FDE">
    <w:pPr>
      <w:pStyle w:val="55"/>
      <w:ind w:right="360" w:firstLine="360"/>
      <w:jc w:val="both"/>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382FDF">
    <w:pPr>
      <w:pStyle w:val="55"/>
      <w:jc w:val="cente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1" name="文本框 3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7383000">
                          <w:pPr>
                            <w:pStyle w:val="55"/>
                            <w:jc w:val="center"/>
                          </w:pPr>
                          <w:r>
                            <w:fldChar w:fldCharType="begin"/>
                          </w:r>
                          <w:r>
                            <w:instrText xml:space="preserve">PAGE   \* MERGEFORMAT</w:instrText>
                          </w:r>
                          <w:r>
                            <w:fldChar w:fldCharType="separate"/>
                          </w:r>
                          <w:r>
                            <w:t>55</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DWdvJywCAABXBAAADgAAAAAAAAABACAAAAAfAQAAZHJzL2Uyb0RvYy54bWxQSwUGAAAAAAYA&#10;BgBZAQAAvQUAAAAA&#10;">
              <v:fill on="f" focussize="0,0"/>
              <v:stroke on="f" weight="0.5pt"/>
              <v:imagedata o:title=""/>
              <o:lock v:ext="edit" aspectratio="f"/>
              <v:textbox inset="0mm,0mm,0mm,0mm" style="mso-fit-shape-to-text:t;">
                <w:txbxContent>
                  <w:p w14:paraId="17383000">
                    <w:pPr>
                      <w:pStyle w:val="55"/>
                      <w:jc w:val="center"/>
                    </w:pPr>
                    <w:r>
                      <w:fldChar w:fldCharType="begin"/>
                    </w:r>
                    <w:r>
                      <w:instrText xml:space="preserve">PAGE   \* MERGEFORMAT</w:instrText>
                    </w:r>
                    <w:r>
                      <w:fldChar w:fldCharType="separate"/>
                    </w:r>
                    <w:r>
                      <w:t>55</w:t>
                    </w:r>
                    <w:r>
                      <w:fldChar w:fldCharType="end"/>
                    </w:r>
                  </w:p>
                </w:txbxContent>
              </v:textbox>
            </v:shape>
          </w:pict>
        </mc:Fallback>
      </mc:AlternateContent>
    </w:r>
  </w:p>
  <w:p w14:paraId="17382FE0">
    <w:pPr>
      <w:pStyle w:val="55"/>
      <w:ind w:right="360" w:firstLine="360"/>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382FD9">
    <w:pPr>
      <w:pStyle w:val="57"/>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89"/>
    <w:multiLevelType w:val="singleLevel"/>
    <w:tmpl w:val="FFFFFF89"/>
    <w:lvl w:ilvl="0" w:tentative="0">
      <w:start w:val="1"/>
      <w:numFmt w:val="bullet"/>
      <w:pStyle w:val="24"/>
      <w:lvlText w:val=""/>
      <w:lvlJc w:val="left"/>
      <w:pPr>
        <w:tabs>
          <w:tab w:val="left" w:pos="360"/>
        </w:tabs>
        <w:ind w:left="360" w:hanging="360"/>
      </w:pPr>
      <w:rPr>
        <w:rFonts w:hint="default" w:ascii="Wingdings" w:hAnsi="Wingdings"/>
      </w:rPr>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武装我心">
    <w15:presenceInfo w15:providerId="WPS Office" w15:userId="34241115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hideSpellingErrors/>
  <w:attachedTemplate r:id="rId1"/>
  <w:documentProtection w:edit="trackedChanges" w:enforcement="0"/>
  <w:defaultTabStop w:val="50"/>
  <w:doNotHyphenateCaps/>
  <w:drawingGridHorizontalSpacing w:val="105"/>
  <w:drawingGridVerticalSpacing w:val="156"/>
  <w:displayHorizontalDrawingGridEvery w:val="1"/>
  <w:displayVerticalDrawingGridEvery w:val="1"/>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hjODg0MTNiYmI4NmI2ODBhYmMwNWVhNWFhNDk4MzYifQ=="/>
  </w:docVars>
  <w:rsids>
    <w:rsidRoot w:val="003A632F"/>
    <w:rsid w:val="000051BF"/>
    <w:rsid w:val="00005D89"/>
    <w:rsid w:val="000064FD"/>
    <w:rsid w:val="000078A3"/>
    <w:rsid w:val="00012F6D"/>
    <w:rsid w:val="00014B77"/>
    <w:rsid w:val="000220C4"/>
    <w:rsid w:val="0002324B"/>
    <w:rsid w:val="00027E39"/>
    <w:rsid w:val="00034201"/>
    <w:rsid w:val="0004090B"/>
    <w:rsid w:val="00041E41"/>
    <w:rsid w:val="0005274F"/>
    <w:rsid w:val="000640A0"/>
    <w:rsid w:val="00066A12"/>
    <w:rsid w:val="00090627"/>
    <w:rsid w:val="00092436"/>
    <w:rsid w:val="00092AE4"/>
    <w:rsid w:val="0009397B"/>
    <w:rsid w:val="000A4D02"/>
    <w:rsid w:val="000B1434"/>
    <w:rsid w:val="000B23B5"/>
    <w:rsid w:val="000B3A94"/>
    <w:rsid w:val="000D00DA"/>
    <w:rsid w:val="000D2E83"/>
    <w:rsid w:val="000D2FE2"/>
    <w:rsid w:val="000D7014"/>
    <w:rsid w:val="000D7F6A"/>
    <w:rsid w:val="000E409E"/>
    <w:rsid w:val="000E6458"/>
    <w:rsid w:val="000E7260"/>
    <w:rsid w:val="000E7B1F"/>
    <w:rsid w:val="000F2F57"/>
    <w:rsid w:val="001012BD"/>
    <w:rsid w:val="00101AE9"/>
    <w:rsid w:val="00101F51"/>
    <w:rsid w:val="0010257E"/>
    <w:rsid w:val="0010436A"/>
    <w:rsid w:val="001064A2"/>
    <w:rsid w:val="001066FB"/>
    <w:rsid w:val="001070C1"/>
    <w:rsid w:val="00107705"/>
    <w:rsid w:val="00112A4A"/>
    <w:rsid w:val="0011395B"/>
    <w:rsid w:val="00116A72"/>
    <w:rsid w:val="001200E4"/>
    <w:rsid w:val="00123630"/>
    <w:rsid w:val="0012678F"/>
    <w:rsid w:val="00126811"/>
    <w:rsid w:val="0014070A"/>
    <w:rsid w:val="00140B10"/>
    <w:rsid w:val="0014319F"/>
    <w:rsid w:val="001476F7"/>
    <w:rsid w:val="0015287B"/>
    <w:rsid w:val="00154C32"/>
    <w:rsid w:val="0015512F"/>
    <w:rsid w:val="001644CB"/>
    <w:rsid w:val="00166A34"/>
    <w:rsid w:val="00170395"/>
    <w:rsid w:val="001747D9"/>
    <w:rsid w:val="00174F94"/>
    <w:rsid w:val="0017696F"/>
    <w:rsid w:val="00181065"/>
    <w:rsid w:val="00184309"/>
    <w:rsid w:val="00184A93"/>
    <w:rsid w:val="0018740A"/>
    <w:rsid w:val="001931E6"/>
    <w:rsid w:val="00195193"/>
    <w:rsid w:val="00195FEC"/>
    <w:rsid w:val="001A08D4"/>
    <w:rsid w:val="001A7278"/>
    <w:rsid w:val="001B090D"/>
    <w:rsid w:val="001B2E42"/>
    <w:rsid w:val="001B49D1"/>
    <w:rsid w:val="001B59CD"/>
    <w:rsid w:val="001B70EF"/>
    <w:rsid w:val="001C048E"/>
    <w:rsid w:val="001D19E2"/>
    <w:rsid w:val="001D40AE"/>
    <w:rsid w:val="001D64B2"/>
    <w:rsid w:val="001E23F4"/>
    <w:rsid w:val="001E3627"/>
    <w:rsid w:val="001E5388"/>
    <w:rsid w:val="001F12CC"/>
    <w:rsid w:val="001F1C1A"/>
    <w:rsid w:val="001F30C0"/>
    <w:rsid w:val="001F3907"/>
    <w:rsid w:val="001F7F7E"/>
    <w:rsid w:val="00210DEE"/>
    <w:rsid w:val="00211057"/>
    <w:rsid w:val="00211226"/>
    <w:rsid w:val="00213CF6"/>
    <w:rsid w:val="00214FF4"/>
    <w:rsid w:val="00215CDA"/>
    <w:rsid w:val="00217CF8"/>
    <w:rsid w:val="002272E7"/>
    <w:rsid w:val="002300E9"/>
    <w:rsid w:val="00231873"/>
    <w:rsid w:val="0024219E"/>
    <w:rsid w:val="00244738"/>
    <w:rsid w:val="00244D09"/>
    <w:rsid w:val="00245380"/>
    <w:rsid w:val="0025079C"/>
    <w:rsid w:val="00260269"/>
    <w:rsid w:val="00264CCB"/>
    <w:rsid w:val="00266949"/>
    <w:rsid w:val="0027016C"/>
    <w:rsid w:val="00276D2D"/>
    <w:rsid w:val="00277CCC"/>
    <w:rsid w:val="00280FD3"/>
    <w:rsid w:val="00281182"/>
    <w:rsid w:val="00285085"/>
    <w:rsid w:val="002866F1"/>
    <w:rsid w:val="00292BAB"/>
    <w:rsid w:val="00294D4E"/>
    <w:rsid w:val="00295201"/>
    <w:rsid w:val="00297140"/>
    <w:rsid w:val="002A1359"/>
    <w:rsid w:val="002A7594"/>
    <w:rsid w:val="002B4399"/>
    <w:rsid w:val="002C403A"/>
    <w:rsid w:val="002C6A3D"/>
    <w:rsid w:val="002D0675"/>
    <w:rsid w:val="002D070F"/>
    <w:rsid w:val="002D0DA3"/>
    <w:rsid w:val="002E37A5"/>
    <w:rsid w:val="002E7EE0"/>
    <w:rsid w:val="003036F0"/>
    <w:rsid w:val="003102D1"/>
    <w:rsid w:val="00311DD5"/>
    <w:rsid w:val="00313FAD"/>
    <w:rsid w:val="00317347"/>
    <w:rsid w:val="003250E4"/>
    <w:rsid w:val="00333B16"/>
    <w:rsid w:val="00336D28"/>
    <w:rsid w:val="00341754"/>
    <w:rsid w:val="00341F7F"/>
    <w:rsid w:val="003432E0"/>
    <w:rsid w:val="00343A0C"/>
    <w:rsid w:val="0034656F"/>
    <w:rsid w:val="003578B5"/>
    <w:rsid w:val="00361B17"/>
    <w:rsid w:val="00363486"/>
    <w:rsid w:val="003752C8"/>
    <w:rsid w:val="00377DC0"/>
    <w:rsid w:val="00381E1A"/>
    <w:rsid w:val="00392209"/>
    <w:rsid w:val="003943B4"/>
    <w:rsid w:val="00395328"/>
    <w:rsid w:val="003A0A6C"/>
    <w:rsid w:val="003A1CFC"/>
    <w:rsid w:val="003A4063"/>
    <w:rsid w:val="003A5E64"/>
    <w:rsid w:val="003A632F"/>
    <w:rsid w:val="003A6E59"/>
    <w:rsid w:val="003A73A9"/>
    <w:rsid w:val="003B1900"/>
    <w:rsid w:val="003B23BA"/>
    <w:rsid w:val="003B5AA8"/>
    <w:rsid w:val="003C2020"/>
    <w:rsid w:val="003C32F7"/>
    <w:rsid w:val="003D4663"/>
    <w:rsid w:val="003E3395"/>
    <w:rsid w:val="003E5871"/>
    <w:rsid w:val="003E6C89"/>
    <w:rsid w:val="003F4B32"/>
    <w:rsid w:val="003F62A9"/>
    <w:rsid w:val="00403B34"/>
    <w:rsid w:val="00404D5F"/>
    <w:rsid w:val="00405B8D"/>
    <w:rsid w:val="00410D19"/>
    <w:rsid w:val="00411977"/>
    <w:rsid w:val="00413304"/>
    <w:rsid w:val="004223E6"/>
    <w:rsid w:val="004225E3"/>
    <w:rsid w:val="00423C6D"/>
    <w:rsid w:val="00427D34"/>
    <w:rsid w:val="00437728"/>
    <w:rsid w:val="00443541"/>
    <w:rsid w:val="00443A31"/>
    <w:rsid w:val="004515BB"/>
    <w:rsid w:val="00452060"/>
    <w:rsid w:val="00455CCB"/>
    <w:rsid w:val="0045706D"/>
    <w:rsid w:val="00461EEE"/>
    <w:rsid w:val="00467FEB"/>
    <w:rsid w:val="0047190E"/>
    <w:rsid w:val="004764D5"/>
    <w:rsid w:val="00476684"/>
    <w:rsid w:val="00481283"/>
    <w:rsid w:val="004869AD"/>
    <w:rsid w:val="00487473"/>
    <w:rsid w:val="004A16F8"/>
    <w:rsid w:val="004A38D3"/>
    <w:rsid w:val="004A45D5"/>
    <w:rsid w:val="004A6BD1"/>
    <w:rsid w:val="004B2044"/>
    <w:rsid w:val="004B3CB8"/>
    <w:rsid w:val="004B4367"/>
    <w:rsid w:val="004C175B"/>
    <w:rsid w:val="004C1A5D"/>
    <w:rsid w:val="004C57A0"/>
    <w:rsid w:val="004D2A54"/>
    <w:rsid w:val="004D3D4F"/>
    <w:rsid w:val="004D5FB7"/>
    <w:rsid w:val="004E09B1"/>
    <w:rsid w:val="004E3F6E"/>
    <w:rsid w:val="004E4571"/>
    <w:rsid w:val="00506F4B"/>
    <w:rsid w:val="00510086"/>
    <w:rsid w:val="00511D92"/>
    <w:rsid w:val="00513EE4"/>
    <w:rsid w:val="00521D53"/>
    <w:rsid w:val="00522679"/>
    <w:rsid w:val="00525296"/>
    <w:rsid w:val="00526D20"/>
    <w:rsid w:val="00530F1D"/>
    <w:rsid w:val="0053110D"/>
    <w:rsid w:val="005330C8"/>
    <w:rsid w:val="00535E09"/>
    <w:rsid w:val="00535EB6"/>
    <w:rsid w:val="00542606"/>
    <w:rsid w:val="00544013"/>
    <w:rsid w:val="00544247"/>
    <w:rsid w:val="00552CB4"/>
    <w:rsid w:val="005565AD"/>
    <w:rsid w:val="00557321"/>
    <w:rsid w:val="005604AD"/>
    <w:rsid w:val="00562C8C"/>
    <w:rsid w:val="00564090"/>
    <w:rsid w:val="00564D13"/>
    <w:rsid w:val="00587A99"/>
    <w:rsid w:val="00591F43"/>
    <w:rsid w:val="005A3B94"/>
    <w:rsid w:val="005A77B1"/>
    <w:rsid w:val="005B70DC"/>
    <w:rsid w:val="005C6ADC"/>
    <w:rsid w:val="005C7965"/>
    <w:rsid w:val="005D6826"/>
    <w:rsid w:val="005D6BF4"/>
    <w:rsid w:val="005D73B7"/>
    <w:rsid w:val="005E0DDF"/>
    <w:rsid w:val="005F624D"/>
    <w:rsid w:val="005F79C2"/>
    <w:rsid w:val="00600465"/>
    <w:rsid w:val="00601471"/>
    <w:rsid w:val="00611913"/>
    <w:rsid w:val="00611F84"/>
    <w:rsid w:val="006146C2"/>
    <w:rsid w:val="00615275"/>
    <w:rsid w:val="00620A29"/>
    <w:rsid w:val="00621C19"/>
    <w:rsid w:val="0062565F"/>
    <w:rsid w:val="00632007"/>
    <w:rsid w:val="006342DD"/>
    <w:rsid w:val="006347CA"/>
    <w:rsid w:val="0064033D"/>
    <w:rsid w:val="006446A4"/>
    <w:rsid w:val="00646716"/>
    <w:rsid w:val="0064696A"/>
    <w:rsid w:val="006504B3"/>
    <w:rsid w:val="006505C9"/>
    <w:rsid w:val="00651ECB"/>
    <w:rsid w:val="00656002"/>
    <w:rsid w:val="00656906"/>
    <w:rsid w:val="00661387"/>
    <w:rsid w:val="00661DD2"/>
    <w:rsid w:val="00664789"/>
    <w:rsid w:val="00665D94"/>
    <w:rsid w:val="00667A70"/>
    <w:rsid w:val="00674817"/>
    <w:rsid w:val="00681962"/>
    <w:rsid w:val="00682ECB"/>
    <w:rsid w:val="00683154"/>
    <w:rsid w:val="00687AAB"/>
    <w:rsid w:val="006975F8"/>
    <w:rsid w:val="006977B3"/>
    <w:rsid w:val="006A5429"/>
    <w:rsid w:val="006A6619"/>
    <w:rsid w:val="006C33F4"/>
    <w:rsid w:val="006C4D41"/>
    <w:rsid w:val="006D0831"/>
    <w:rsid w:val="006D74A4"/>
    <w:rsid w:val="006E4410"/>
    <w:rsid w:val="006E5477"/>
    <w:rsid w:val="006E64EA"/>
    <w:rsid w:val="006F02B9"/>
    <w:rsid w:val="006F31CA"/>
    <w:rsid w:val="006F6CD4"/>
    <w:rsid w:val="00705F51"/>
    <w:rsid w:val="00706AE2"/>
    <w:rsid w:val="007200AE"/>
    <w:rsid w:val="0072485F"/>
    <w:rsid w:val="0072703F"/>
    <w:rsid w:val="00731A85"/>
    <w:rsid w:val="00733564"/>
    <w:rsid w:val="007339CD"/>
    <w:rsid w:val="007405AC"/>
    <w:rsid w:val="007443DC"/>
    <w:rsid w:val="00750FDF"/>
    <w:rsid w:val="00757A13"/>
    <w:rsid w:val="00760E87"/>
    <w:rsid w:val="007643D8"/>
    <w:rsid w:val="00767D73"/>
    <w:rsid w:val="00780EFE"/>
    <w:rsid w:val="007864BE"/>
    <w:rsid w:val="0078768E"/>
    <w:rsid w:val="0079231B"/>
    <w:rsid w:val="007A29EB"/>
    <w:rsid w:val="007B10CA"/>
    <w:rsid w:val="007B38CE"/>
    <w:rsid w:val="007B67F5"/>
    <w:rsid w:val="007C034F"/>
    <w:rsid w:val="007C2CDB"/>
    <w:rsid w:val="007D6A53"/>
    <w:rsid w:val="007D73BC"/>
    <w:rsid w:val="007D7C0F"/>
    <w:rsid w:val="007E0A9B"/>
    <w:rsid w:val="007E1871"/>
    <w:rsid w:val="007E3FFF"/>
    <w:rsid w:val="007E4CA5"/>
    <w:rsid w:val="00802B9A"/>
    <w:rsid w:val="00802E78"/>
    <w:rsid w:val="00803C8D"/>
    <w:rsid w:val="00805095"/>
    <w:rsid w:val="00806C4F"/>
    <w:rsid w:val="00807A51"/>
    <w:rsid w:val="008117A5"/>
    <w:rsid w:val="00816F9D"/>
    <w:rsid w:val="00817198"/>
    <w:rsid w:val="00817349"/>
    <w:rsid w:val="00820B93"/>
    <w:rsid w:val="0082313A"/>
    <w:rsid w:val="0082759C"/>
    <w:rsid w:val="00832469"/>
    <w:rsid w:val="00832568"/>
    <w:rsid w:val="00837AF3"/>
    <w:rsid w:val="00843F6C"/>
    <w:rsid w:val="00857B52"/>
    <w:rsid w:val="00860A69"/>
    <w:rsid w:val="00861038"/>
    <w:rsid w:val="00866A4B"/>
    <w:rsid w:val="00866A52"/>
    <w:rsid w:val="00867FFD"/>
    <w:rsid w:val="00870EAB"/>
    <w:rsid w:val="00873F56"/>
    <w:rsid w:val="0088227B"/>
    <w:rsid w:val="0089189B"/>
    <w:rsid w:val="00891C51"/>
    <w:rsid w:val="008924AC"/>
    <w:rsid w:val="00893649"/>
    <w:rsid w:val="00893EAE"/>
    <w:rsid w:val="00895B34"/>
    <w:rsid w:val="008A3659"/>
    <w:rsid w:val="008A3BC1"/>
    <w:rsid w:val="008A5373"/>
    <w:rsid w:val="008B216C"/>
    <w:rsid w:val="008B5E47"/>
    <w:rsid w:val="008B74CA"/>
    <w:rsid w:val="008C0CD5"/>
    <w:rsid w:val="008C2661"/>
    <w:rsid w:val="008C70F9"/>
    <w:rsid w:val="008D4595"/>
    <w:rsid w:val="008E1C49"/>
    <w:rsid w:val="008E2A0E"/>
    <w:rsid w:val="008E4730"/>
    <w:rsid w:val="008E6245"/>
    <w:rsid w:val="008F43AB"/>
    <w:rsid w:val="009015D3"/>
    <w:rsid w:val="0090171E"/>
    <w:rsid w:val="00902F1E"/>
    <w:rsid w:val="00916863"/>
    <w:rsid w:val="00920256"/>
    <w:rsid w:val="00920750"/>
    <w:rsid w:val="009325DB"/>
    <w:rsid w:val="009341DB"/>
    <w:rsid w:val="00940119"/>
    <w:rsid w:val="009444C8"/>
    <w:rsid w:val="0095585C"/>
    <w:rsid w:val="0096212F"/>
    <w:rsid w:val="00965376"/>
    <w:rsid w:val="009722EF"/>
    <w:rsid w:val="00973FB8"/>
    <w:rsid w:val="00983B1B"/>
    <w:rsid w:val="00986266"/>
    <w:rsid w:val="009871B3"/>
    <w:rsid w:val="00987CC9"/>
    <w:rsid w:val="00992C78"/>
    <w:rsid w:val="00993743"/>
    <w:rsid w:val="0099563D"/>
    <w:rsid w:val="009963EA"/>
    <w:rsid w:val="00997A1C"/>
    <w:rsid w:val="00997C35"/>
    <w:rsid w:val="009A75ED"/>
    <w:rsid w:val="009B042F"/>
    <w:rsid w:val="009B1447"/>
    <w:rsid w:val="009B23C8"/>
    <w:rsid w:val="009B6940"/>
    <w:rsid w:val="009B78BC"/>
    <w:rsid w:val="009C2181"/>
    <w:rsid w:val="009C21B8"/>
    <w:rsid w:val="009D68F3"/>
    <w:rsid w:val="009E35CF"/>
    <w:rsid w:val="009E4543"/>
    <w:rsid w:val="009F139C"/>
    <w:rsid w:val="009F1AC4"/>
    <w:rsid w:val="009F2A84"/>
    <w:rsid w:val="009F4C1B"/>
    <w:rsid w:val="009F7461"/>
    <w:rsid w:val="00A0093D"/>
    <w:rsid w:val="00A00D02"/>
    <w:rsid w:val="00A10993"/>
    <w:rsid w:val="00A12D4C"/>
    <w:rsid w:val="00A150DF"/>
    <w:rsid w:val="00A20A12"/>
    <w:rsid w:val="00A244E3"/>
    <w:rsid w:val="00A3295D"/>
    <w:rsid w:val="00A338C7"/>
    <w:rsid w:val="00A34F8D"/>
    <w:rsid w:val="00A36FA5"/>
    <w:rsid w:val="00A37BF6"/>
    <w:rsid w:val="00A475C0"/>
    <w:rsid w:val="00A479CA"/>
    <w:rsid w:val="00A515A8"/>
    <w:rsid w:val="00A51C43"/>
    <w:rsid w:val="00A57772"/>
    <w:rsid w:val="00A57ACA"/>
    <w:rsid w:val="00A64780"/>
    <w:rsid w:val="00A65674"/>
    <w:rsid w:val="00A66A09"/>
    <w:rsid w:val="00A71371"/>
    <w:rsid w:val="00A714FB"/>
    <w:rsid w:val="00A716C8"/>
    <w:rsid w:val="00A7422B"/>
    <w:rsid w:val="00A74BFC"/>
    <w:rsid w:val="00A75CD1"/>
    <w:rsid w:val="00A81EB1"/>
    <w:rsid w:val="00A8298B"/>
    <w:rsid w:val="00A82B84"/>
    <w:rsid w:val="00A83AD0"/>
    <w:rsid w:val="00A970BF"/>
    <w:rsid w:val="00AA0BDB"/>
    <w:rsid w:val="00AA3FC5"/>
    <w:rsid w:val="00AB264F"/>
    <w:rsid w:val="00AB35AB"/>
    <w:rsid w:val="00AC6D3C"/>
    <w:rsid w:val="00AC7B35"/>
    <w:rsid w:val="00AD051E"/>
    <w:rsid w:val="00AD3C8A"/>
    <w:rsid w:val="00AD4B52"/>
    <w:rsid w:val="00AD7B21"/>
    <w:rsid w:val="00AE0D6D"/>
    <w:rsid w:val="00AE11EB"/>
    <w:rsid w:val="00AE2C3E"/>
    <w:rsid w:val="00AE6768"/>
    <w:rsid w:val="00AF2603"/>
    <w:rsid w:val="00AF3235"/>
    <w:rsid w:val="00AF3778"/>
    <w:rsid w:val="00AF45EE"/>
    <w:rsid w:val="00AF71B1"/>
    <w:rsid w:val="00B01245"/>
    <w:rsid w:val="00B02F7B"/>
    <w:rsid w:val="00B0627D"/>
    <w:rsid w:val="00B06BA5"/>
    <w:rsid w:val="00B10BF8"/>
    <w:rsid w:val="00B20929"/>
    <w:rsid w:val="00B23EA8"/>
    <w:rsid w:val="00B247BE"/>
    <w:rsid w:val="00B27DA8"/>
    <w:rsid w:val="00B367F2"/>
    <w:rsid w:val="00B40131"/>
    <w:rsid w:val="00B40642"/>
    <w:rsid w:val="00B406C6"/>
    <w:rsid w:val="00B4080B"/>
    <w:rsid w:val="00B441D9"/>
    <w:rsid w:val="00B52CEE"/>
    <w:rsid w:val="00B57465"/>
    <w:rsid w:val="00B63A6D"/>
    <w:rsid w:val="00B65990"/>
    <w:rsid w:val="00B7237E"/>
    <w:rsid w:val="00B7518E"/>
    <w:rsid w:val="00B75379"/>
    <w:rsid w:val="00B823E9"/>
    <w:rsid w:val="00B94AD6"/>
    <w:rsid w:val="00B96B07"/>
    <w:rsid w:val="00B97D6C"/>
    <w:rsid w:val="00BA2559"/>
    <w:rsid w:val="00BA5AE4"/>
    <w:rsid w:val="00BB1404"/>
    <w:rsid w:val="00BB33A9"/>
    <w:rsid w:val="00BB3406"/>
    <w:rsid w:val="00BB4CCC"/>
    <w:rsid w:val="00BC53FD"/>
    <w:rsid w:val="00BC5492"/>
    <w:rsid w:val="00BC67D5"/>
    <w:rsid w:val="00BC757B"/>
    <w:rsid w:val="00BE2052"/>
    <w:rsid w:val="00BE2C93"/>
    <w:rsid w:val="00BE2EAB"/>
    <w:rsid w:val="00BE6DCD"/>
    <w:rsid w:val="00BF6773"/>
    <w:rsid w:val="00BF76DA"/>
    <w:rsid w:val="00BF7A84"/>
    <w:rsid w:val="00C04CF6"/>
    <w:rsid w:val="00C05617"/>
    <w:rsid w:val="00C11035"/>
    <w:rsid w:val="00C1117A"/>
    <w:rsid w:val="00C11524"/>
    <w:rsid w:val="00C13215"/>
    <w:rsid w:val="00C142B7"/>
    <w:rsid w:val="00C14AF3"/>
    <w:rsid w:val="00C1599F"/>
    <w:rsid w:val="00C16319"/>
    <w:rsid w:val="00C20215"/>
    <w:rsid w:val="00C20B80"/>
    <w:rsid w:val="00C24873"/>
    <w:rsid w:val="00C2635A"/>
    <w:rsid w:val="00C349D6"/>
    <w:rsid w:val="00C36594"/>
    <w:rsid w:val="00C375B7"/>
    <w:rsid w:val="00C376D2"/>
    <w:rsid w:val="00C5271F"/>
    <w:rsid w:val="00C55F55"/>
    <w:rsid w:val="00C6431D"/>
    <w:rsid w:val="00C65415"/>
    <w:rsid w:val="00C749B4"/>
    <w:rsid w:val="00C81602"/>
    <w:rsid w:val="00C81F54"/>
    <w:rsid w:val="00C94663"/>
    <w:rsid w:val="00CA0194"/>
    <w:rsid w:val="00CA115C"/>
    <w:rsid w:val="00CA2047"/>
    <w:rsid w:val="00CA685E"/>
    <w:rsid w:val="00CB117F"/>
    <w:rsid w:val="00CB3DAF"/>
    <w:rsid w:val="00CC00D8"/>
    <w:rsid w:val="00CC41F7"/>
    <w:rsid w:val="00CC4F4C"/>
    <w:rsid w:val="00CC54E7"/>
    <w:rsid w:val="00CC58A6"/>
    <w:rsid w:val="00CC6E69"/>
    <w:rsid w:val="00CD2825"/>
    <w:rsid w:val="00CD2FDE"/>
    <w:rsid w:val="00CD340F"/>
    <w:rsid w:val="00CE0765"/>
    <w:rsid w:val="00CE27A8"/>
    <w:rsid w:val="00CE3343"/>
    <w:rsid w:val="00CE3775"/>
    <w:rsid w:val="00CE6249"/>
    <w:rsid w:val="00D00FCC"/>
    <w:rsid w:val="00D06111"/>
    <w:rsid w:val="00D07A7E"/>
    <w:rsid w:val="00D115C7"/>
    <w:rsid w:val="00D224BF"/>
    <w:rsid w:val="00D30309"/>
    <w:rsid w:val="00D309AE"/>
    <w:rsid w:val="00D31C5C"/>
    <w:rsid w:val="00D37B1D"/>
    <w:rsid w:val="00D41242"/>
    <w:rsid w:val="00D42B17"/>
    <w:rsid w:val="00D46A16"/>
    <w:rsid w:val="00D504DF"/>
    <w:rsid w:val="00D5063D"/>
    <w:rsid w:val="00D53B5B"/>
    <w:rsid w:val="00D56628"/>
    <w:rsid w:val="00D61CE5"/>
    <w:rsid w:val="00D6273D"/>
    <w:rsid w:val="00D66A3C"/>
    <w:rsid w:val="00D710B8"/>
    <w:rsid w:val="00D748C0"/>
    <w:rsid w:val="00D753D8"/>
    <w:rsid w:val="00D76DAC"/>
    <w:rsid w:val="00D827D0"/>
    <w:rsid w:val="00D84779"/>
    <w:rsid w:val="00D84FE9"/>
    <w:rsid w:val="00D95104"/>
    <w:rsid w:val="00D96F59"/>
    <w:rsid w:val="00DA276F"/>
    <w:rsid w:val="00DA3BAC"/>
    <w:rsid w:val="00DA4DF5"/>
    <w:rsid w:val="00DB1A5C"/>
    <w:rsid w:val="00DB20F7"/>
    <w:rsid w:val="00DB22E8"/>
    <w:rsid w:val="00DB24B4"/>
    <w:rsid w:val="00DB320C"/>
    <w:rsid w:val="00DC0A29"/>
    <w:rsid w:val="00DC19CB"/>
    <w:rsid w:val="00DC3AA9"/>
    <w:rsid w:val="00DC5B0B"/>
    <w:rsid w:val="00DD121A"/>
    <w:rsid w:val="00DD244F"/>
    <w:rsid w:val="00DD249D"/>
    <w:rsid w:val="00DD2F2E"/>
    <w:rsid w:val="00DD4D14"/>
    <w:rsid w:val="00DE161E"/>
    <w:rsid w:val="00DE3E24"/>
    <w:rsid w:val="00DF5170"/>
    <w:rsid w:val="00E02979"/>
    <w:rsid w:val="00E02E55"/>
    <w:rsid w:val="00E07778"/>
    <w:rsid w:val="00E07A93"/>
    <w:rsid w:val="00E11BDE"/>
    <w:rsid w:val="00E12E8E"/>
    <w:rsid w:val="00E13486"/>
    <w:rsid w:val="00E164A0"/>
    <w:rsid w:val="00E229EF"/>
    <w:rsid w:val="00E238A6"/>
    <w:rsid w:val="00E25C6E"/>
    <w:rsid w:val="00E32D5A"/>
    <w:rsid w:val="00E332CA"/>
    <w:rsid w:val="00E420A0"/>
    <w:rsid w:val="00E4461C"/>
    <w:rsid w:val="00E45321"/>
    <w:rsid w:val="00E50A8B"/>
    <w:rsid w:val="00E52B0E"/>
    <w:rsid w:val="00E55204"/>
    <w:rsid w:val="00E55DAC"/>
    <w:rsid w:val="00E60411"/>
    <w:rsid w:val="00E6284A"/>
    <w:rsid w:val="00E641F7"/>
    <w:rsid w:val="00E645F8"/>
    <w:rsid w:val="00E6584A"/>
    <w:rsid w:val="00E66DA3"/>
    <w:rsid w:val="00E7009A"/>
    <w:rsid w:val="00E74072"/>
    <w:rsid w:val="00E74684"/>
    <w:rsid w:val="00E74934"/>
    <w:rsid w:val="00E805BF"/>
    <w:rsid w:val="00E825B4"/>
    <w:rsid w:val="00E83C1A"/>
    <w:rsid w:val="00E841D4"/>
    <w:rsid w:val="00E85076"/>
    <w:rsid w:val="00E90771"/>
    <w:rsid w:val="00E95B0C"/>
    <w:rsid w:val="00E9618E"/>
    <w:rsid w:val="00E96389"/>
    <w:rsid w:val="00EA2E71"/>
    <w:rsid w:val="00EA5B09"/>
    <w:rsid w:val="00EB77C9"/>
    <w:rsid w:val="00EC0E2C"/>
    <w:rsid w:val="00EC1A62"/>
    <w:rsid w:val="00EC5277"/>
    <w:rsid w:val="00ED15F6"/>
    <w:rsid w:val="00ED1EA2"/>
    <w:rsid w:val="00EE08D9"/>
    <w:rsid w:val="00EE1289"/>
    <w:rsid w:val="00EE57F3"/>
    <w:rsid w:val="00EF16FF"/>
    <w:rsid w:val="00EF69FB"/>
    <w:rsid w:val="00F017A5"/>
    <w:rsid w:val="00F036C9"/>
    <w:rsid w:val="00F0762E"/>
    <w:rsid w:val="00F078A1"/>
    <w:rsid w:val="00F13DE2"/>
    <w:rsid w:val="00F16458"/>
    <w:rsid w:val="00F20A41"/>
    <w:rsid w:val="00F2376F"/>
    <w:rsid w:val="00F30E31"/>
    <w:rsid w:val="00F315D4"/>
    <w:rsid w:val="00F35AFA"/>
    <w:rsid w:val="00F4051E"/>
    <w:rsid w:val="00F42D48"/>
    <w:rsid w:val="00F450DB"/>
    <w:rsid w:val="00F4538A"/>
    <w:rsid w:val="00F47DCD"/>
    <w:rsid w:val="00F53C0B"/>
    <w:rsid w:val="00F614DD"/>
    <w:rsid w:val="00F63571"/>
    <w:rsid w:val="00F64197"/>
    <w:rsid w:val="00F65BFB"/>
    <w:rsid w:val="00F872F2"/>
    <w:rsid w:val="00F87F74"/>
    <w:rsid w:val="00F90D44"/>
    <w:rsid w:val="00FA1641"/>
    <w:rsid w:val="00FA41B7"/>
    <w:rsid w:val="00FC735D"/>
    <w:rsid w:val="00FD5CA7"/>
    <w:rsid w:val="00FD7373"/>
    <w:rsid w:val="00FE4680"/>
    <w:rsid w:val="00FE5F58"/>
    <w:rsid w:val="00FE678F"/>
    <w:rsid w:val="00FF0DBE"/>
    <w:rsid w:val="00FF4EC0"/>
    <w:rsid w:val="00FF5A05"/>
    <w:rsid w:val="0100390C"/>
    <w:rsid w:val="0101184D"/>
    <w:rsid w:val="01017684"/>
    <w:rsid w:val="01050F22"/>
    <w:rsid w:val="01064C91"/>
    <w:rsid w:val="01092E43"/>
    <w:rsid w:val="010A478A"/>
    <w:rsid w:val="010B22B0"/>
    <w:rsid w:val="01126BCE"/>
    <w:rsid w:val="01172A03"/>
    <w:rsid w:val="011937D7"/>
    <w:rsid w:val="011C44BE"/>
    <w:rsid w:val="011E1FE4"/>
    <w:rsid w:val="012313A8"/>
    <w:rsid w:val="0123584C"/>
    <w:rsid w:val="012515C4"/>
    <w:rsid w:val="01255120"/>
    <w:rsid w:val="012810B4"/>
    <w:rsid w:val="012A2737"/>
    <w:rsid w:val="012B4701"/>
    <w:rsid w:val="012F5F9F"/>
    <w:rsid w:val="01343FA0"/>
    <w:rsid w:val="01347A59"/>
    <w:rsid w:val="013730A5"/>
    <w:rsid w:val="01395070"/>
    <w:rsid w:val="01396E1E"/>
    <w:rsid w:val="013E2686"/>
    <w:rsid w:val="013E4434"/>
    <w:rsid w:val="01415CD2"/>
    <w:rsid w:val="014B6196"/>
    <w:rsid w:val="014D28C9"/>
    <w:rsid w:val="01522D4A"/>
    <w:rsid w:val="01541EA9"/>
    <w:rsid w:val="01561288"/>
    <w:rsid w:val="01575141"/>
    <w:rsid w:val="015D0D5E"/>
    <w:rsid w:val="015E4AD6"/>
    <w:rsid w:val="016814B1"/>
    <w:rsid w:val="016B70CC"/>
    <w:rsid w:val="016D6AC7"/>
    <w:rsid w:val="01785B98"/>
    <w:rsid w:val="017E6F26"/>
    <w:rsid w:val="01800398"/>
    <w:rsid w:val="01802811"/>
    <w:rsid w:val="01830099"/>
    <w:rsid w:val="018A7679"/>
    <w:rsid w:val="018F30E8"/>
    <w:rsid w:val="018F6A3E"/>
    <w:rsid w:val="019422A6"/>
    <w:rsid w:val="019B53E2"/>
    <w:rsid w:val="019C2A3A"/>
    <w:rsid w:val="019E081A"/>
    <w:rsid w:val="019E4ED3"/>
    <w:rsid w:val="01A00C4B"/>
    <w:rsid w:val="01A050EF"/>
    <w:rsid w:val="01A22C15"/>
    <w:rsid w:val="01A85D51"/>
    <w:rsid w:val="01A93FA3"/>
    <w:rsid w:val="01AA5061"/>
    <w:rsid w:val="01AE3368"/>
    <w:rsid w:val="01B6046E"/>
    <w:rsid w:val="01BD17FD"/>
    <w:rsid w:val="01C012ED"/>
    <w:rsid w:val="01C20BC1"/>
    <w:rsid w:val="01C40DDD"/>
    <w:rsid w:val="01C42B8B"/>
    <w:rsid w:val="01C56903"/>
    <w:rsid w:val="01C66D8F"/>
    <w:rsid w:val="01CB2408"/>
    <w:rsid w:val="01D202EA"/>
    <w:rsid w:val="01D37272"/>
    <w:rsid w:val="01D628BE"/>
    <w:rsid w:val="01DB6127"/>
    <w:rsid w:val="01E37BCD"/>
    <w:rsid w:val="01EA636A"/>
    <w:rsid w:val="01F40F97"/>
    <w:rsid w:val="01F86CD9"/>
    <w:rsid w:val="01F928B5"/>
    <w:rsid w:val="01FA47FF"/>
    <w:rsid w:val="01FD42EF"/>
    <w:rsid w:val="02054F52"/>
    <w:rsid w:val="02070CCA"/>
    <w:rsid w:val="02092C94"/>
    <w:rsid w:val="020E02AA"/>
    <w:rsid w:val="020E364B"/>
    <w:rsid w:val="020E3E06"/>
    <w:rsid w:val="021533E7"/>
    <w:rsid w:val="021A09FD"/>
    <w:rsid w:val="021B6523"/>
    <w:rsid w:val="02201D8C"/>
    <w:rsid w:val="02235B22"/>
    <w:rsid w:val="02290C40"/>
    <w:rsid w:val="022E26FA"/>
    <w:rsid w:val="02317AF5"/>
    <w:rsid w:val="023A2E4D"/>
    <w:rsid w:val="023D293E"/>
    <w:rsid w:val="024B505A"/>
    <w:rsid w:val="024B6E08"/>
    <w:rsid w:val="025263E9"/>
    <w:rsid w:val="02532161"/>
    <w:rsid w:val="025657AD"/>
    <w:rsid w:val="025C1016"/>
    <w:rsid w:val="025D08EA"/>
    <w:rsid w:val="025F0B06"/>
    <w:rsid w:val="02641C78"/>
    <w:rsid w:val="02672F4B"/>
    <w:rsid w:val="02693733"/>
    <w:rsid w:val="026954E1"/>
    <w:rsid w:val="02720839"/>
    <w:rsid w:val="02777BFD"/>
    <w:rsid w:val="02785092"/>
    <w:rsid w:val="02820350"/>
    <w:rsid w:val="0284056C"/>
    <w:rsid w:val="02854EBE"/>
    <w:rsid w:val="0285782E"/>
    <w:rsid w:val="028E13EB"/>
    <w:rsid w:val="02902A6D"/>
    <w:rsid w:val="02963DFC"/>
    <w:rsid w:val="029C7664"/>
    <w:rsid w:val="029D33DC"/>
    <w:rsid w:val="029D518A"/>
    <w:rsid w:val="029D7DC5"/>
    <w:rsid w:val="02A1111E"/>
    <w:rsid w:val="02A14C7A"/>
    <w:rsid w:val="02A22CA5"/>
    <w:rsid w:val="02A604E3"/>
    <w:rsid w:val="02A91D81"/>
    <w:rsid w:val="02A97FD3"/>
    <w:rsid w:val="02AB5AF9"/>
    <w:rsid w:val="02B7624C"/>
    <w:rsid w:val="02BC7D06"/>
    <w:rsid w:val="02C10E79"/>
    <w:rsid w:val="02C92423"/>
    <w:rsid w:val="02CC3C0E"/>
    <w:rsid w:val="02DD2F85"/>
    <w:rsid w:val="02E4100B"/>
    <w:rsid w:val="02E56AB9"/>
    <w:rsid w:val="02ED6112"/>
    <w:rsid w:val="02F254D6"/>
    <w:rsid w:val="02FA438B"/>
    <w:rsid w:val="03015719"/>
    <w:rsid w:val="03030BB2"/>
    <w:rsid w:val="0303213B"/>
    <w:rsid w:val="030516AD"/>
    <w:rsid w:val="03060F81"/>
    <w:rsid w:val="030671D3"/>
    <w:rsid w:val="030B2A3C"/>
    <w:rsid w:val="03125B78"/>
    <w:rsid w:val="03196F07"/>
    <w:rsid w:val="03223A5F"/>
    <w:rsid w:val="032338E1"/>
    <w:rsid w:val="03266B1D"/>
    <w:rsid w:val="032F04D8"/>
    <w:rsid w:val="0332621A"/>
    <w:rsid w:val="03351867"/>
    <w:rsid w:val="03353615"/>
    <w:rsid w:val="033755DF"/>
    <w:rsid w:val="033A0C2B"/>
    <w:rsid w:val="033B50CF"/>
    <w:rsid w:val="03451AAA"/>
    <w:rsid w:val="03483348"/>
    <w:rsid w:val="034B2E38"/>
    <w:rsid w:val="034D095E"/>
    <w:rsid w:val="034F5D29"/>
    <w:rsid w:val="035241C7"/>
    <w:rsid w:val="03547F3F"/>
    <w:rsid w:val="03563CB7"/>
    <w:rsid w:val="035E0DBD"/>
    <w:rsid w:val="03681C3C"/>
    <w:rsid w:val="036D28B4"/>
    <w:rsid w:val="0370464D"/>
    <w:rsid w:val="03716D43"/>
    <w:rsid w:val="037203C5"/>
    <w:rsid w:val="03726617"/>
    <w:rsid w:val="0374238F"/>
    <w:rsid w:val="03795BF7"/>
    <w:rsid w:val="037B4D46"/>
    <w:rsid w:val="037C7496"/>
    <w:rsid w:val="037D56E7"/>
    <w:rsid w:val="037E6D6A"/>
    <w:rsid w:val="037F195E"/>
    <w:rsid w:val="03822CFE"/>
    <w:rsid w:val="0385459C"/>
    <w:rsid w:val="03922815"/>
    <w:rsid w:val="039931C3"/>
    <w:rsid w:val="039B791C"/>
    <w:rsid w:val="03A10CAA"/>
    <w:rsid w:val="03A367D0"/>
    <w:rsid w:val="03A644DC"/>
    <w:rsid w:val="03A964DC"/>
    <w:rsid w:val="03AF1619"/>
    <w:rsid w:val="03B1713F"/>
    <w:rsid w:val="03B978B9"/>
    <w:rsid w:val="03BB7FBE"/>
    <w:rsid w:val="03BD3D36"/>
    <w:rsid w:val="03C84489"/>
    <w:rsid w:val="03CC3F79"/>
    <w:rsid w:val="03CC5D27"/>
    <w:rsid w:val="03D35490"/>
    <w:rsid w:val="03E2554B"/>
    <w:rsid w:val="03EA08A3"/>
    <w:rsid w:val="03F139E0"/>
    <w:rsid w:val="03F359AA"/>
    <w:rsid w:val="03F92894"/>
    <w:rsid w:val="03FB03BA"/>
    <w:rsid w:val="04021749"/>
    <w:rsid w:val="04041965"/>
    <w:rsid w:val="0407112D"/>
    <w:rsid w:val="04074FB1"/>
    <w:rsid w:val="04114082"/>
    <w:rsid w:val="04115E30"/>
    <w:rsid w:val="04133956"/>
    <w:rsid w:val="04163446"/>
    <w:rsid w:val="041F054D"/>
    <w:rsid w:val="04223B99"/>
    <w:rsid w:val="0423034F"/>
    <w:rsid w:val="042913CB"/>
    <w:rsid w:val="042A0CA0"/>
    <w:rsid w:val="042F4508"/>
    <w:rsid w:val="043079EB"/>
    <w:rsid w:val="04367644"/>
    <w:rsid w:val="04380A7C"/>
    <w:rsid w:val="043A35D9"/>
    <w:rsid w:val="043B2EAD"/>
    <w:rsid w:val="043D6C25"/>
    <w:rsid w:val="043F299D"/>
    <w:rsid w:val="04477832"/>
    <w:rsid w:val="044C6E68"/>
    <w:rsid w:val="044F3FF1"/>
    <w:rsid w:val="045301F6"/>
    <w:rsid w:val="045A1585"/>
    <w:rsid w:val="045C354F"/>
    <w:rsid w:val="045D72C7"/>
    <w:rsid w:val="04640655"/>
    <w:rsid w:val="04671EF4"/>
    <w:rsid w:val="04697A1A"/>
    <w:rsid w:val="046B5540"/>
    <w:rsid w:val="046D47C8"/>
    <w:rsid w:val="04714B20"/>
    <w:rsid w:val="04754611"/>
    <w:rsid w:val="04781A0B"/>
    <w:rsid w:val="047A39D5"/>
    <w:rsid w:val="047A5783"/>
    <w:rsid w:val="047C774D"/>
    <w:rsid w:val="047D34C5"/>
    <w:rsid w:val="04893C18"/>
    <w:rsid w:val="048E56D2"/>
    <w:rsid w:val="048E7480"/>
    <w:rsid w:val="04936845"/>
    <w:rsid w:val="049525BD"/>
    <w:rsid w:val="049D76C3"/>
    <w:rsid w:val="04A942BA"/>
    <w:rsid w:val="04AB0032"/>
    <w:rsid w:val="04AF4C84"/>
    <w:rsid w:val="04B2316F"/>
    <w:rsid w:val="04B36EE7"/>
    <w:rsid w:val="04BA2023"/>
    <w:rsid w:val="04BD1B14"/>
    <w:rsid w:val="04BE2152"/>
    <w:rsid w:val="04C66C1A"/>
    <w:rsid w:val="04C74740"/>
    <w:rsid w:val="04CB5FDF"/>
    <w:rsid w:val="04CD1839"/>
    <w:rsid w:val="04CE3D21"/>
    <w:rsid w:val="04D53301"/>
    <w:rsid w:val="04D806FC"/>
    <w:rsid w:val="04D94B9F"/>
    <w:rsid w:val="04DF5F2E"/>
    <w:rsid w:val="04E128BD"/>
    <w:rsid w:val="04E35A1E"/>
    <w:rsid w:val="04E80048"/>
    <w:rsid w:val="04ED41A7"/>
    <w:rsid w:val="04F82B4C"/>
    <w:rsid w:val="050414F1"/>
    <w:rsid w:val="05047743"/>
    <w:rsid w:val="05050BA1"/>
    <w:rsid w:val="050B6D23"/>
    <w:rsid w:val="05121E5F"/>
    <w:rsid w:val="05137986"/>
    <w:rsid w:val="05184F9C"/>
    <w:rsid w:val="051C683A"/>
    <w:rsid w:val="052120A3"/>
    <w:rsid w:val="052249EA"/>
    <w:rsid w:val="052676B9"/>
    <w:rsid w:val="052A20EC"/>
    <w:rsid w:val="052E5568"/>
    <w:rsid w:val="05304A7F"/>
    <w:rsid w:val="05340028"/>
    <w:rsid w:val="05362A09"/>
    <w:rsid w:val="05373674"/>
    <w:rsid w:val="053973EC"/>
    <w:rsid w:val="053A13B6"/>
    <w:rsid w:val="053B7608"/>
    <w:rsid w:val="053C512E"/>
    <w:rsid w:val="053F077B"/>
    <w:rsid w:val="054364BD"/>
    <w:rsid w:val="05461B09"/>
    <w:rsid w:val="05483AD3"/>
    <w:rsid w:val="054933A7"/>
    <w:rsid w:val="054B711F"/>
    <w:rsid w:val="054D15E1"/>
    <w:rsid w:val="054D733B"/>
    <w:rsid w:val="05504736"/>
    <w:rsid w:val="05551D4C"/>
    <w:rsid w:val="055661F0"/>
    <w:rsid w:val="05575AC4"/>
    <w:rsid w:val="05597A8E"/>
    <w:rsid w:val="055C30DB"/>
    <w:rsid w:val="055F0B42"/>
    <w:rsid w:val="056401E1"/>
    <w:rsid w:val="056D7096"/>
    <w:rsid w:val="056F1060"/>
    <w:rsid w:val="05704DD8"/>
    <w:rsid w:val="05726DA2"/>
    <w:rsid w:val="0575419C"/>
    <w:rsid w:val="05761C29"/>
    <w:rsid w:val="05776166"/>
    <w:rsid w:val="05793C8D"/>
    <w:rsid w:val="057E74F5"/>
    <w:rsid w:val="0580326D"/>
    <w:rsid w:val="0580501B"/>
    <w:rsid w:val="05860158"/>
    <w:rsid w:val="05882122"/>
    <w:rsid w:val="058A40EC"/>
    <w:rsid w:val="058C7E64"/>
    <w:rsid w:val="058D14E6"/>
    <w:rsid w:val="05924D4E"/>
    <w:rsid w:val="05942874"/>
    <w:rsid w:val="05964A65"/>
    <w:rsid w:val="059C5BCD"/>
    <w:rsid w:val="059E36F3"/>
    <w:rsid w:val="05A01219"/>
    <w:rsid w:val="05A14F91"/>
    <w:rsid w:val="05AA653C"/>
    <w:rsid w:val="05AB10D4"/>
    <w:rsid w:val="05AB7BBE"/>
    <w:rsid w:val="05B0324A"/>
    <w:rsid w:val="05B22E1A"/>
    <w:rsid w:val="05B44CC5"/>
    <w:rsid w:val="05B67626"/>
    <w:rsid w:val="05BC001D"/>
    <w:rsid w:val="05BE5B43"/>
    <w:rsid w:val="05C173E2"/>
    <w:rsid w:val="05C72C4A"/>
    <w:rsid w:val="05C80770"/>
    <w:rsid w:val="05CA098C"/>
    <w:rsid w:val="05CA44E8"/>
    <w:rsid w:val="05CC0260"/>
    <w:rsid w:val="05CF5FA2"/>
    <w:rsid w:val="05CF7D50"/>
    <w:rsid w:val="05D13AC9"/>
    <w:rsid w:val="05D36EB7"/>
    <w:rsid w:val="05D62E8D"/>
    <w:rsid w:val="05D76C05"/>
    <w:rsid w:val="05DB4947"/>
    <w:rsid w:val="05E05ABA"/>
    <w:rsid w:val="05E25CD6"/>
    <w:rsid w:val="05E355AA"/>
    <w:rsid w:val="05E41A4E"/>
    <w:rsid w:val="05EA4B8A"/>
    <w:rsid w:val="05EF03F3"/>
    <w:rsid w:val="05FB572F"/>
    <w:rsid w:val="05FD48BE"/>
    <w:rsid w:val="05FE23E4"/>
    <w:rsid w:val="05FE4192"/>
    <w:rsid w:val="0600615C"/>
    <w:rsid w:val="060317A8"/>
    <w:rsid w:val="06071298"/>
    <w:rsid w:val="060C68AF"/>
    <w:rsid w:val="061834A6"/>
    <w:rsid w:val="061B4D44"/>
    <w:rsid w:val="061F70AC"/>
    <w:rsid w:val="06212113"/>
    <w:rsid w:val="06293905"/>
    <w:rsid w:val="062956B3"/>
    <w:rsid w:val="062A142B"/>
    <w:rsid w:val="062C0CFF"/>
    <w:rsid w:val="062C51A3"/>
    <w:rsid w:val="062E2CC9"/>
    <w:rsid w:val="062F07EF"/>
    <w:rsid w:val="0636723D"/>
    <w:rsid w:val="063858F6"/>
    <w:rsid w:val="063A78C0"/>
    <w:rsid w:val="06410E51"/>
    <w:rsid w:val="0643197D"/>
    <w:rsid w:val="06436049"/>
    <w:rsid w:val="065344DE"/>
    <w:rsid w:val="065B3392"/>
    <w:rsid w:val="065B5A88"/>
    <w:rsid w:val="065B7836"/>
    <w:rsid w:val="065D535C"/>
    <w:rsid w:val="066466EB"/>
    <w:rsid w:val="066761DB"/>
    <w:rsid w:val="06681A9B"/>
    <w:rsid w:val="066E7569"/>
    <w:rsid w:val="06732DD2"/>
    <w:rsid w:val="067508F8"/>
    <w:rsid w:val="068154EF"/>
    <w:rsid w:val="068428E9"/>
    <w:rsid w:val="06846D8D"/>
    <w:rsid w:val="0688128A"/>
    <w:rsid w:val="068E3768"/>
    <w:rsid w:val="069074E0"/>
    <w:rsid w:val="0696261C"/>
    <w:rsid w:val="069C40D7"/>
    <w:rsid w:val="069D7C35"/>
    <w:rsid w:val="069F7723"/>
    <w:rsid w:val="06A05249"/>
    <w:rsid w:val="06A66D03"/>
    <w:rsid w:val="06AE3E0A"/>
    <w:rsid w:val="06AE7966"/>
    <w:rsid w:val="06B01930"/>
    <w:rsid w:val="06B156A8"/>
    <w:rsid w:val="06B56F46"/>
    <w:rsid w:val="06B62CBE"/>
    <w:rsid w:val="06BA27AF"/>
    <w:rsid w:val="06BB459E"/>
    <w:rsid w:val="06C158EB"/>
    <w:rsid w:val="06C278B5"/>
    <w:rsid w:val="06C90C44"/>
    <w:rsid w:val="06C947A0"/>
    <w:rsid w:val="06D33870"/>
    <w:rsid w:val="06D66EBD"/>
    <w:rsid w:val="06D80E87"/>
    <w:rsid w:val="06D870D9"/>
    <w:rsid w:val="06DA075B"/>
    <w:rsid w:val="06DB4B92"/>
    <w:rsid w:val="06DC2725"/>
    <w:rsid w:val="06DD649D"/>
    <w:rsid w:val="06DF2215"/>
    <w:rsid w:val="06DF3FC3"/>
    <w:rsid w:val="06E415DA"/>
    <w:rsid w:val="06E67100"/>
    <w:rsid w:val="06EB6E0C"/>
    <w:rsid w:val="06F2019A"/>
    <w:rsid w:val="06F23CF7"/>
    <w:rsid w:val="06F7130D"/>
    <w:rsid w:val="06F832D7"/>
    <w:rsid w:val="06FC2DC7"/>
    <w:rsid w:val="06FE6B3F"/>
    <w:rsid w:val="07027CB2"/>
    <w:rsid w:val="07041C7C"/>
    <w:rsid w:val="07061550"/>
    <w:rsid w:val="070677A2"/>
    <w:rsid w:val="070B4DB8"/>
    <w:rsid w:val="071023CF"/>
    <w:rsid w:val="07140111"/>
    <w:rsid w:val="07181283"/>
    <w:rsid w:val="071874D5"/>
    <w:rsid w:val="071A68E6"/>
    <w:rsid w:val="071C41EE"/>
    <w:rsid w:val="071C5217"/>
    <w:rsid w:val="071D4718"/>
    <w:rsid w:val="071D53FA"/>
    <w:rsid w:val="071D7B05"/>
    <w:rsid w:val="0730481F"/>
    <w:rsid w:val="073071A3"/>
    <w:rsid w:val="07372051"/>
    <w:rsid w:val="07375BAD"/>
    <w:rsid w:val="07391925"/>
    <w:rsid w:val="073D0CEA"/>
    <w:rsid w:val="073E518E"/>
    <w:rsid w:val="073F1F2E"/>
    <w:rsid w:val="074107DA"/>
    <w:rsid w:val="07416A2C"/>
    <w:rsid w:val="074402CA"/>
    <w:rsid w:val="07465DF0"/>
    <w:rsid w:val="0749768F"/>
    <w:rsid w:val="074B1659"/>
    <w:rsid w:val="074B3407"/>
    <w:rsid w:val="0754675F"/>
    <w:rsid w:val="075F6EB2"/>
    <w:rsid w:val="07697D31"/>
    <w:rsid w:val="076D15CF"/>
    <w:rsid w:val="07702E6D"/>
    <w:rsid w:val="07716F4D"/>
    <w:rsid w:val="07723089"/>
    <w:rsid w:val="07740BAF"/>
    <w:rsid w:val="0774295E"/>
    <w:rsid w:val="0776134C"/>
    <w:rsid w:val="07761501"/>
    <w:rsid w:val="077616B7"/>
    <w:rsid w:val="078057A6"/>
    <w:rsid w:val="07807554"/>
    <w:rsid w:val="078608E3"/>
    <w:rsid w:val="079052BE"/>
    <w:rsid w:val="07911761"/>
    <w:rsid w:val="079528D4"/>
    <w:rsid w:val="079815DB"/>
    <w:rsid w:val="07990616"/>
    <w:rsid w:val="079E79DA"/>
    <w:rsid w:val="079F3753"/>
    <w:rsid w:val="07A1396F"/>
    <w:rsid w:val="07A1571D"/>
    <w:rsid w:val="07A82607"/>
    <w:rsid w:val="07AD3016"/>
    <w:rsid w:val="07B44062"/>
    <w:rsid w:val="07B62F76"/>
    <w:rsid w:val="07B74F40"/>
    <w:rsid w:val="07C80199"/>
    <w:rsid w:val="07C80D97"/>
    <w:rsid w:val="07C84A57"/>
    <w:rsid w:val="07CC09EB"/>
    <w:rsid w:val="07CD02C0"/>
    <w:rsid w:val="07CF4038"/>
    <w:rsid w:val="07D478A0"/>
    <w:rsid w:val="07DC0503"/>
    <w:rsid w:val="07E850FA"/>
    <w:rsid w:val="07E86197"/>
    <w:rsid w:val="07EC4BEA"/>
    <w:rsid w:val="07ED0962"/>
    <w:rsid w:val="07F25F78"/>
    <w:rsid w:val="07F57D52"/>
    <w:rsid w:val="07FC2953"/>
    <w:rsid w:val="080261BB"/>
    <w:rsid w:val="080A1514"/>
    <w:rsid w:val="080C528C"/>
    <w:rsid w:val="080D4B60"/>
    <w:rsid w:val="080D690E"/>
    <w:rsid w:val="080F4113"/>
    <w:rsid w:val="08114650"/>
    <w:rsid w:val="08206641"/>
    <w:rsid w:val="082C3238"/>
    <w:rsid w:val="082D0D5E"/>
    <w:rsid w:val="082E5202"/>
    <w:rsid w:val="082F0F7A"/>
    <w:rsid w:val="08362309"/>
    <w:rsid w:val="08365E65"/>
    <w:rsid w:val="083B347B"/>
    <w:rsid w:val="08406CE4"/>
    <w:rsid w:val="084367D4"/>
    <w:rsid w:val="0845254C"/>
    <w:rsid w:val="084561CB"/>
    <w:rsid w:val="0849203C"/>
    <w:rsid w:val="084D31AF"/>
    <w:rsid w:val="08513E84"/>
    <w:rsid w:val="085D1644"/>
    <w:rsid w:val="086230FE"/>
    <w:rsid w:val="086724C2"/>
    <w:rsid w:val="086E0F0F"/>
    <w:rsid w:val="086E3851"/>
    <w:rsid w:val="086F1438"/>
    <w:rsid w:val="08702488"/>
    <w:rsid w:val="08713341"/>
    <w:rsid w:val="08752E31"/>
    <w:rsid w:val="08762705"/>
    <w:rsid w:val="087F780C"/>
    <w:rsid w:val="0882008E"/>
    <w:rsid w:val="088272FC"/>
    <w:rsid w:val="0883616D"/>
    <w:rsid w:val="08844E22"/>
    <w:rsid w:val="08874912"/>
    <w:rsid w:val="0889068B"/>
    <w:rsid w:val="088A1282"/>
    <w:rsid w:val="088F37C7"/>
    <w:rsid w:val="089332B7"/>
    <w:rsid w:val="08964ACC"/>
    <w:rsid w:val="089B03BE"/>
    <w:rsid w:val="089E5946"/>
    <w:rsid w:val="08A059D4"/>
    <w:rsid w:val="08A2799E"/>
    <w:rsid w:val="08A726DC"/>
    <w:rsid w:val="08A76D63"/>
    <w:rsid w:val="08B03E69"/>
    <w:rsid w:val="08B111EB"/>
    <w:rsid w:val="08B11AD7"/>
    <w:rsid w:val="08B66FA6"/>
    <w:rsid w:val="08B82D1E"/>
    <w:rsid w:val="08C16076"/>
    <w:rsid w:val="08C94F2B"/>
    <w:rsid w:val="08CB4963"/>
    <w:rsid w:val="08CF1E16"/>
    <w:rsid w:val="08D47156"/>
    <w:rsid w:val="08DC4C5E"/>
    <w:rsid w:val="08E51639"/>
    <w:rsid w:val="08E71A1E"/>
    <w:rsid w:val="08EC0C19"/>
    <w:rsid w:val="08ED1B94"/>
    <w:rsid w:val="08EF6AC2"/>
    <w:rsid w:val="08F31FA8"/>
    <w:rsid w:val="08F57ACE"/>
    <w:rsid w:val="08F95FE0"/>
    <w:rsid w:val="08FA1588"/>
    <w:rsid w:val="08FB2C0B"/>
    <w:rsid w:val="08FC0E5C"/>
    <w:rsid w:val="09016473"/>
    <w:rsid w:val="09063A89"/>
    <w:rsid w:val="090C4E18"/>
    <w:rsid w:val="091066B6"/>
    <w:rsid w:val="0913264A"/>
    <w:rsid w:val="091343F8"/>
    <w:rsid w:val="09137F54"/>
    <w:rsid w:val="09153CCC"/>
    <w:rsid w:val="09196772"/>
    <w:rsid w:val="091A5787"/>
    <w:rsid w:val="091B59CE"/>
    <w:rsid w:val="091C32AD"/>
    <w:rsid w:val="0923288D"/>
    <w:rsid w:val="09271C52"/>
    <w:rsid w:val="09320D22"/>
    <w:rsid w:val="0935436E"/>
    <w:rsid w:val="09385C0D"/>
    <w:rsid w:val="09391507"/>
    <w:rsid w:val="093A3733"/>
    <w:rsid w:val="093D20B4"/>
    <w:rsid w:val="09423355"/>
    <w:rsid w:val="09435F26"/>
    <w:rsid w:val="09436A8B"/>
    <w:rsid w:val="09442803"/>
    <w:rsid w:val="0949606C"/>
    <w:rsid w:val="094B1DE4"/>
    <w:rsid w:val="09506DC0"/>
    <w:rsid w:val="095347F5"/>
    <w:rsid w:val="09557421"/>
    <w:rsid w:val="09572537"/>
    <w:rsid w:val="095C18FB"/>
    <w:rsid w:val="096A2812"/>
    <w:rsid w:val="096F3AB3"/>
    <w:rsid w:val="096F5AD2"/>
    <w:rsid w:val="097053A7"/>
    <w:rsid w:val="09736C45"/>
    <w:rsid w:val="09795E21"/>
    <w:rsid w:val="097E33BC"/>
    <w:rsid w:val="097E3F67"/>
    <w:rsid w:val="097F55EA"/>
    <w:rsid w:val="09820043"/>
    <w:rsid w:val="0983332C"/>
    <w:rsid w:val="098350DA"/>
    <w:rsid w:val="09870F4F"/>
    <w:rsid w:val="09886B94"/>
    <w:rsid w:val="098B0432"/>
    <w:rsid w:val="098D41AA"/>
    <w:rsid w:val="09975029"/>
    <w:rsid w:val="099866AB"/>
    <w:rsid w:val="099948FD"/>
    <w:rsid w:val="099F5C8C"/>
    <w:rsid w:val="09A92667"/>
    <w:rsid w:val="09AC118D"/>
    <w:rsid w:val="09B72FD5"/>
    <w:rsid w:val="09BB7FEC"/>
    <w:rsid w:val="09BE5E69"/>
    <w:rsid w:val="09C247EA"/>
    <w:rsid w:val="09C37BCC"/>
    <w:rsid w:val="09C63218"/>
    <w:rsid w:val="09C63DC1"/>
    <w:rsid w:val="09C851E3"/>
    <w:rsid w:val="09CA1445"/>
    <w:rsid w:val="09D05E45"/>
    <w:rsid w:val="09D43572"/>
    <w:rsid w:val="09D9119E"/>
    <w:rsid w:val="09DA6CC4"/>
    <w:rsid w:val="09E11F77"/>
    <w:rsid w:val="09E55D95"/>
    <w:rsid w:val="09E71B0D"/>
    <w:rsid w:val="09EB4E86"/>
    <w:rsid w:val="09EE4F48"/>
    <w:rsid w:val="09F00295"/>
    <w:rsid w:val="09F43A4D"/>
    <w:rsid w:val="09F66CF5"/>
    <w:rsid w:val="09FB55B8"/>
    <w:rsid w:val="0A00497C"/>
    <w:rsid w:val="0A0D52EB"/>
    <w:rsid w:val="0A110938"/>
    <w:rsid w:val="0A116B8A"/>
    <w:rsid w:val="0A14667A"/>
    <w:rsid w:val="0A173A74"/>
    <w:rsid w:val="0A256191"/>
    <w:rsid w:val="0A285C81"/>
    <w:rsid w:val="0A2A2400"/>
    <w:rsid w:val="0A2A62B8"/>
    <w:rsid w:val="0A2E773B"/>
    <w:rsid w:val="0A305499"/>
    <w:rsid w:val="0A3463D4"/>
    <w:rsid w:val="0A374116"/>
    <w:rsid w:val="0A391C3C"/>
    <w:rsid w:val="0A3C5294"/>
    <w:rsid w:val="0A402FCB"/>
    <w:rsid w:val="0A434869"/>
    <w:rsid w:val="0A4476F3"/>
    <w:rsid w:val="0A454A85"/>
    <w:rsid w:val="0A4A3E4A"/>
    <w:rsid w:val="0A4D6167"/>
    <w:rsid w:val="0A5371A2"/>
    <w:rsid w:val="0A5922DF"/>
    <w:rsid w:val="0A5E2D20"/>
    <w:rsid w:val="0A622F41"/>
    <w:rsid w:val="0A635CD8"/>
    <w:rsid w:val="0A6C2012"/>
    <w:rsid w:val="0A7113D6"/>
    <w:rsid w:val="0A726EFC"/>
    <w:rsid w:val="0A7333A0"/>
    <w:rsid w:val="0A79472F"/>
    <w:rsid w:val="0A7D7D7B"/>
    <w:rsid w:val="0A825391"/>
    <w:rsid w:val="0A851326"/>
    <w:rsid w:val="0A854E82"/>
    <w:rsid w:val="0A886720"/>
    <w:rsid w:val="0A8E01DA"/>
    <w:rsid w:val="0A8F5D00"/>
    <w:rsid w:val="0A92134D"/>
    <w:rsid w:val="0A9926DB"/>
    <w:rsid w:val="0AA07F0D"/>
    <w:rsid w:val="0AA364AD"/>
    <w:rsid w:val="0AA51080"/>
    <w:rsid w:val="0AAF0151"/>
    <w:rsid w:val="0AB15C77"/>
    <w:rsid w:val="0AB17A25"/>
    <w:rsid w:val="0AB539B9"/>
    <w:rsid w:val="0ABB6AF5"/>
    <w:rsid w:val="0ABF65E6"/>
    <w:rsid w:val="0AC21C32"/>
    <w:rsid w:val="0AC27E84"/>
    <w:rsid w:val="0AC37758"/>
    <w:rsid w:val="0ACE4A7B"/>
    <w:rsid w:val="0AD3127A"/>
    <w:rsid w:val="0AD6392F"/>
    <w:rsid w:val="0ADA51CD"/>
    <w:rsid w:val="0ADB7197"/>
    <w:rsid w:val="0ADD081A"/>
    <w:rsid w:val="0ADF0A36"/>
    <w:rsid w:val="0AE147AE"/>
    <w:rsid w:val="0AEE0C79"/>
    <w:rsid w:val="0AEE6ECB"/>
    <w:rsid w:val="0AF02C43"/>
    <w:rsid w:val="0AF049F1"/>
    <w:rsid w:val="0AF142C5"/>
    <w:rsid w:val="0AF52007"/>
    <w:rsid w:val="0AF65D7F"/>
    <w:rsid w:val="0AF81B05"/>
    <w:rsid w:val="0AFD2C6A"/>
    <w:rsid w:val="0AFD710E"/>
    <w:rsid w:val="0B016BFE"/>
    <w:rsid w:val="0B071D3B"/>
    <w:rsid w:val="0B08583F"/>
    <w:rsid w:val="0B0A3B2F"/>
    <w:rsid w:val="0B0D4EDA"/>
    <w:rsid w:val="0B106E41"/>
    <w:rsid w:val="0B146FE9"/>
    <w:rsid w:val="0B167E75"/>
    <w:rsid w:val="0B185CF6"/>
    <w:rsid w:val="0B187AA4"/>
    <w:rsid w:val="0B1C57E6"/>
    <w:rsid w:val="0B2E72C7"/>
    <w:rsid w:val="0B325009"/>
    <w:rsid w:val="0B332B30"/>
    <w:rsid w:val="0B3643CE"/>
    <w:rsid w:val="0B36617C"/>
    <w:rsid w:val="0B372620"/>
    <w:rsid w:val="0B386398"/>
    <w:rsid w:val="0B3A3EBE"/>
    <w:rsid w:val="0B416FFB"/>
    <w:rsid w:val="0B420FC5"/>
    <w:rsid w:val="0B505490"/>
    <w:rsid w:val="0B505789"/>
    <w:rsid w:val="0B50723E"/>
    <w:rsid w:val="0B536FB3"/>
    <w:rsid w:val="0B582596"/>
    <w:rsid w:val="0B5C2086"/>
    <w:rsid w:val="0B5E5DFE"/>
    <w:rsid w:val="0B674587"/>
    <w:rsid w:val="0B685E0C"/>
    <w:rsid w:val="0B6C7DF0"/>
    <w:rsid w:val="0B6F5F5D"/>
    <w:rsid w:val="0B756CA4"/>
    <w:rsid w:val="0B7D3DAB"/>
    <w:rsid w:val="0B802BBC"/>
    <w:rsid w:val="0B896BF3"/>
    <w:rsid w:val="0B8B296C"/>
    <w:rsid w:val="0B8E420A"/>
    <w:rsid w:val="0B955598"/>
    <w:rsid w:val="0B9A2BAF"/>
    <w:rsid w:val="0B9C6927"/>
    <w:rsid w:val="0BA17A99"/>
    <w:rsid w:val="0BA45E9D"/>
    <w:rsid w:val="0BA80E28"/>
    <w:rsid w:val="0BA8707A"/>
    <w:rsid w:val="0BA9676E"/>
    <w:rsid w:val="0BB21547"/>
    <w:rsid w:val="0BB377CC"/>
    <w:rsid w:val="0BB721C8"/>
    <w:rsid w:val="0BB974D9"/>
    <w:rsid w:val="0BBE689D"/>
    <w:rsid w:val="0BC419DA"/>
    <w:rsid w:val="0BCD088E"/>
    <w:rsid w:val="0BCD521D"/>
    <w:rsid w:val="0BD31C1D"/>
    <w:rsid w:val="0BD47E6F"/>
    <w:rsid w:val="0BDC4F75"/>
    <w:rsid w:val="0BE45BD8"/>
    <w:rsid w:val="0BE5207C"/>
    <w:rsid w:val="0BE8391A"/>
    <w:rsid w:val="0BED2CDE"/>
    <w:rsid w:val="0BF422BF"/>
    <w:rsid w:val="0BF978D5"/>
    <w:rsid w:val="0C0369A6"/>
    <w:rsid w:val="0C040028"/>
    <w:rsid w:val="0C0B13B7"/>
    <w:rsid w:val="0C0B7609"/>
    <w:rsid w:val="0C0F70F9"/>
    <w:rsid w:val="0C126BE9"/>
    <w:rsid w:val="0C191D25"/>
    <w:rsid w:val="0C1A29D4"/>
    <w:rsid w:val="0C1A784C"/>
    <w:rsid w:val="0C201306"/>
    <w:rsid w:val="0C2661F0"/>
    <w:rsid w:val="0C2B1A59"/>
    <w:rsid w:val="0C2F32F7"/>
    <w:rsid w:val="0C3B1C9C"/>
    <w:rsid w:val="0C3B6140"/>
    <w:rsid w:val="0C3E178C"/>
    <w:rsid w:val="0C442FE8"/>
    <w:rsid w:val="0C474AE5"/>
    <w:rsid w:val="0C476893"/>
    <w:rsid w:val="0C4A1EDF"/>
    <w:rsid w:val="0C526FE5"/>
    <w:rsid w:val="0C544F3C"/>
    <w:rsid w:val="0C57284E"/>
    <w:rsid w:val="0C5745FC"/>
    <w:rsid w:val="0C5C1C20"/>
    <w:rsid w:val="0C5E3BDC"/>
    <w:rsid w:val="0C676F35"/>
    <w:rsid w:val="0C6F1945"/>
    <w:rsid w:val="0C735804"/>
    <w:rsid w:val="0C760F26"/>
    <w:rsid w:val="0C762CD4"/>
    <w:rsid w:val="0C786AA5"/>
    <w:rsid w:val="0C7927C4"/>
    <w:rsid w:val="0C807FF6"/>
    <w:rsid w:val="0C831895"/>
    <w:rsid w:val="0C851169"/>
    <w:rsid w:val="0C8573BB"/>
    <w:rsid w:val="0C8A2C23"/>
    <w:rsid w:val="0C8F3D96"/>
    <w:rsid w:val="0C923886"/>
    <w:rsid w:val="0C931AD8"/>
    <w:rsid w:val="0C96202E"/>
    <w:rsid w:val="0C96376F"/>
    <w:rsid w:val="0CA35A93"/>
    <w:rsid w:val="0CA35D73"/>
    <w:rsid w:val="0CA830A9"/>
    <w:rsid w:val="0CAD06C0"/>
    <w:rsid w:val="0CB11F5E"/>
    <w:rsid w:val="0CB8153E"/>
    <w:rsid w:val="0CBE2103"/>
    <w:rsid w:val="0CBE467B"/>
    <w:rsid w:val="0CC222FA"/>
    <w:rsid w:val="0CC46135"/>
    <w:rsid w:val="0CC56BC9"/>
    <w:rsid w:val="0CC954FA"/>
    <w:rsid w:val="0CCA3020"/>
    <w:rsid w:val="0CCC323C"/>
    <w:rsid w:val="0CCC4FEA"/>
    <w:rsid w:val="0CD12600"/>
    <w:rsid w:val="0CD45C4C"/>
    <w:rsid w:val="0CE42333"/>
    <w:rsid w:val="0CE66B3B"/>
    <w:rsid w:val="0CE827FC"/>
    <w:rsid w:val="0CE916F8"/>
    <w:rsid w:val="0CEA36C2"/>
    <w:rsid w:val="0CEE51DE"/>
    <w:rsid w:val="0CF4009D"/>
    <w:rsid w:val="0CF63E15"/>
    <w:rsid w:val="0CF83756"/>
    <w:rsid w:val="0CFA1B57"/>
    <w:rsid w:val="0CFB7007"/>
    <w:rsid w:val="0CFE2CC9"/>
    <w:rsid w:val="0D002EE5"/>
    <w:rsid w:val="0D020A0B"/>
    <w:rsid w:val="0D026C5D"/>
    <w:rsid w:val="0D0C3638"/>
    <w:rsid w:val="0D0C53E6"/>
    <w:rsid w:val="0D0E5602"/>
    <w:rsid w:val="0D136775"/>
    <w:rsid w:val="0D156991"/>
    <w:rsid w:val="0D1A56E1"/>
    <w:rsid w:val="0D1B2156"/>
    <w:rsid w:val="0D1D1C55"/>
    <w:rsid w:val="0D1F336B"/>
    <w:rsid w:val="0D2B6E2A"/>
    <w:rsid w:val="0D2E2BDA"/>
    <w:rsid w:val="0D301E29"/>
    <w:rsid w:val="0D305579"/>
    <w:rsid w:val="0D314E4D"/>
    <w:rsid w:val="0D3606B5"/>
    <w:rsid w:val="0D3C216F"/>
    <w:rsid w:val="0D4841F9"/>
    <w:rsid w:val="0D4B4161"/>
    <w:rsid w:val="0D4C1C87"/>
    <w:rsid w:val="0D556D8D"/>
    <w:rsid w:val="0D5648B3"/>
    <w:rsid w:val="0D570D57"/>
    <w:rsid w:val="0D5F7C0C"/>
    <w:rsid w:val="0D646FD0"/>
    <w:rsid w:val="0D676AC1"/>
    <w:rsid w:val="0D690A8B"/>
    <w:rsid w:val="0D6D057B"/>
    <w:rsid w:val="0D701E19"/>
    <w:rsid w:val="0D7511DD"/>
    <w:rsid w:val="0D782A7C"/>
    <w:rsid w:val="0D7A4A46"/>
    <w:rsid w:val="0D7E2680"/>
    <w:rsid w:val="0D7F3E0A"/>
    <w:rsid w:val="0D892EDB"/>
    <w:rsid w:val="0D8B6C53"/>
    <w:rsid w:val="0D8C0655"/>
    <w:rsid w:val="0D8C6527"/>
    <w:rsid w:val="0D907DC5"/>
    <w:rsid w:val="0D95362E"/>
    <w:rsid w:val="0D957AD2"/>
    <w:rsid w:val="0D9F44AC"/>
    <w:rsid w:val="0DA43871"/>
    <w:rsid w:val="0DAB2E51"/>
    <w:rsid w:val="0DAB4BFF"/>
    <w:rsid w:val="0DAE46EF"/>
    <w:rsid w:val="0DB22432"/>
    <w:rsid w:val="0DB37F58"/>
    <w:rsid w:val="0DB52802"/>
    <w:rsid w:val="0DBC0BBA"/>
    <w:rsid w:val="0DBF06AB"/>
    <w:rsid w:val="0DC21F49"/>
    <w:rsid w:val="0DC42165"/>
    <w:rsid w:val="0DC573BC"/>
    <w:rsid w:val="0DC67C8B"/>
    <w:rsid w:val="0DCB34F3"/>
    <w:rsid w:val="0DCE6B40"/>
    <w:rsid w:val="0DD028B8"/>
    <w:rsid w:val="0DD340D1"/>
    <w:rsid w:val="0DD71E98"/>
    <w:rsid w:val="0DDE3227"/>
    <w:rsid w:val="0DDE4FD5"/>
    <w:rsid w:val="0DE011D7"/>
    <w:rsid w:val="0DE325EB"/>
    <w:rsid w:val="0DEB5944"/>
    <w:rsid w:val="0DEB76F2"/>
    <w:rsid w:val="0DED6FC6"/>
    <w:rsid w:val="0DED7330"/>
    <w:rsid w:val="0DF20A80"/>
    <w:rsid w:val="0DF2282E"/>
    <w:rsid w:val="0DF465A6"/>
    <w:rsid w:val="0DF51B66"/>
    <w:rsid w:val="0DF540CC"/>
    <w:rsid w:val="0DFE11D3"/>
    <w:rsid w:val="0E012A71"/>
    <w:rsid w:val="0E016F15"/>
    <w:rsid w:val="0E097B78"/>
    <w:rsid w:val="0E0A5DCA"/>
    <w:rsid w:val="0E0B38F0"/>
    <w:rsid w:val="0E0D58BA"/>
    <w:rsid w:val="0E124C7E"/>
    <w:rsid w:val="0E1446AE"/>
    <w:rsid w:val="0E152350"/>
    <w:rsid w:val="0E1704E7"/>
    <w:rsid w:val="0E1B4801"/>
    <w:rsid w:val="0E205822"/>
    <w:rsid w:val="0E213113"/>
    <w:rsid w:val="0E252C04"/>
    <w:rsid w:val="0E3966AF"/>
    <w:rsid w:val="0E3C1CFB"/>
    <w:rsid w:val="0E3C7F4D"/>
    <w:rsid w:val="0E3D7000"/>
    <w:rsid w:val="0E40223A"/>
    <w:rsid w:val="0E460DCC"/>
    <w:rsid w:val="0E4F7C80"/>
    <w:rsid w:val="0E562298"/>
    <w:rsid w:val="0E590AFF"/>
    <w:rsid w:val="0E5C65DD"/>
    <w:rsid w:val="0E5E1C72"/>
    <w:rsid w:val="0E63372C"/>
    <w:rsid w:val="0E67321C"/>
    <w:rsid w:val="0E707BF7"/>
    <w:rsid w:val="0E7476E7"/>
    <w:rsid w:val="0E792F4F"/>
    <w:rsid w:val="0E7E2314"/>
    <w:rsid w:val="0E7E40C2"/>
    <w:rsid w:val="0E83792A"/>
    <w:rsid w:val="0E8518F4"/>
    <w:rsid w:val="0E87566C"/>
    <w:rsid w:val="0E8C0841"/>
    <w:rsid w:val="0E8D2557"/>
    <w:rsid w:val="0E8F4521"/>
    <w:rsid w:val="0E8F62CF"/>
    <w:rsid w:val="0E927B6D"/>
    <w:rsid w:val="0E975183"/>
    <w:rsid w:val="0E987D02"/>
    <w:rsid w:val="0E99714E"/>
    <w:rsid w:val="0E9C09EC"/>
    <w:rsid w:val="0EA24254"/>
    <w:rsid w:val="0EA63619"/>
    <w:rsid w:val="0EAB1F74"/>
    <w:rsid w:val="0EAF071F"/>
    <w:rsid w:val="0EAF24CD"/>
    <w:rsid w:val="0EB126E9"/>
    <w:rsid w:val="0EB16245"/>
    <w:rsid w:val="0EBB70C4"/>
    <w:rsid w:val="0EBD4EE8"/>
    <w:rsid w:val="0EC71F0D"/>
    <w:rsid w:val="0EC95C85"/>
    <w:rsid w:val="0ECB13AD"/>
    <w:rsid w:val="0ECB20BE"/>
    <w:rsid w:val="0ECB3177"/>
    <w:rsid w:val="0ECC12D1"/>
    <w:rsid w:val="0ED04655"/>
    <w:rsid w:val="0ED308B1"/>
    <w:rsid w:val="0ED40186"/>
    <w:rsid w:val="0EDA1C1B"/>
    <w:rsid w:val="0EDB59B8"/>
    <w:rsid w:val="0EDD528C"/>
    <w:rsid w:val="0EDF7256"/>
    <w:rsid w:val="0EE303C9"/>
    <w:rsid w:val="0EE3661B"/>
    <w:rsid w:val="0EF95E3E"/>
    <w:rsid w:val="0EF97BEC"/>
    <w:rsid w:val="0EFB3964"/>
    <w:rsid w:val="0EFB5712"/>
    <w:rsid w:val="0EFD148A"/>
    <w:rsid w:val="0F00541F"/>
    <w:rsid w:val="0F022F45"/>
    <w:rsid w:val="0F0767AD"/>
    <w:rsid w:val="0F12743E"/>
    <w:rsid w:val="0F130CAE"/>
    <w:rsid w:val="0F144A26"/>
    <w:rsid w:val="0F1862C4"/>
    <w:rsid w:val="0F1B7B63"/>
    <w:rsid w:val="0F1D38DB"/>
    <w:rsid w:val="0F1D44D7"/>
    <w:rsid w:val="0F276507"/>
    <w:rsid w:val="0F296723"/>
    <w:rsid w:val="0F2A5FF8"/>
    <w:rsid w:val="0F2B249C"/>
    <w:rsid w:val="0F340C24"/>
    <w:rsid w:val="0F36499C"/>
    <w:rsid w:val="0F4946D0"/>
    <w:rsid w:val="0F4A0448"/>
    <w:rsid w:val="0F4E7F38"/>
    <w:rsid w:val="0F5117D6"/>
    <w:rsid w:val="0F543075"/>
    <w:rsid w:val="0F580DB7"/>
    <w:rsid w:val="0F5A5D56"/>
    <w:rsid w:val="0F5D157F"/>
    <w:rsid w:val="0F5D461F"/>
    <w:rsid w:val="0F6634D4"/>
    <w:rsid w:val="0F6C03BE"/>
    <w:rsid w:val="0F704352"/>
    <w:rsid w:val="0F73174D"/>
    <w:rsid w:val="0F7835B6"/>
    <w:rsid w:val="0F7B6853"/>
    <w:rsid w:val="0F7D25CB"/>
    <w:rsid w:val="0F7F00F1"/>
    <w:rsid w:val="0F841B59"/>
    <w:rsid w:val="0F8C0A60"/>
    <w:rsid w:val="0F900A8A"/>
    <w:rsid w:val="0F977B31"/>
    <w:rsid w:val="0F985657"/>
    <w:rsid w:val="0F987405"/>
    <w:rsid w:val="0F9F0794"/>
    <w:rsid w:val="0FA77648"/>
    <w:rsid w:val="0FB10A42"/>
    <w:rsid w:val="0FB71F81"/>
    <w:rsid w:val="0FB75ADD"/>
    <w:rsid w:val="0FBC7598"/>
    <w:rsid w:val="0FBD0C1A"/>
    <w:rsid w:val="0FBF2BE4"/>
    <w:rsid w:val="0FBF4992"/>
    <w:rsid w:val="0FC401FA"/>
    <w:rsid w:val="0FC71A98"/>
    <w:rsid w:val="0FC86DFC"/>
    <w:rsid w:val="0FC93A62"/>
    <w:rsid w:val="0FC95811"/>
    <w:rsid w:val="0FD60CF8"/>
    <w:rsid w:val="0FD61CDB"/>
    <w:rsid w:val="0FDA7A1E"/>
    <w:rsid w:val="0FDC19E8"/>
    <w:rsid w:val="0FDC3796"/>
    <w:rsid w:val="0FDD12BC"/>
    <w:rsid w:val="0FDF5034"/>
    <w:rsid w:val="0FE4089C"/>
    <w:rsid w:val="0FE443F8"/>
    <w:rsid w:val="0FED59A3"/>
    <w:rsid w:val="0FED7751"/>
    <w:rsid w:val="0FF00FEF"/>
    <w:rsid w:val="0FF22FB9"/>
    <w:rsid w:val="0FF31714"/>
    <w:rsid w:val="0FFF1232"/>
    <w:rsid w:val="1001144E"/>
    <w:rsid w:val="10014FAA"/>
    <w:rsid w:val="10091618"/>
    <w:rsid w:val="100A5B1A"/>
    <w:rsid w:val="1010343F"/>
    <w:rsid w:val="101833B4"/>
    <w:rsid w:val="101C3B92"/>
    <w:rsid w:val="102665D2"/>
    <w:rsid w:val="10282537"/>
    <w:rsid w:val="102869DB"/>
    <w:rsid w:val="102962AF"/>
    <w:rsid w:val="102A2753"/>
    <w:rsid w:val="102D3FF1"/>
    <w:rsid w:val="102F7D69"/>
    <w:rsid w:val="10303AE2"/>
    <w:rsid w:val="10345380"/>
    <w:rsid w:val="10357C97"/>
    <w:rsid w:val="10394744"/>
    <w:rsid w:val="103E71E0"/>
    <w:rsid w:val="1041184B"/>
    <w:rsid w:val="1045758D"/>
    <w:rsid w:val="10480E2B"/>
    <w:rsid w:val="10482BD9"/>
    <w:rsid w:val="10511B4E"/>
    <w:rsid w:val="105772C0"/>
    <w:rsid w:val="10594DE6"/>
    <w:rsid w:val="105E051F"/>
    <w:rsid w:val="106079A9"/>
    <w:rsid w:val="106519DD"/>
    <w:rsid w:val="1066305F"/>
    <w:rsid w:val="106B1D06"/>
    <w:rsid w:val="106B68C8"/>
    <w:rsid w:val="106C2D6C"/>
    <w:rsid w:val="106F63B8"/>
    <w:rsid w:val="107514F4"/>
    <w:rsid w:val="10797237"/>
    <w:rsid w:val="108654B0"/>
    <w:rsid w:val="10883201"/>
    <w:rsid w:val="108D3B8A"/>
    <w:rsid w:val="10944070"/>
    <w:rsid w:val="109776BD"/>
    <w:rsid w:val="10995022"/>
    <w:rsid w:val="109951E3"/>
    <w:rsid w:val="10A2678D"/>
    <w:rsid w:val="10A36062"/>
    <w:rsid w:val="10A67900"/>
    <w:rsid w:val="10A83678"/>
    <w:rsid w:val="10B4201D"/>
    <w:rsid w:val="10B66245"/>
    <w:rsid w:val="10BE4C49"/>
    <w:rsid w:val="10C65074"/>
    <w:rsid w:val="10C77FA2"/>
    <w:rsid w:val="10C85AC8"/>
    <w:rsid w:val="10CA7A92"/>
    <w:rsid w:val="10D10E21"/>
    <w:rsid w:val="10D64689"/>
    <w:rsid w:val="10D97CD5"/>
    <w:rsid w:val="10DD651F"/>
    <w:rsid w:val="10DD77C5"/>
    <w:rsid w:val="10DE353E"/>
    <w:rsid w:val="10E02E12"/>
    <w:rsid w:val="10E36DA6"/>
    <w:rsid w:val="10E875F4"/>
    <w:rsid w:val="10E943BC"/>
    <w:rsid w:val="10EA3803"/>
    <w:rsid w:val="10F44B0F"/>
    <w:rsid w:val="11001706"/>
    <w:rsid w:val="11020FDA"/>
    <w:rsid w:val="11056D1C"/>
    <w:rsid w:val="11072A94"/>
    <w:rsid w:val="11074842"/>
    <w:rsid w:val="110765F0"/>
    <w:rsid w:val="1109680C"/>
    <w:rsid w:val="110F22A1"/>
    <w:rsid w:val="111927C8"/>
    <w:rsid w:val="111D1152"/>
    <w:rsid w:val="112076B2"/>
    <w:rsid w:val="1122342A"/>
    <w:rsid w:val="11230F50"/>
    <w:rsid w:val="11270A41"/>
    <w:rsid w:val="112847B9"/>
    <w:rsid w:val="112B74FB"/>
    <w:rsid w:val="112F78F5"/>
    <w:rsid w:val="113849FC"/>
    <w:rsid w:val="11390774"/>
    <w:rsid w:val="113C31CD"/>
    <w:rsid w:val="113D64B6"/>
    <w:rsid w:val="114415F3"/>
    <w:rsid w:val="1146147C"/>
    <w:rsid w:val="114A2981"/>
    <w:rsid w:val="114C66F9"/>
    <w:rsid w:val="114E421F"/>
    <w:rsid w:val="11537A88"/>
    <w:rsid w:val="11560F71"/>
    <w:rsid w:val="115B06EA"/>
    <w:rsid w:val="116003F7"/>
    <w:rsid w:val="11621A79"/>
    <w:rsid w:val="11691059"/>
    <w:rsid w:val="116A44B2"/>
    <w:rsid w:val="116E6670"/>
    <w:rsid w:val="117143B2"/>
    <w:rsid w:val="117F6ACF"/>
    <w:rsid w:val="11800151"/>
    <w:rsid w:val="1183590C"/>
    <w:rsid w:val="118440E5"/>
    <w:rsid w:val="11845E93"/>
    <w:rsid w:val="11877731"/>
    <w:rsid w:val="118A0FD0"/>
    <w:rsid w:val="118B7221"/>
    <w:rsid w:val="118B7BB0"/>
    <w:rsid w:val="11904838"/>
    <w:rsid w:val="119208DE"/>
    <w:rsid w:val="11933B2B"/>
    <w:rsid w:val="119360D6"/>
    <w:rsid w:val="119500A0"/>
    <w:rsid w:val="11991213"/>
    <w:rsid w:val="119B4F8B"/>
    <w:rsid w:val="119D51A7"/>
    <w:rsid w:val="11A11E84"/>
    <w:rsid w:val="11A26319"/>
    <w:rsid w:val="11A77DD3"/>
    <w:rsid w:val="11A976A8"/>
    <w:rsid w:val="11B04EDA"/>
    <w:rsid w:val="11B06C88"/>
    <w:rsid w:val="11B12A00"/>
    <w:rsid w:val="11B61DC5"/>
    <w:rsid w:val="11B83D8F"/>
    <w:rsid w:val="11BD7515"/>
    <w:rsid w:val="11BD75F7"/>
    <w:rsid w:val="11BF6ECB"/>
    <w:rsid w:val="11C10E95"/>
    <w:rsid w:val="11C269BB"/>
    <w:rsid w:val="11C71011"/>
    <w:rsid w:val="11C72224"/>
    <w:rsid w:val="11CD086F"/>
    <w:rsid w:val="11D230A2"/>
    <w:rsid w:val="11D566EF"/>
    <w:rsid w:val="11D62156"/>
    <w:rsid w:val="11D70154"/>
    <w:rsid w:val="11D84431"/>
    <w:rsid w:val="11D861DF"/>
    <w:rsid w:val="11DD55A3"/>
    <w:rsid w:val="11E15093"/>
    <w:rsid w:val="11E626AA"/>
    <w:rsid w:val="11E64458"/>
    <w:rsid w:val="11F34DC7"/>
    <w:rsid w:val="11F61740"/>
    <w:rsid w:val="11F823DD"/>
    <w:rsid w:val="11FA43A7"/>
    <w:rsid w:val="12086AC4"/>
    <w:rsid w:val="1209283C"/>
    <w:rsid w:val="120B3EBE"/>
    <w:rsid w:val="121216F1"/>
    <w:rsid w:val="1212349F"/>
    <w:rsid w:val="12163FE7"/>
    <w:rsid w:val="121F5BBC"/>
    <w:rsid w:val="1223075D"/>
    <w:rsid w:val="1226519C"/>
    <w:rsid w:val="122907E8"/>
    <w:rsid w:val="122B4561"/>
    <w:rsid w:val="122E4051"/>
    <w:rsid w:val="122F22A3"/>
    <w:rsid w:val="12323B41"/>
    <w:rsid w:val="123A47A4"/>
    <w:rsid w:val="123E3820"/>
    <w:rsid w:val="12415B32"/>
    <w:rsid w:val="12527D3F"/>
    <w:rsid w:val="12575356"/>
    <w:rsid w:val="125A3098"/>
    <w:rsid w:val="12695089"/>
    <w:rsid w:val="126B0E01"/>
    <w:rsid w:val="126B3E0D"/>
    <w:rsid w:val="12781514"/>
    <w:rsid w:val="127B5307"/>
    <w:rsid w:val="127B54E8"/>
    <w:rsid w:val="127E28E2"/>
    <w:rsid w:val="128123D2"/>
    <w:rsid w:val="12843C71"/>
    <w:rsid w:val="128819B3"/>
    <w:rsid w:val="12887C05"/>
    <w:rsid w:val="12891287"/>
    <w:rsid w:val="12977E48"/>
    <w:rsid w:val="129E2F84"/>
    <w:rsid w:val="12A04F4F"/>
    <w:rsid w:val="12A52565"/>
    <w:rsid w:val="12A762DD"/>
    <w:rsid w:val="12A8795F"/>
    <w:rsid w:val="12AB66DA"/>
    <w:rsid w:val="12AC38F3"/>
    <w:rsid w:val="12B04A66"/>
    <w:rsid w:val="12B10F0A"/>
    <w:rsid w:val="12B427A8"/>
    <w:rsid w:val="12B772C8"/>
    <w:rsid w:val="12C80001"/>
    <w:rsid w:val="12C81DAF"/>
    <w:rsid w:val="12CF75E2"/>
    <w:rsid w:val="12D06EB6"/>
    <w:rsid w:val="12D544CC"/>
    <w:rsid w:val="12D76496"/>
    <w:rsid w:val="12E12E71"/>
    <w:rsid w:val="12E52961"/>
    <w:rsid w:val="12E806A4"/>
    <w:rsid w:val="12E82452"/>
    <w:rsid w:val="12EA441C"/>
    <w:rsid w:val="12F73388"/>
    <w:rsid w:val="12F928B1"/>
    <w:rsid w:val="12FB3F33"/>
    <w:rsid w:val="13001549"/>
    <w:rsid w:val="130C4747"/>
    <w:rsid w:val="130D3C66"/>
    <w:rsid w:val="1312127D"/>
    <w:rsid w:val="13141499"/>
    <w:rsid w:val="13143247"/>
    <w:rsid w:val="13160D6D"/>
    <w:rsid w:val="131A684E"/>
    <w:rsid w:val="131B45D5"/>
    <w:rsid w:val="131B6383"/>
    <w:rsid w:val="13217712"/>
    <w:rsid w:val="13250FB0"/>
    <w:rsid w:val="132A7240"/>
    <w:rsid w:val="1336140F"/>
    <w:rsid w:val="13386F35"/>
    <w:rsid w:val="133B07D3"/>
    <w:rsid w:val="1340228E"/>
    <w:rsid w:val="13421B62"/>
    <w:rsid w:val="134505B1"/>
    <w:rsid w:val="13491142"/>
    <w:rsid w:val="134E49AB"/>
    <w:rsid w:val="134E6759"/>
    <w:rsid w:val="134F24D1"/>
    <w:rsid w:val="13503426"/>
    <w:rsid w:val="13515E55"/>
    <w:rsid w:val="13531FC1"/>
    <w:rsid w:val="135D2E40"/>
    <w:rsid w:val="135D4BEE"/>
    <w:rsid w:val="135E44C2"/>
    <w:rsid w:val="136008A1"/>
    <w:rsid w:val="136410DB"/>
    <w:rsid w:val="136441CE"/>
    <w:rsid w:val="137332EF"/>
    <w:rsid w:val="13737F6D"/>
    <w:rsid w:val="13806B2E"/>
    <w:rsid w:val="13807518"/>
    <w:rsid w:val="138228A6"/>
    <w:rsid w:val="13854144"/>
    <w:rsid w:val="138C102F"/>
    <w:rsid w:val="1390019C"/>
    <w:rsid w:val="13900717"/>
    <w:rsid w:val="139F5206"/>
    <w:rsid w:val="13A10062"/>
    <w:rsid w:val="13A24CF6"/>
    <w:rsid w:val="13A445CA"/>
    <w:rsid w:val="13A520F1"/>
    <w:rsid w:val="13A52BEE"/>
    <w:rsid w:val="13B11191"/>
    <w:rsid w:val="13B54A2A"/>
    <w:rsid w:val="13B81E24"/>
    <w:rsid w:val="13BA5B9C"/>
    <w:rsid w:val="13CA1B57"/>
    <w:rsid w:val="13CB7DA9"/>
    <w:rsid w:val="13CC58CF"/>
    <w:rsid w:val="13CE7899"/>
    <w:rsid w:val="13D03611"/>
    <w:rsid w:val="13D11138"/>
    <w:rsid w:val="13D12EE6"/>
    <w:rsid w:val="13DA2F6E"/>
    <w:rsid w:val="13DA623E"/>
    <w:rsid w:val="13DC1FB6"/>
    <w:rsid w:val="13DD188A"/>
    <w:rsid w:val="13E250D8"/>
    <w:rsid w:val="13E64BE3"/>
    <w:rsid w:val="13E96481"/>
    <w:rsid w:val="13F217DA"/>
    <w:rsid w:val="13F310AE"/>
    <w:rsid w:val="13F36070"/>
    <w:rsid w:val="13F53078"/>
    <w:rsid w:val="13FD1DAD"/>
    <w:rsid w:val="13FD3CDB"/>
    <w:rsid w:val="13FF5CA5"/>
    <w:rsid w:val="14042F6C"/>
    <w:rsid w:val="14074B59"/>
    <w:rsid w:val="14107EB2"/>
    <w:rsid w:val="14157276"/>
    <w:rsid w:val="14164D9C"/>
    <w:rsid w:val="141A2ADF"/>
    <w:rsid w:val="141A488D"/>
    <w:rsid w:val="141D6D81"/>
    <w:rsid w:val="14223741"/>
    <w:rsid w:val="142B0848"/>
    <w:rsid w:val="142C636E"/>
    <w:rsid w:val="14301B0C"/>
    <w:rsid w:val="14321BD6"/>
    <w:rsid w:val="14336973"/>
    <w:rsid w:val="14397409"/>
    <w:rsid w:val="143C4803"/>
    <w:rsid w:val="14467430"/>
    <w:rsid w:val="1448764C"/>
    <w:rsid w:val="14496F20"/>
    <w:rsid w:val="14504752"/>
    <w:rsid w:val="14575AE1"/>
    <w:rsid w:val="145E6E6F"/>
    <w:rsid w:val="145F04F1"/>
    <w:rsid w:val="14660D3C"/>
    <w:rsid w:val="146752C6"/>
    <w:rsid w:val="146A5814"/>
    <w:rsid w:val="147541B9"/>
    <w:rsid w:val="147815B3"/>
    <w:rsid w:val="147B7EA8"/>
    <w:rsid w:val="14832432"/>
    <w:rsid w:val="148B12E6"/>
    <w:rsid w:val="149743A5"/>
    <w:rsid w:val="149A15E5"/>
    <w:rsid w:val="149A3C1F"/>
    <w:rsid w:val="149D101A"/>
    <w:rsid w:val="149E1155"/>
    <w:rsid w:val="149E726C"/>
    <w:rsid w:val="149F4D92"/>
    <w:rsid w:val="14A25F16"/>
    <w:rsid w:val="14A32AD4"/>
    <w:rsid w:val="14A423A8"/>
    <w:rsid w:val="14A8633C"/>
    <w:rsid w:val="14A95C11"/>
    <w:rsid w:val="14B163DC"/>
    <w:rsid w:val="14B22D17"/>
    <w:rsid w:val="14B46A8F"/>
    <w:rsid w:val="14B922F8"/>
    <w:rsid w:val="14BE790E"/>
    <w:rsid w:val="14BF71E2"/>
    <w:rsid w:val="14C60571"/>
    <w:rsid w:val="14C95AF3"/>
    <w:rsid w:val="14CA0061"/>
    <w:rsid w:val="14CB20CB"/>
    <w:rsid w:val="14CD7045"/>
    <w:rsid w:val="14CD7B51"/>
    <w:rsid w:val="14DC5FE6"/>
    <w:rsid w:val="14DF1632"/>
    <w:rsid w:val="14E32ED1"/>
    <w:rsid w:val="14E54E9B"/>
    <w:rsid w:val="14F90946"/>
    <w:rsid w:val="14F96B98"/>
    <w:rsid w:val="14FF21A7"/>
    <w:rsid w:val="150317C5"/>
    <w:rsid w:val="150361EF"/>
    <w:rsid w:val="1505553D"/>
    <w:rsid w:val="150572EB"/>
    <w:rsid w:val="150C0679"/>
    <w:rsid w:val="150C68CB"/>
    <w:rsid w:val="150D44D8"/>
    <w:rsid w:val="150F0169"/>
    <w:rsid w:val="150F4227"/>
    <w:rsid w:val="15107A3E"/>
    <w:rsid w:val="151237B6"/>
    <w:rsid w:val="151632A6"/>
    <w:rsid w:val="151E03AD"/>
    <w:rsid w:val="151E215B"/>
    <w:rsid w:val="151F77AB"/>
    <w:rsid w:val="152B05E3"/>
    <w:rsid w:val="152C0D1B"/>
    <w:rsid w:val="15304CA1"/>
    <w:rsid w:val="153100E0"/>
    <w:rsid w:val="15334D63"/>
    <w:rsid w:val="15347683"/>
    <w:rsid w:val="15396F94"/>
    <w:rsid w:val="153B0F5F"/>
    <w:rsid w:val="153D090A"/>
    <w:rsid w:val="153E45AB"/>
    <w:rsid w:val="154020D1"/>
    <w:rsid w:val="15455939"/>
    <w:rsid w:val="15475B55"/>
    <w:rsid w:val="154D2A40"/>
    <w:rsid w:val="154E022A"/>
    <w:rsid w:val="15543F16"/>
    <w:rsid w:val="15545B7C"/>
    <w:rsid w:val="15565D98"/>
    <w:rsid w:val="155D7127"/>
    <w:rsid w:val="15610299"/>
    <w:rsid w:val="1565422D"/>
    <w:rsid w:val="15671D54"/>
    <w:rsid w:val="156A53A0"/>
    <w:rsid w:val="156F0C08"/>
    <w:rsid w:val="156F6E5A"/>
    <w:rsid w:val="15790626"/>
    <w:rsid w:val="15793835"/>
    <w:rsid w:val="15897F1C"/>
    <w:rsid w:val="158A77F0"/>
    <w:rsid w:val="158F12AA"/>
    <w:rsid w:val="1594066F"/>
    <w:rsid w:val="15981F0D"/>
    <w:rsid w:val="159D5775"/>
    <w:rsid w:val="159F14ED"/>
    <w:rsid w:val="15AF7257"/>
    <w:rsid w:val="15B14D7D"/>
    <w:rsid w:val="15B66837"/>
    <w:rsid w:val="15BB209F"/>
    <w:rsid w:val="15BB5BFB"/>
    <w:rsid w:val="15C03212"/>
    <w:rsid w:val="15C745A0"/>
    <w:rsid w:val="15CC605B"/>
    <w:rsid w:val="15D1541F"/>
    <w:rsid w:val="15D8055B"/>
    <w:rsid w:val="15DA2525"/>
    <w:rsid w:val="15E213DA"/>
    <w:rsid w:val="15E307B6"/>
    <w:rsid w:val="15E45152"/>
    <w:rsid w:val="15EA6E53"/>
    <w:rsid w:val="15ED7C1A"/>
    <w:rsid w:val="15EE7D7F"/>
    <w:rsid w:val="160202FE"/>
    <w:rsid w:val="160457F4"/>
    <w:rsid w:val="16077093"/>
    <w:rsid w:val="160C28FB"/>
    <w:rsid w:val="16113A6D"/>
    <w:rsid w:val="16175528"/>
    <w:rsid w:val="161D385D"/>
    <w:rsid w:val="16225C7A"/>
    <w:rsid w:val="162419F3"/>
    <w:rsid w:val="16287735"/>
    <w:rsid w:val="162E25C4"/>
    <w:rsid w:val="163836F0"/>
    <w:rsid w:val="163D4862"/>
    <w:rsid w:val="1642631D"/>
    <w:rsid w:val="16481B85"/>
    <w:rsid w:val="164D0F49"/>
    <w:rsid w:val="164D73A2"/>
    <w:rsid w:val="164E5B17"/>
    <w:rsid w:val="16504596"/>
    <w:rsid w:val="16585B40"/>
    <w:rsid w:val="165E2A90"/>
    <w:rsid w:val="165F6ECF"/>
    <w:rsid w:val="166149F5"/>
    <w:rsid w:val="1666200B"/>
    <w:rsid w:val="166718DF"/>
    <w:rsid w:val="166B1B36"/>
    <w:rsid w:val="166D15EC"/>
    <w:rsid w:val="166E2C6E"/>
    <w:rsid w:val="1672275E"/>
    <w:rsid w:val="1674297A"/>
    <w:rsid w:val="16797F90"/>
    <w:rsid w:val="167A7865"/>
    <w:rsid w:val="167F131F"/>
    <w:rsid w:val="167F4E7B"/>
    <w:rsid w:val="1683189B"/>
    <w:rsid w:val="168801D3"/>
    <w:rsid w:val="16881F81"/>
    <w:rsid w:val="16893F4C"/>
    <w:rsid w:val="168D7598"/>
    <w:rsid w:val="168E3310"/>
    <w:rsid w:val="169052DA"/>
    <w:rsid w:val="16907088"/>
    <w:rsid w:val="16921052"/>
    <w:rsid w:val="169A6994"/>
    <w:rsid w:val="169E17A5"/>
    <w:rsid w:val="169E23FD"/>
    <w:rsid w:val="169E79F7"/>
    <w:rsid w:val="16A42B33"/>
    <w:rsid w:val="16A50D85"/>
    <w:rsid w:val="16AE750E"/>
    <w:rsid w:val="16B014D8"/>
    <w:rsid w:val="16B03E55"/>
    <w:rsid w:val="16B34B25"/>
    <w:rsid w:val="16B40FC8"/>
    <w:rsid w:val="16B54D41"/>
    <w:rsid w:val="16BC1C2B"/>
    <w:rsid w:val="16BE59A3"/>
    <w:rsid w:val="16C15493"/>
    <w:rsid w:val="16C3745D"/>
    <w:rsid w:val="16C555A8"/>
    <w:rsid w:val="16C60CFC"/>
    <w:rsid w:val="16C64858"/>
    <w:rsid w:val="16C80E0B"/>
    <w:rsid w:val="16CA189C"/>
    <w:rsid w:val="16D03FCD"/>
    <w:rsid w:val="16DA0303"/>
    <w:rsid w:val="16E15B36"/>
    <w:rsid w:val="16E55626"/>
    <w:rsid w:val="16E648E1"/>
    <w:rsid w:val="16ED44DA"/>
    <w:rsid w:val="17005FBC"/>
    <w:rsid w:val="170A508C"/>
    <w:rsid w:val="170D06D9"/>
    <w:rsid w:val="171657DF"/>
    <w:rsid w:val="171D1E9C"/>
    <w:rsid w:val="171F7296"/>
    <w:rsid w:val="17222AA1"/>
    <w:rsid w:val="17231CAA"/>
    <w:rsid w:val="1726179A"/>
    <w:rsid w:val="172A4DE7"/>
    <w:rsid w:val="17306175"/>
    <w:rsid w:val="173914CE"/>
    <w:rsid w:val="173F405B"/>
    <w:rsid w:val="174340FA"/>
    <w:rsid w:val="17485D0D"/>
    <w:rsid w:val="175E0F34"/>
    <w:rsid w:val="17606A5A"/>
    <w:rsid w:val="176127D3"/>
    <w:rsid w:val="176302F9"/>
    <w:rsid w:val="176C3651"/>
    <w:rsid w:val="176F4EEF"/>
    <w:rsid w:val="17712A16"/>
    <w:rsid w:val="17771FF6"/>
    <w:rsid w:val="17773DA4"/>
    <w:rsid w:val="178070FD"/>
    <w:rsid w:val="178169D1"/>
    <w:rsid w:val="178A3AD7"/>
    <w:rsid w:val="178B55E4"/>
    <w:rsid w:val="178E7A6B"/>
    <w:rsid w:val="17984446"/>
    <w:rsid w:val="179D6684"/>
    <w:rsid w:val="179E7583"/>
    <w:rsid w:val="17A0779F"/>
    <w:rsid w:val="17A24888"/>
    <w:rsid w:val="17A56B63"/>
    <w:rsid w:val="17AF6D62"/>
    <w:rsid w:val="17B172B6"/>
    <w:rsid w:val="17B80644"/>
    <w:rsid w:val="17B84AE8"/>
    <w:rsid w:val="17BD3EAD"/>
    <w:rsid w:val="17C3523B"/>
    <w:rsid w:val="17C74D2B"/>
    <w:rsid w:val="17C90AA4"/>
    <w:rsid w:val="17CA0EC3"/>
    <w:rsid w:val="17CF598E"/>
    <w:rsid w:val="17D17958"/>
    <w:rsid w:val="17D63778"/>
    <w:rsid w:val="17D66D1D"/>
    <w:rsid w:val="17D74826"/>
    <w:rsid w:val="17D86F39"/>
    <w:rsid w:val="17E01949"/>
    <w:rsid w:val="17EA0A1A"/>
    <w:rsid w:val="17EA27C8"/>
    <w:rsid w:val="17F92A0B"/>
    <w:rsid w:val="17FF44C5"/>
    <w:rsid w:val="18055854"/>
    <w:rsid w:val="18090EA0"/>
    <w:rsid w:val="180A4C18"/>
    <w:rsid w:val="18137F71"/>
    <w:rsid w:val="1814371A"/>
    <w:rsid w:val="18187335"/>
    <w:rsid w:val="181949BB"/>
    <w:rsid w:val="1821268E"/>
    <w:rsid w:val="18217445"/>
    <w:rsid w:val="18221F62"/>
    <w:rsid w:val="18291542"/>
    <w:rsid w:val="182E07B8"/>
    <w:rsid w:val="183121A5"/>
    <w:rsid w:val="183323C1"/>
    <w:rsid w:val="1833416F"/>
    <w:rsid w:val="18357EE7"/>
    <w:rsid w:val="183A374F"/>
    <w:rsid w:val="183A3CF4"/>
    <w:rsid w:val="1840688C"/>
    <w:rsid w:val="184075CD"/>
    <w:rsid w:val="18502F73"/>
    <w:rsid w:val="18534811"/>
    <w:rsid w:val="18552337"/>
    <w:rsid w:val="18585984"/>
    <w:rsid w:val="185A794E"/>
    <w:rsid w:val="185B5474"/>
    <w:rsid w:val="185D743E"/>
    <w:rsid w:val="18622F00"/>
    <w:rsid w:val="18626802"/>
    <w:rsid w:val="1864257A"/>
    <w:rsid w:val="18664544"/>
    <w:rsid w:val="186B56B7"/>
    <w:rsid w:val="186D58D3"/>
    <w:rsid w:val="187622AE"/>
    <w:rsid w:val="18787DD4"/>
    <w:rsid w:val="187C14BE"/>
    <w:rsid w:val="18822A00"/>
    <w:rsid w:val="1888635B"/>
    <w:rsid w:val="188A0C7B"/>
    <w:rsid w:val="188B3FAB"/>
    <w:rsid w:val="188D6BE7"/>
    <w:rsid w:val="188E3A9B"/>
    <w:rsid w:val="188E5849"/>
    <w:rsid w:val="18910E95"/>
    <w:rsid w:val="18925339"/>
    <w:rsid w:val="18934C0E"/>
    <w:rsid w:val="18980476"/>
    <w:rsid w:val="189B3AC2"/>
    <w:rsid w:val="189D0617"/>
    <w:rsid w:val="189D5A8C"/>
    <w:rsid w:val="18A02EA1"/>
    <w:rsid w:val="18A137CE"/>
    <w:rsid w:val="18A64941"/>
    <w:rsid w:val="18A94431"/>
    <w:rsid w:val="18B057C0"/>
    <w:rsid w:val="18BA663E"/>
    <w:rsid w:val="18BC5F12"/>
    <w:rsid w:val="18C354F3"/>
    <w:rsid w:val="18C82B09"/>
    <w:rsid w:val="18CD6371"/>
    <w:rsid w:val="18CE20EA"/>
    <w:rsid w:val="18D314AE"/>
    <w:rsid w:val="18D538B1"/>
    <w:rsid w:val="18D71473"/>
    <w:rsid w:val="18DA45EA"/>
    <w:rsid w:val="18DF7E53"/>
    <w:rsid w:val="18E45469"/>
    <w:rsid w:val="18EB67F8"/>
    <w:rsid w:val="18EF58AD"/>
    <w:rsid w:val="18F16C54"/>
    <w:rsid w:val="18F27B86"/>
    <w:rsid w:val="18F558C8"/>
    <w:rsid w:val="18F97167"/>
    <w:rsid w:val="18FD1518"/>
    <w:rsid w:val="1901426D"/>
    <w:rsid w:val="1901601B"/>
    <w:rsid w:val="190336CE"/>
    <w:rsid w:val="190C0A92"/>
    <w:rsid w:val="190D7351"/>
    <w:rsid w:val="19120228"/>
    <w:rsid w:val="191915B7"/>
    <w:rsid w:val="191A0E8B"/>
    <w:rsid w:val="191F46F3"/>
    <w:rsid w:val="191F64A1"/>
    <w:rsid w:val="1927005A"/>
    <w:rsid w:val="192F0DDA"/>
    <w:rsid w:val="193B777F"/>
    <w:rsid w:val="194303E2"/>
    <w:rsid w:val="194E7425"/>
    <w:rsid w:val="194F6D87"/>
    <w:rsid w:val="19520625"/>
    <w:rsid w:val="195271C6"/>
    <w:rsid w:val="195645B9"/>
    <w:rsid w:val="19600F94"/>
    <w:rsid w:val="19650358"/>
    <w:rsid w:val="196C5B8A"/>
    <w:rsid w:val="196D36B1"/>
    <w:rsid w:val="19704F4F"/>
    <w:rsid w:val="19722A75"/>
    <w:rsid w:val="197607B7"/>
    <w:rsid w:val="1977452F"/>
    <w:rsid w:val="197F0DB4"/>
    <w:rsid w:val="19856C4C"/>
    <w:rsid w:val="198F1879"/>
    <w:rsid w:val="19924EC5"/>
    <w:rsid w:val="19973DF4"/>
    <w:rsid w:val="199B0329"/>
    <w:rsid w:val="199B1FCC"/>
    <w:rsid w:val="199C5D44"/>
    <w:rsid w:val="199E1ABC"/>
    <w:rsid w:val="199E3568"/>
    <w:rsid w:val="19A1335A"/>
    <w:rsid w:val="19A35324"/>
    <w:rsid w:val="19A54BF8"/>
    <w:rsid w:val="19A60971"/>
    <w:rsid w:val="19A8293B"/>
    <w:rsid w:val="19A97D0F"/>
    <w:rsid w:val="19AA0461"/>
    <w:rsid w:val="19AA3D70"/>
    <w:rsid w:val="19AD1CFF"/>
    <w:rsid w:val="19AE61A3"/>
    <w:rsid w:val="19B25A82"/>
    <w:rsid w:val="19B66E06"/>
    <w:rsid w:val="19B94B48"/>
    <w:rsid w:val="19BF6247"/>
    <w:rsid w:val="19C07C84"/>
    <w:rsid w:val="19C21C4E"/>
    <w:rsid w:val="19C57049"/>
    <w:rsid w:val="19CA465F"/>
    <w:rsid w:val="19D13C3F"/>
    <w:rsid w:val="19D567D6"/>
    <w:rsid w:val="19D96F98"/>
    <w:rsid w:val="19DC10E5"/>
    <w:rsid w:val="19DE010A"/>
    <w:rsid w:val="19E020D4"/>
    <w:rsid w:val="19E35721"/>
    <w:rsid w:val="19E82D37"/>
    <w:rsid w:val="19EC2827"/>
    <w:rsid w:val="19EC6CCB"/>
    <w:rsid w:val="19F142E2"/>
    <w:rsid w:val="19F33BB6"/>
    <w:rsid w:val="19F4792E"/>
    <w:rsid w:val="19F56590"/>
    <w:rsid w:val="19FB2A6A"/>
    <w:rsid w:val="19FF306E"/>
    <w:rsid w:val="1A023DF9"/>
    <w:rsid w:val="1A11228E"/>
    <w:rsid w:val="1A136006"/>
    <w:rsid w:val="1A1678A4"/>
    <w:rsid w:val="1A231FC1"/>
    <w:rsid w:val="1A246465"/>
    <w:rsid w:val="1A2C356C"/>
    <w:rsid w:val="1A2C531A"/>
    <w:rsid w:val="1A2C70C8"/>
    <w:rsid w:val="1A2E2E40"/>
    <w:rsid w:val="1A2F6BB8"/>
    <w:rsid w:val="1A310B82"/>
    <w:rsid w:val="1A330456"/>
    <w:rsid w:val="1A3348FA"/>
    <w:rsid w:val="1A3A17E5"/>
    <w:rsid w:val="1A3A7A37"/>
    <w:rsid w:val="1A3B1263"/>
    <w:rsid w:val="1A3B37AF"/>
    <w:rsid w:val="1A3B730B"/>
    <w:rsid w:val="1A3D3E6B"/>
    <w:rsid w:val="1A495ECC"/>
    <w:rsid w:val="1A4F2DB6"/>
    <w:rsid w:val="1A554870"/>
    <w:rsid w:val="1A5833BE"/>
    <w:rsid w:val="1A5959E3"/>
    <w:rsid w:val="1A5D3725"/>
    <w:rsid w:val="1A5D54D3"/>
    <w:rsid w:val="1A676352"/>
    <w:rsid w:val="1A693E78"/>
    <w:rsid w:val="1A7A7E33"/>
    <w:rsid w:val="1A7F18ED"/>
    <w:rsid w:val="1A8707A2"/>
    <w:rsid w:val="1A8B64E4"/>
    <w:rsid w:val="1A8C57B1"/>
    <w:rsid w:val="1A935399"/>
    <w:rsid w:val="1A974E89"/>
    <w:rsid w:val="1A9A0657"/>
    <w:rsid w:val="1A9C0831"/>
    <w:rsid w:val="1A9F5AEC"/>
    <w:rsid w:val="1AA67A69"/>
    <w:rsid w:val="1AA80E44"/>
    <w:rsid w:val="1AB1581F"/>
    <w:rsid w:val="1AB175CD"/>
    <w:rsid w:val="1AB53561"/>
    <w:rsid w:val="1AB71087"/>
    <w:rsid w:val="1AC612CA"/>
    <w:rsid w:val="1AC76DF0"/>
    <w:rsid w:val="1AD03EF7"/>
    <w:rsid w:val="1AD31C39"/>
    <w:rsid w:val="1ADA2FC8"/>
    <w:rsid w:val="1AE23C2A"/>
    <w:rsid w:val="1AE300CE"/>
    <w:rsid w:val="1AE41750"/>
    <w:rsid w:val="1AE6371B"/>
    <w:rsid w:val="1AE9320B"/>
    <w:rsid w:val="1AF15F6E"/>
    <w:rsid w:val="1AF53C28"/>
    <w:rsid w:val="1AF71484"/>
    <w:rsid w:val="1B0167A6"/>
    <w:rsid w:val="1B070C4A"/>
    <w:rsid w:val="1B072DA5"/>
    <w:rsid w:val="1B083691"/>
    <w:rsid w:val="1B097409"/>
    <w:rsid w:val="1B0B19E6"/>
    <w:rsid w:val="1B0B4F2F"/>
    <w:rsid w:val="1B0E67CD"/>
    <w:rsid w:val="1B132036"/>
    <w:rsid w:val="1B154000"/>
    <w:rsid w:val="1B197D8B"/>
    <w:rsid w:val="1B1E590D"/>
    <w:rsid w:val="1B1F09DB"/>
    <w:rsid w:val="1B244243"/>
    <w:rsid w:val="1B26620D"/>
    <w:rsid w:val="1B283D33"/>
    <w:rsid w:val="1B2B3823"/>
    <w:rsid w:val="1B2D1349"/>
    <w:rsid w:val="1B302BE8"/>
    <w:rsid w:val="1B326960"/>
    <w:rsid w:val="1B351FAC"/>
    <w:rsid w:val="1B354592"/>
    <w:rsid w:val="1B3B4866"/>
    <w:rsid w:val="1B3D45B5"/>
    <w:rsid w:val="1B3E70B3"/>
    <w:rsid w:val="1B3F107D"/>
    <w:rsid w:val="1B4072CF"/>
    <w:rsid w:val="1B4B5C73"/>
    <w:rsid w:val="1B4B7A22"/>
    <w:rsid w:val="1B4D5548"/>
    <w:rsid w:val="1B50328A"/>
    <w:rsid w:val="1B511D29"/>
    <w:rsid w:val="1B530684"/>
    <w:rsid w:val="1B55264E"/>
    <w:rsid w:val="1B5623CB"/>
    <w:rsid w:val="1B5763C6"/>
    <w:rsid w:val="1B593EEC"/>
    <w:rsid w:val="1B5A7C65"/>
    <w:rsid w:val="1B636B19"/>
    <w:rsid w:val="1B650AE3"/>
    <w:rsid w:val="1B662AAD"/>
    <w:rsid w:val="1B6A0F8A"/>
    <w:rsid w:val="1B707488"/>
    <w:rsid w:val="1B724FAE"/>
    <w:rsid w:val="1B770088"/>
    <w:rsid w:val="1B7900EB"/>
    <w:rsid w:val="1B7A20B5"/>
    <w:rsid w:val="1B7A3E63"/>
    <w:rsid w:val="1B80591D"/>
    <w:rsid w:val="1B830F69"/>
    <w:rsid w:val="1B844F9E"/>
    <w:rsid w:val="1B851185"/>
    <w:rsid w:val="1B8D003A"/>
    <w:rsid w:val="1B8F3DB2"/>
    <w:rsid w:val="1B9118D8"/>
    <w:rsid w:val="1B925650"/>
    <w:rsid w:val="1B9403E7"/>
    <w:rsid w:val="1B99078D"/>
    <w:rsid w:val="1B9E5DA3"/>
    <w:rsid w:val="1B9F38C9"/>
    <w:rsid w:val="1BA07D6D"/>
    <w:rsid w:val="1BA86C22"/>
    <w:rsid w:val="1BAA299A"/>
    <w:rsid w:val="1BB074A7"/>
    <w:rsid w:val="1BB6133F"/>
    <w:rsid w:val="1BB76E65"/>
    <w:rsid w:val="1BB90559"/>
    <w:rsid w:val="1BBE2F3B"/>
    <w:rsid w:val="1BC021BE"/>
    <w:rsid w:val="1BC11A92"/>
    <w:rsid w:val="1BC53330"/>
    <w:rsid w:val="1BCB46BE"/>
    <w:rsid w:val="1BCC0B62"/>
    <w:rsid w:val="1BD06730"/>
    <w:rsid w:val="1BD23C9F"/>
    <w:rsid w:val="1BD82632"/>
    <w:rsid w:val="1BDB6FF7"/>
    <w:rsid w:val="1BE0460E"/>
    <w:rsid w:val="1BE063BC"/>
    <w:rsid w:val="1BE37C5A"/>
    <w:rsid w:val="1BEA0FE8"/>
    <w:rsid w:val="1BEC4D61"/>
    <w:rsid w:val="1BED0AD9"/>
    <w:rsid w:val="1BED2887"/>
    <w:rsid w:val="1BED7449"/>
    <w:rsid w:val="1BFB4FA4"/>
    <w:rsid w:val="1C007D91"/>
    <w:rsid w:val="1C033E58"/>
    <w:rsid w:val="1C053422"/>
    <w:rsid w:val="1C0D38E3"/>
    <w:rsid w:val="1C121C22"/>
    <w:rsid w:val="1C197B20"/>
    <w:rsid w:val="1C1B0628"/>
    <w:rsid w:val="1C1B3898"/>
    <w:rsid w:val="1C1B73F4"/>
    <w:rsid w:val="1C200EAE"/>
    <w:rsid w:val="1C2362A8"/>
    <w:rsid w:val="1C247518"/>
    <w:rsid w:val="1C250273"/>
    <w:rsid w:val="1C2F2E9F"/>
    <w:rsid w:val="1C330BE1"/>
    <w:rsid w:val="1C362480"/>
    <w:rsid w:val="1C3B1844"/>
    <w:rsid w:val="1C3B5CE8"/>
    <w:rsid w:val="1C3D736A"/>
    <w:rsid w:val="1C3E30E2"/>
    <w:rsid w:val="1C417161"/>
    <w:rsid w:val="1C450915"/>
    <w:rsid w:val="1C4A05F8"/>
    <w:rsid w:val="1C4C3A51"/>
    <w:rsid w:val="1C4F709D"/>
    <w:rsid w:val="1C534DE0"/>
    <w:rsid w:val="1C5A43C0"/>
    <w:rsid w:val="1C5B3C94"/>
    <w:rsid w:val="1C5F3784"/>
    <w:rsid w:val="1C6449AB"/>
    <w:rsid w:val="1C683EE6"/>
    <w:rsid w:val="1C6A2129"/>
    <w:rsid w:val="1C7134B8"/>
    <w:rsid w:val="1C7B4336"/>
    <w:rsid w:val="1C7B60E4"/>
    <w:rsid w:val="1C7C30D0"/>
    <w:rsid w:val="1C7D1E5D"/>
    <w:rsid w:val="1C80194D"/>
    <w:rsid w:val="1C856F63"/>
    <w:rsid w:val="1C8925AF"/>
    <w:rsid w:val="1C8E5E18"/>
    <w:rsid w:val="1C907DE2"/>
    <w:rsid w:val="1C915908"/>
    <w:rsid w:val="1C9D24FF"/>
    <w:rsid w:val="1CA04B7F"/>
    <w:rsid w:val="1CA05B4B"/>
    <w:rsid w:val="1CA473E9"/>
    <w:rsid w:val="1CA53161"/>
    <w:rsid w:val="1CAA0778"/>
    <w:rsid w:val="1CAA3D8A"/>
    <w:rsid w:val="1CAE64BA"/>
    <w:rsid w:val="1CB41933"/>
    <w:rsid w:val="1CB47891"/>
    <w:rsid w:val="1CB66E24"/>
    <w:rsid w:val="1CB82E95"/>
    <w:rsid w:val="1CBF2475"/>
    <w:rsid w:val="1CC21F65"/>
    <w:rsid w:val="1CCE090A"/>
    <w:rsid w:val="1CD13F56"/>
    <w:rsid w:val="1CD239BF"/>
    <w:rsid w:val="1CDC3027"/>
    <w:rsid w:val="1CDD0B4D"/>
    <w:rsid w:val="1CE27F12"/>
    <w:rsid w:val="1CE4012E"/>
    <w:rsid w:val="1CE41EDC"/>
    <w:rsid w:val="1CE912A0"/>
    <w:rsid w:val="1CEB14BC"/>
    <w:rsid w:val="1CEC2B3E"/>
    <w:rsid w:val="1CF0262F"/>
    <w:rsid w:val="1CF50AD0"/>
    <w:rsid w:val="1CF55E97"/>
    <w:rsid w:val="1CF739BD"/>
    <w:rsid w:val="1CF76192"/>
    <w:rsid w:val="1CF77E61"/>
    <w:rsid w:val="1CF814E3"/>
    <w:rsid w:val="1D036806"/>
    <w:rsid w:val="1D083E1C"/>
    <w:rsid w:val="1D0936F0"/>
    <w:rsid w:val="1D100F23"/>
    <w:rsid w:val="1D1207F7"/>
    <w:rsid w:val="1D1F4CC2"/>
    <w:rsid w:val="1D261C54"/>
    <w:rsid w:val="1D28001A"/>
    <w:rsid w:val="1D2B7B0B"/>
    <w:rsid w:val="1D2D3883"/>
    <w:rsid w:val="1D2D5631"/>
    <w:rsid w:val="1D305D3E"/>
    <w:rsid w:val="1D3369BF"/>
    <w:rsid w:val="1D3764AF"/>
    <w:rsid w:val="1D3F269C"/>
    <w:rsid w:val="1D434E54"/>
    <w:rsid w:val="1D4B3D09"/>
    <w:rsid w:val="1D4B5AB7"/>
    <w:rsid w:val="1D4E37F9"/>
    <w:rsid w:val="1D5232E9"/>
    <w:rsid w:val="1D532BBD"/>
    <w:rsid w:val="1D57445C"/>
    <w:rsid w:val="1D5801D4"/>
    <w:rsid w:val="1D594678"/>
    <w:rsid w:val="1D5C1A72"/>
    <w:rsid w:val="1D603275"/>
    <w:rsid w:val="1D631052"/>
    <w:rsid w:val="1D6A0633"/>
    <w:rsid w:val="1D6F722A"/>
    <w:rsid w:val="1D721295"/>
    <w:rsid w:val="1D725739"/>
    <w:rsid w:val="1D7E7C3A"/>
    <w:rsid w:val="1D7F08B9"/>
    <w:rsid w:val="1D855A32"/>
    <w:rsid w:val="1D8E3BF5"/>
    <w:rsid w:val="1D9303D6"/>
    <w:rsid w:val="1DA67191"/>
    <w:rsid w:val="1DB00010"/>
    <w:rsid w:val="1DB25B36"/>
    <w:rsid w:val="1DB63878"/>
    <w:rsid w:val="1DB7139E"/>
    <w:rsid w:val="1DB93368"/>
    <w:rsid w:val="1DBB2B5A"/>
    <w:rsid w:val="1DBE44DB"/>
    <w:rsid w:val="1DCB33AB"/>
    <w:rsid w:val="1DCB6BF8"/>
    <w:rsid w:val="1DD039F5"/>
    <w:rsid w:val="1DD43CFE"/>
    <w:rsid w:val="1DD65CC8"/>
    <w:rsid w:val="1DE2466D"/>
    <w:rsid w:val="1DE303E5"/>
    <w:rsid w:val="1DE55F0B"/>
    <w:rsid w:val="1DE7719E"/>
    <w:rsid w:val="1DEA1774"/>
    <w:rsid w:val="1DF3687A"/>
    <w:rsid w:val="1DF60118"/>
    <w:rsid w:val="1DFC3255"/>
    <w:rsid w:val="1E0068A1"/>
    <w:rsid w:val="1E036392"/>
    <w:rsid w:val="1E0740D4"/>
    <w:rsid w:val="1E075364"/>
    <w:rsid w:val="1E075E82"/>
    <w:rsid w:val="1E080D46"/>
    <w:rsid w:val="1E0839A8"/>
    <w:rsid w:val="1E0A7720"/>
    <w:rsid w:val="1E0C3498"/>
    <w:rsid w:val="1E0C793C"/>
    <w:rsid w:val="1E116D00"/>
    <w:rsid w:val="1E1862E1"/>
    <w:rsid w:val="1E2702D2"/>
    <w:rsid w:val="1E285DF8"/>
    <w:rsid w:val="1E2A6014"/>
    <w:rsid w:val="1E2F7187"/>
    <w:rsid w:val="1E37603B"/>
    <w:rsid w:val="1E3D18A3"/>
    <w:rsid w:val="1E4744D0"/>
    <w:rsid w:val="1E4C1AE7"/>
    <w:rsid w:val="1E51534F"/>
    <w:rsid w:val="1E5906A7"/>
    <w:rsid w:val="1E5A31BE"/>
    <w:rsid w:val="1E5D20B1"/>
    <w:rsid w:val="1E5E181A"/>
    <w:rsid w:val="1E6037E4"/>
    <w:rsid w:val="1E65704C"/>
    <w:rsid w:val="1E7159F1"/>
    <w:rsid w:val="1E7726E6"/>
    <w:rsid w:val="1E7E3C6A"/>
    <w:rsid w:val="1E831280"/>
    <w:rsid w:val="1E85149C"/>
    <w:rsid w:val="1E85324A"/>
    <w:rsid w:val="1E89232D"/>
    <w:rsid w:val="1E8C45D9"/>
    <w:rsid w:val="1E8F7C25"/>
    <w:rsid w:val="1E94348E"/>
    <w:rsid w:val="1E9445B9"/>
    <w:rsid w:val="1E957931"/>
    <w:rsid w:val="1E9743CD"/>
    <w:rsid w:val="1E9F430C"/>
    <w:rsid w:val="1EA01E32"/>
    <w:rsid w:val="1EA57449"/>
    <w:rsid w:val="1EA81850"/>
    <w:rsid w:val="1EA96F39"/>
    <w:rsid w:val="1EAB0F03"/>
    <w:rsid w:val="1EB3600A"/>
    <w:rsid w:val="1EBC0E1A"/>
    <w:rsid w:val="1EC2624D"/>
    <w:rsid w:val="1EC71AB5"/>
    <w:rsid w:val="1EC75611"/>
    <w:rsid w:val="1EC92BE4"/>
    <w:rsid w:val="1EC975DB"/>
    <w:rsid w:val="1EDA3596"/>
    <w:rsid w:val="1EE461C3"/>
    <w:rsid w:val="1EE61F3B"/>
    <w:rsid w:val="1EED0356"/>
    <w:rsid w:val="1EF65EF6"/>
    <w:rsid w:val="1F04091B"/>
    <w:rsid w:val="1F0423C1"/>
    <w:rsid w:val="1F071EB1"/>
    <w:rsid w:val="1F0B3750"/>
    <w:rsid w:val="1F10520A"/>
    <w:rsid w:val="1F106FB8"/>
    <w:rsid w:val="1F152820"/>
    <w:rsid w:val="1F176598"/>
    <w:rsid w:val="1F1840BF"/>
    <w:rsid w:val="1F184536"/>
    <w:rsid w:val="1F185E6D"/>
    <w:rsid w:val="1F226CEB"/>
    <w:rsid w:val="1F262338"/>
    <w:rsid w:val="1F264A2D"/>
    <w:rsid w:val="1F282554"/>
    <w:rsid w:val="1F29007A"/>
    <w:rsid w:val="1F2B4E33"/>
    <w:rsid w:val="1F2E6B9D"/>
    <w:rsid w:val="1F3233D2"/>
    <w:rsid w:val="1F330EF8"/>
    <w:rsid w:val="1F422EEA"/>
    <w:rsid w:val="1F460C2C"/>
    <w:rsid w:val="1F4B71D4"/>
    <w:rsid w:val="1F50324F"/>
    <w:rsid w:val="1F52137F"/>
    <w:rsid w:val="1F5275D0"/>
    <w:rsid w:val="1F552C1D"/>
    <w:rsid w:val="1F590526"/>
    <w:rsid w:val="1F59095F"/>
    <w:rsid w:val="1F592C68"/>
    <w:rsid w:val="1F615A66"/>
    <w:rsid w:val="1F62028D"/>
    <w:rsid w:val="1F6D61B8"/>
    <w:rsid w:val="1F6F0182"/>
    <w:rsid w:val="1F72557D"/>
    <w:rsid w:val="1F75506D"/>
    <w:rsid w:val="1F784B5D"/>
    <w:rsid w:val="1F7C289F"/>
    <w:rsid w:val="1F7E7D75"/>
    <w:rsid w:val="1F8359DC"/>
    <w:rsid w:val="1F8B4890"/>
    <w:rsid w:val="1F942A5B"/>
    <w:rsid w:val="1F95570F"/>
    <w:rsid w:val="1F9574BD"/>
    <w:rsid w:val="1F965CF6"/>
    <w:rsid w:val="1FA15E62"/>
    <w:rsid w:val="1FA3607E"/>
    <w:rsid w:val="1FAD0CAB"/>
    <w:rsid w:val="1FB57B5F"/>
    <w:rsid w:val="1FBC0EEE"/>
    <w:rsid w:val="1FBC7140"/>
    <w:rsid w:val="1FBE07C2"/>
    <w:rsid w:val="1FC102B2"/>
    <w:rsid w:val="1FC13DE7"/>
    <w:rsid w:val="1FC57DA2"/>
    <w:rsid w:val="1FCF7439"/>
    <w:rsid w:val="1FD44489"/>
    <w:rsid w:val="1FD55B0C"/>
    <w:rsid w:val="1FD71884"/>
    <w:rsid w:val="1FDC564F"/>
    <w:rsid w:val="1FDE2C12"/>
    <w:rsid w:val="1FE30229"/>
    <w:rsid w:val="1FE30DAA"/>
    <w:rsid w:val="1FE741BD"/>
    <w:rsid w:val="1FE81D54"/>
    <w:rsid w:val="1FE83A91"/>
    <w:rsid w:val="1FE8712A"/>
    <w:rsid w:val="1FEA15B7"/>
    <w:rsid w:val="1FEC17D3"/>
    <w:rsid w:val="1FEF4E1F"/>
    <w:rsid w:val="1FF266BE"/>
    <w:rsid w:val="1FF93EF0"/>
    <w:rsid w:val="1FFB37C4"/>
    <w:rsid w:val="20014B53"/>
    <w:rsid w:val="20016901"/>
    <w:rsid w:val="20032679"/>
    <w:rsid w:val="20054643"/>
    <w:rsid w:val="200B777F"/>
    <w:rsid w:val="200F101E"/>
    <w:rsid w:val="20106833"/>
    <w:rsid w:val="20140D2A"/>
    <w:rsid w:val="201605FE"/>
    <w:rsid w:val="20166850"/>
    <w:rsid w:val="201B3E66"/>
    <w:rsid w:val="201E3957"/>
    <w:rsid w:val="201E5705"/>
    <w:rsid w:val="201E74B3"/>
    <w:rsid w:val="20256A93"/>
    <w:rsid w:val="20257BEE"/>
    <w:rsid w:val="20270A5D"/>
    <w:rsid w:val="2027280B"/>
    <w:rsid w:val="20303A37"/>
    <w:rsid w:val="203561B5"/>
    <w:rsid w:val="20362A4E"/>
    <w:rsid w:val="20427645"/>
    <w:rsid w:val="204C2272"/>
    <w:rsid w:val="20542ED4"/>
    <w:rsid w:val="205500A2"/>
    <w:rsid w:val="20574252"/>
    <w:rsid w:val="205B24B5"/>
    <w:rsid w:val="205B7226"/>
    <w:rsid w:val="206F7D0E"/>
    <w:rsid w:val="20717F2A"/>
    <w:rsid w:val="20735A50"/>
    <w:rsid w:val="20745325"/>
    <w:rsid w:val="207672EF"/>
    <w:rsid w:val="20784E15"/>
    <w:rsid w:val="207B4905"/>
    <w:rsid w:val="207D242B"/>
    <w:rsid w:val="20887022"/>
    <w:rsid w:val="209377B8"/>
    <w:rsid w:val="209B4FA7"/>
    <w:rsid w:val="209B533C"/>
    <w:rsid w:val="20A35C0A"/>
    <w:rsid w:val="20A420AE"/>
    <w:rsid w:val="20A538E9"/>
    <w:rsid w:val="20AA6F98"/>
    <w:rsid w:val="20AC4ABE"/>
    <w:rsid w:val="20AE1A8D"/>
    <w:rsid w:val="20B16579"/>
    <w:rsid w:val="20B64383"/>
    <w:rsid w:val="20B971DB"/>
    <w:rsid w:val="20BA367F"/>
    <w:rsid w:val="20BD6CCC"/>
    <w:rsid w:val="20BF728C"/>
    <w:rsid w:val="20C148EC"/>
    <w:rsid w:val="20C31E08"/>
    <w:rsid w:val="20C90CD6"/>
    <w:rsid w:val="20C91B14"/>
    <w:rsid w:val="20C938C2"/>
    <w:rsid w:val="20CE56C6"/>
    <w:rsid w:val="20D44015"/>
    <w:rsid w:val="20D504B9"/>
    <w:rsid w:val="20D64231"/>
    <w:rsid w:val="20DA5ACF"/>
    <w:rsid w:val="20DD111C"/>
    <w:rsid w:val="20E34258"/>
    <w:rsid w:val="20E406FC"/>
    <w:rsid w:val="20E40C94"/>
    <w:rsid w:val="20E56666"/>
    <w:rsid w:val="20E71F9A"/>
    <w:rsid w:val="20EA55E7"/>
    <w:rsid w:val="20ED0040"/>
    <w:rsid w:val="20F3093F"/>
    <w:rsid w:val="20F621DE"/>
    <w:rsid w:val="20FA7F20"/>
    <w:rsid w:val="20FB5A46"/>
    <w:rsid w:val="20FD2D5C"/>
    <w:rsid w:val="20FF72E4"/>
    <w:rsid w:val="21090163"/>
    <w:rsid w:val="2110329F"/>
    <w:rsid w:val="21110DC5"/>
    <w:rsid w:val="211D5012"/>
    <w:rsid w:val="211D59BC"/>
    <w:rsid w:val="211F1734"/>
    <w:rsid w:val="211F7986"/>
    <w:rsid w:val="21260D15"/>
    <w:rsid w:val="212A1E87"/>
    <w:rsid w:val="212B00D9"/>
    <w:rsid w:val="21303941"/>
    <w:rsid w:val="213A656E"/>
    <w:rsid w:val="213B5E42"/>
    <w:rsid w:val="213C3006"/>
    <w:rsid w:val="213E78BF"/>
    <w:rsid w:val="21425423"/>
    <w:rsid w:val="21442F49"/>
    <w:rsid w:val="21472A39"/>
    <w:rsid w:val="214C5406"/>
    <w:rsid w:val="214D6B5B"/>
    <w:rsid w:val="215154DC"/>
    <w:rsid w:val="21555156"/>
    <w:rsid w:val="215A276C"/>
    <w:rsid w:val="21613AFB"/>
    <w:rsid w:val="216566E5"/>
    <w:rsid w:val="216830DB"/>
    <w:rsid w:val="21690C01"/>
    <w:rsid w:val="217355DC"/>
    <w:rsid w:val="21747CD2"/>
    <w:rsid w:val="217C0935"/>
    <w:rsid w:val="217D1886"/>
    <w:rsid w:val="217D645B"/>
    <w:rsid w:val="218E0668"/>
    <w:rsid w:val="21902632"/>
    <w:rsid w:val="21920D12"/>
    <w:rsid w:val="219263AA"/>
    <w:rsid w:val="219F0AC7"/>
    <w:rsid w:val="21A165ED"/>
    <w:rsid w:val="21A25EC1"/>
    <w:rsid w:val="21A659B2"/>
    <w:rsid w:val="21A67760"/>
    <w:rsid w:val="21AA36F4"/>
    <w:rsid w:val="21B300CF"/>
    <w:rsid w:val="21B31E7D"/>
    <w:rsid w:val="21B4438C"/>
    <w:rsid w:val="21B61CC7"/>
    <w:rsid w:val="21BA320B"/>
    <w:rsid w:val="21BB2303"/>
    <w:rsid w:val="21BF0821"/>
    <w:rsid w:val="21BF4CC5"/>
    <w:rsid w:val="21C10A3D"/>
    <w:rsid w:val="21C260D3"/>
    <w:rsid w:val="21C30312"/>
    <w:rsid w:val="21C61BB0"/>
    <w:rsid w:val="21CB3F90"/>
    <w:rsid w:val="21D21292"/>
    <w:rsid w:val="21D4251F"/>
    <w:rsid w:val="21D97B35"/>
    <w:rsid w:val="21DC13D3"/>
    <w:rsid w:val="21DC5877"/>
    <w:rsid w:val="21DE339D"/>
    <w:rsid w:val="21E8421C"/>
    <w:rsid w:val="21E85FCA"/>
    <w:rsid w:val="21EA7F94"/>
    <w:rsid w:val="21EB5ABA"/>
    <w:rsid w:val="21ED538F"/>
    <w:rsid w:val="21F11323"/>
    <w:rsid w:val="21F42BC1"/>
    <w:rsid w:val="21F7445F"/>
    <w:rsid w:val="21F93D33"/>
    <w:rsid w:val="21FE134A"/>
    <w:rsid w:val="21FE57EE"/>
    <w:rsid w:val="22031056"/>
    <w:rsid w:val="2208666C"/>
    <w:rsid w:val="220D77DF"/>
    <w:rsid w:val="220F17A9"/>
    <w:rsid w:val="22121299"/>
    <w:rsid w:val="221A1EFC"/>
    <w:rsid w:val="221B63A0"/>
    <w:rsid w:val="221E19EC"/>
    <w:rsid w:val="221E6AC9"/>
    <w:rsid w:val="22211F08"/>
    <w:rsid w:val="22266AF2"/>
    <w:rsid w:val="22295E3B"/>
    <w:rsid w:val="222A326B"/>
    <w:rsid w:val="222D60D3"/>
    <w:rsid w:val="222F1E4B"/>
    <w:rsid w:val="222F3BF9"/>
    <w:rsid w:val="22433200"/>
    <w:rsid w:val="22465699"/>
    <w:rsid w:val="224867F4"/>
    <w:rsid w:val="22486A69"/>
    <w:rsid w:val="224A458F"/>
    <w:rsid w:val="224F1BA5"/>
    <w:rsid w:val="225418B2"/>
    <w:rsid w:val="22543660"/>
    <w:rsid w:val="22576CAC"/>
    <w:rsid w:val="225B679C"/>
    <w:rsid w:val="2267320D"/>
    <w:rsid w:val="226F3FF6"/>
    <w:rsid w:val="22821F7B"/>
    <w:rsid w:val="22851A6B"/>
    <w:rsid w:val="228C4BA7"/>
    <w:rsid w:val="228D6B72"/>
    <w:rsid w:val="228F28EA"/>
    <w:rsid w:val="228F4698"/>
    <w:rsid w:val="229879F0"/>
    <w:rsid w:val="229D5007"/>
    <w:rsid w:val="22A068A5"/>
    <w:rsid w:val="22A719E1"/>
    <w:rsid w:val="22AC2486"/>
    <w:rsid w:val="22B20386"/>
    <w:rsid w:val="22BB36DF"/>
    <w:rsid w:val="22C02AA3"/>
    <w:rsid w:val="22C73E32"/>
    <w:rsid w:val="22C81958"/>
    <w:rsid w:val="22C97BAA"/>
    <w:rsid w:val="22CC769A"/>
    <w:rsid w:val="22D718B2"/>
    <w:rsid w:val="22E449E3"/>
    <w:rsid w:val="22E569AE"/>
    <w:rsid w:val="22F83FEB"/>
    <w:rsid w:val="22F95FB5"/>
    <w:rsid w:val="22FD5AA5"/>
    <w:rsid w:val="22FD7D58"/>
    <w:rsid w:val="23072480"/>
    <w:rsid w:val="2316733B"/>
    <w:rsid w:val="231A0405"/>
    <w:rsid w:val="23201794"/>
    <w:rsid w:val="23203542"/>
    <w:rsid w:val="232079E6"/>
    <w:rsid w:val="23214815"/>
    <w:rsid w:val="232C1EE7"/>
    <w:rsid w:val="232F19D7"/>
    <w:rsid w:val="233139A1"/>
    <w:rsid w:val="23353491"/>
    <w:rsid w:val="23356FED"/>
    <w:rsid w:val="23386ADD"/>
    <w:rsid w:val="233B2C31"/>
    <w:rsid w:val="233D0598"/>
    <w:rsid w:val="233D40F4"/>
    <w:rsid w:val="234611FA"/>
    <w:rsid w:val="234B6EA1"/>
    <w:rsid w:val="234C2589"/>
    <w:rsid w:val="234F5851"/>
    <w:rsid w:val="235356C5"/>
    <w:rsid w:val="235F22BC"/>
    <w:rsid w:val="236553F8"/>
    <w:rsid w:val="2366189C"/>
    <w:rsid w:val="2366364A"/>
    <w:rsid w:val="23696C97"/>
    <w:rsid w:val="236B0C61"/>
    <w:rsid w:val="236B6EB3"/>
    <w:rsid w:val="236C49D9"/>
    <w:rsid w:val="237044C9"/>
    <w:rsid w:val="237F295E"/>
    <w:rsid w:val="23841D23"/>
    <w:rsid w:val="23843AD1"/>
    <w:rsid w:val="23865A9B"/>
    <w:rsid w:val="23871813"/>
    <w:rsid w:val="238735C1"/>
    <w:rsid w:val="238B1303"/>
    <w:rsid w:val="238E2FC6"/>
    <w:rsid w:val="239857CE"/>
    <w:rsid w:val="239A1546"/>
    <w:rsid w:val="239A7798"/>
    <w:rsid w:val="239C2EA4"/>
    <w:rsid w:val="239C706C"/>
    <w:rsid w:val="239C7532"/>
    <w:rsid w:val="239F6B5C"/>
    <w:rsid w:val="23A05A18"/>
    <w:rsid w:val="23A44173"/>
    <w:rsid w:val="23AE08F1"/>
    <w:rsid w:val="23AE0B4E"/>
    <w:rsid w:val="23B02B18"/>
    <w:rsid w:val="23B229FE"/>
    <w:rsid w:val="23B819CC"/>
    <w:rsid w:val="23BC14BC"/>
    <w:rsid w:val="23BF2D5B"/>
    <w:rsid w:val="23C10881"/>
    <w:rsid w:val="23C95987"/>
    <w:rsid w:val="23CB16FF"/>
    <w:rsid w:val="23CD191B"/>
    <w:rsid w:val="23CD4A35"/>
    <w:rsid w:val="23CE2F9E"/>
    <w:rsid w:val="23D031BA"/>
    <w:rsid w:val="23D22A8E"/>
    <w:rsid w:val="23DE058B"/>
    <w:rsid w:val="23DE58D7"/>
    <w:rsid w:val="23E6478B"/>
    <w:rsid w:val="23EB7FF4"/>
    <w:rsid w:val="23F073B8"/>
    <w:rsid w:val="23F8626D"/>
    <w:rsid w:val="23F92711"/>
    <w:rsid w:val="23FE1AD5"/>
    <w:rsid w:val="240370EB"/>
    <w:rsid w:val="24042E63"/>
    <w:rsid w:val="2409047A"/>
    <w:rsid w:val="241906BD"/>
    <w:rsid w:val="241A44CC"/>
    <w:rsid w:val="24284DA4"/>
    <w:rsid w:val="242A0550"/>
    <w:rsid w:val="2432352D"/>
    <w:rsid w:val="24390D5F"/>
    <w:rsid w:val="243B4AD7"/>
    <w:rsid w:val="243C43AB"/>
    <w:rsid w:val="243E6375"/>
    <w:rsid w:val="244119C2"/>
    <w:rsid w:val="2443573A"/>
    <w:rsid w:val="244734E8"/>
    <w:rsid w:val="244A4D1A"/>
    <w:rsid w:val="245142FB"/>
    <w:rsid w:val="24547947"/>
    <w:rsid w:val="24572F93"/>
    <w:rsid w:val="245A2A83"/>
    <w:rsid w:val="245B0CD5"/>
    <w:rsid w:val="245D6D4B"/>
    <w:rsid w:val="245F1130"/>
    <w:rsid w:val="246062EC"/>
    <w:rsid w:val="24613E12"/>
    <w:rsid w:val="24653902"/>
    <w:rsid w:val="246B6A3F"/>
    <w:rsid w:val="246F4781"/>
    <w:rsid w:val="246F652F"/>
    <w:rsid w:val="247104F9"/>
    <w:rsid w:val="24715D06"/>
    <w:rsid w:val="2479115B"/>
    <w:rsid w:val="247C0C4C"/>
    <w:rsid w:val="24816262"/>
    <w:rsid w:val="24833D88"/>
    <w:rsid w:val="248A15BB"/>
    <w:rsid w:val="248C70E1"/>
    <w:rsid w:val="24961512"/>
    <w:rsid w:val="24A0493A"/>
    <w:rsid w:val="24AA201D"/>
    <w:rsid w:val="24B86128"/>
    <w:rsid w:val="24BD373E"/>
    <w:rsid w:val="24C04FDC"/>
    <w:rsid w:val="24C258E1"/>
    <w:rsid w:val="24C4205E"/>
    <w:rsid w:val="24C50845"/>
    <w:rsid w:val="24CE594B"/>
    <w:rsid w:val="24CF6FCD"/>
    <w:rsid w:val="24D12D46"/>
    <w:rsid w:val="24DD5B8E"/>
    <w:rsid w:val="24E16D01"/>
    <w:rsid w:val="24EA02AB"/>
    <w:rsid w:val="24EE1B49"/>
    <w:rsid w:val="24EE7D9B"/>
    <w:rsid w:val="24F00EBB"/>
    <w:rsid w:val="24F609FE"/>
    <w:rsid w:val="24F67321"/>
    <w:rsid w:val="24FB7DC2"/>
    <w:rsid w:val="24FE78B3"/>
    <w:rsid w:val="25002FBA"/>
    <w:rsid w:val="25072C0B"/>
    <w:rsid w:val="25104604"/>
    <w:rsid w:val="25145328"/>
    <w:rsid w:val="251946D9"/>
    <w:rsid w:val="251C4037"/>
    <w:rsid w:val="251D242F"/>
    <w:rsid w:val="251D41DD"/>
    <w:rsid w:val="251E0098"/>
    <w:rsid w:val="251F7F55"/>
    <w:rsid w:val="25203CCD"/>
    <w:rsid w:val="25207829"/>
    <w:rsid w:val="25237319"/>
    <w:rsid w:val="252B4B4C"/>
    <w:rsid w:val="252C2672"/>
    <w:rsid w:val="25302162"/>
    <w:rsid w:val="25331C52"/>
    <w:rsid w:val="253357AE"/>
    <w:rsid w:val="2533596E"/>
    <w:rsid w:val="25381017"/>
    <w:rsid w:val="253E7682"/>
    <w:rsid w:val="25420A01"/>
    <w:rsid w:val="25461985"/>
    <w:rsid w:val="2549505A"/>
    <w:rsid w:val="254B70B5"/>
    <w:rsid w:val="254E0526"/>
    <w:rsid w:val="254E4396"/>
    <w:rsid w:val="25513E86"/>
    <w:rsid w:val="255319AC"/>
    <w:rsid w:val="25585215"/>
    <w:rsid w:val="255A0F8D"/>
    <w:rsid w:val="255D282B"/>
    <w:rsid w:val="255F65A3"/>
    <w:rsid w:val="2560231B"/>
    <w:rsid w:val="2564005E"/>
    <w:rsid w:val="256736AA"/>
    <w:rsid w:val="256A5012"/>
    <w:rsid w:val="256B2E88"/>
    <w:rsid w:val="256E2C8A"/>
    <w:rsid w:val="25740A1A"/>
    <w:rsid w:val="25757B75"/>
    <w:rsid w:val="257F27A2"/>
    <w:rsid w:val="257F6C45"/>
    <w:rsid w:val="25822292"/>
    <w:rsid w:val="258778A8"/>
    <w:rsid w:val="25893A50"/>
    <w:rsid w:val="258C1362"/>
    <w:rsid w:val="258C3110"/>
    <w:rsid w:val="25973F8F"/>
    <w:rsid w:val="259B3353"/>
    <w:rsid w:val="25A14E0E"/>
    <w:rsid w:val="25A466AC"/>
    <w:rsid w:val="25A71CF8"/>
    <w:rsid w:val="25AC5561"/>
    <w:rsid w:val="25B14925"/>
    <w:rsid w:val="25B3069D"/>
    <w:rsid w:val="25B74631"/>
    <w:rsid w:val="25BD776E"/>
    <w:rsid w:val="25C12DBA"/>
    <w:rsid w:val="25C428AA"/>
    <w:rsid w:val="25C805EC"/>
    <w:rsid w:val="25C91C6F"/>
    <w:rsid w:val="25CA3B84"/>
    <w:rsid w:val="25CB3C39"/>
    <w:rsid w:val="25D02FFD"/>
    <w:rsid w:val="25D23219"/>
    <w:rsid w:val="25D6438C"/>
    <w:rsid w:val="25DA0320"/>
    <w:rsid w:val="25DA20CE"/>
    <w:rsid w:val="25DD3DEF"/>
    <w:rsid w:val="25DE1FA0"/>
    <w:rsid w:val="25DF5936"/>
    <w:rsid w:val="25DF76E4"/>
    <w:rsid w:val="25E940BF"/>
    <w:rsid w:val="25F211C5"/>
    <w:rsid w:val="25F52A64"/>
    <w:rsid w:val="25F5515A"/>
    <w:rsid w:val="25F712C5"/>
    <w:rsid w:val="25F767DC"/>
    <w:rsid w:val="26025181"/>
    <w:rsid w:val="260B672B"/>
    <w:rsid w:val="260D5FFF"/>
    <w:rsid w:val="26123BC0"/>
    <w:rsid w:val="2613702C"/>
    <w:rsid w:val="2615324E"/>
    <w:rsid w:val="261A071C"/>
    <w:rsid w:val="26215F4F"/>
    <w:rsid w:val="26307F40"/>
    <w:rsid w:val="26345C82"/>
    <w:rsid w:val="264A7253"/>
    <w:rsid w:val="264B4D7A"/>
    <w:rsid w:val="264D28A0"/>
    <w:rsid w:val="264D54B8"/>
    <w:rsid w:val="26502390"/>
    <w:rsid w:val="2650413E"/>
    <w:rsid w:val="265359DC"/>
    <w:rsid w:val="265754CC"/>
    <w:rsid w:val="265E685B"/>
    <w:rsid w:val="26605096"/>
    <w:rsid w:val="26655E3B"/>
    <w:rsid w:val="267E6EFD"/>
    <w:rsid w:val="268D0EEE"/>
    <w:rsid w:val="268F4C66"/>
    <w:rsid w:val="26906C30"/>
    <w:rsid w:val="26962499"/>
    <w:rsid w:val="26995AE5"/>
    <w:rsid w:val="26997893"/>
    <w:rsid w:val="269E30FB"/>
    <w:rsid w:val="269F0C21"/>
    <w:rsid w:val="26A5092E"/>
    <w:rsid w:val="26A60202"/>
    <w:rsid w:val="26A76454"/>
    <w:rsid w:val="26A85D28"/>
    <w:rsid w:val="26AD333E"/>
    <w:rsid w:val="26B119D0"/>
    <w:rsid w:val="26B3151D"/>
    <w:rsid w:val="26B74411"/>
    <w:rsid w:val="26BB5A5B"/>
    <w:rsid w:val="26BC17D3"/>
    <w:rsid w:val="26BE379D"/>
    <w:rsid w:val="26C568DA"/>
    <w:rsid w:val="26CA3EF0"/>
    <w:rsid w:val="26D11723"/>
    <w:rsid w:val="26D1527F"/>
    <w:rsid w:val="26D227E7"/>
    <w:rsid w:val="26D44D6F"/>
    <w:rsid w:val="26D94133"/>
    <w:rsid w:val="26DB434F"/>
    <w:rsid w:val="26DB60FD"/>
    <w:rsid w:val="26DB7EAB"/>
    <w:rsid w:val="26DF395B"/>
    <w:rsid w:val="26E03714"/>
    <w:rsid w:val="26EA27E4"/>
    <w:rsid w:val="26F176CF"/>
    <w:rsid w:val="26F251F5"/>
    <w:rsid w:val="26F62F37"/>
    <w:rsid w:val="26FB67A0"/>
    <w:rsid w:val="27042C3A"/>
    <w:rsid w:val="27076EF2"/>
    <w:rsid w:val="270E2A3A"/>
    <w:rsid w:val="270F7B55"/>
    <w:rsid w:val="2714160F"/>
    <w:rsid w:val="27147861"/>
    <w:rsid w:val="271565FB"/>
    <w:rsid w:val="2715674C"/>
    <w:rsid w:val="27182EAE"/>
    <w:rsid w:val="27206206"/>
    <w:rsid w:val="272A0E33"/>
    <w:rsid w:val="27321A96"/>
    <w:rsid w:val="27363334"/>
    <w:rsid w:val="273677D8"/>
    <w:rsid w:val="27383645"/>
    <w:rsid w:val="273B1BFC"/>
    <w:rsid w:val="274041B2"/>
    <w:rsid w:val="274D3E6B"/>
    <w:rsid w:val="274E68CF"/>
    <w:rsid w:val="27541A0C"/>
    <w:rsid w:val="27547C5E"/>
    <w:rsid w:val="27573A2D"/>
    <w:rsid w:val="275814FC"/>
    <w:rsid w:val="275B2D9A"/>
    <w:rsid w:val="275C2DD3"/>
    <w:rsid w:val="275F557D"/>
    <w:rsid w:val="27602AA7"/>
    <w:rsid w:val="276500BD"/>
    <w:rsid w:val="276A122F"/>
    <w:rsid w:val="276C5CB3"/>
    <w:rsid w:val="276E6F72"/>
    <w:rsid w:val="27743E5C"/>
    <w:rsid w:val="2778394C"/>
    <w:rsid w:val="27842F65"/>
    <w:rsid w:val="27871DE1"/>
    <w:rsid w:val="27895B59"/>
    <w:rsid w:val="27897907"/>
    <w:rsid w:val="278C389C"/>
    <w:rsid w:val="278E3170"/>
    <w:rsid w:val="2790513A"/>
    <w:rsid w:val="27962024"/>
    <w:rsid w:val="279A7D67"/>
    <w:rsid w:val="279F3ABE"/>
    <w:rsid w:val="27AC1848"/>
    <w:rsid w:val="27AE736E"/>
    <w:rsid w:val="27B01338"/>
    <w:rsid w:val="27B32BD6"/>
    <w:rsid w:val="27B5694E"/>
    <w:rsid w:val="27B70919"/>
    <w:rsid w:val="27BF3329"/>
    <w:rsid w:val="27C22E19"/>
    <w:rsid w:val="27C748D4"/>
    <w:rsid w:val="27D112AE"/>
    <w:rsid w:val="27D668C5"/>
    <w:rsid w:val="27D843EB"/>
    <w:rsid w:val="27E56B08"/>
    <w:rsid w:val="27E965F8"/>
    <w:rsid w:val="27EE1E60"/>
    <w:rsid w:val="27F07987"/>
    <w:rsid w:val="27F154AD"/>
    <w:rsid w:val="27F751B9"/>
    <w:rsid w:val="27F84A8D"/>
    <w:rsid w:val="27F8683B"/>
    <w:rsid w:val="27FD20A3"/>
    <w:rsid w:val="280276BA"/>
    <w:rsid w:val="28081174"/>
    <w:rsid w:val="28094EEC"/>
    <w:rsid w:val="28137B19"/>
    <w:rsid w:val="28173165"/>
    <w:rsid w:val="28212236"/>
    <w:rsid w:val="28221B0A"/>
    <w:rsid w:val="282D6EFC"/>
    <w:rsid w:val="282D77DA"/>
    <w:rsid w:val="283261F1"/>
    <w:rsid w:val="283341FE"/>
    <w:rsid w:val="283852AB"/>
    <w:rsid w:val="283A32F8"/>
    <w:rsid w:val="283C2BCC"/>
    <w:rsid w:val="283D6944"/>
    <w:rsid w:val="283D69F1"/>
    <w:rsid w:val="28460A77"/>
    <w:rsid w:val="284D302B"/>
    <w:rsid w:val="284D4DD9"/>
    <w:rsid w:val="284F6DA3"/>
    <w:rsid w:val="28520641"/>
    <w:rsid w:val="2858552C"/>
    <w:rsid w:val="28595196"/>
    <w:rsid w:val="285A12A4"/>
    <w:rsid w:val="285C14C0"/>
    <w:rsid w:val="285F4B0C"/>
    <w:rsid w:val="2867652F"/>
    <w:rsid w:val="286955CC"/>
    <w:rsid w:val="286D0FD7"/>
    <w:rsid w:val="287405B8"/>
    <w:rsid w:val="287814A2"/>
    <w:rsid w:val="287C121A"/>
    <w:rsid w:val="287E1436"/>
    <w:rsid w:val="28802805"/>
    <w:rsid w:val="288307FB"/>
    <w:rsid w:val="2885273C"/>
    <w:rsid w:val="288F719F"/>
    <w:rsid w:val="28920A3E"/>
    <w:rsid w:val="28976054"/>
    <w:rsid w:val="2899001E"/>
    <w:rsid w:val="289B1FE8"/>
    <w:rsid w:val="28A30E9D"/>
    <w:rsid w:val="28A8200F"/>
    <w:rsid w:val="28A864B3"/>
    <w:rsid w:val="28B409B4"/>
    <w:rsid w:val="28B906C0"/>
    <w:rsid w:val="28BC1F5F"/>
    <w:rsid w:val="28BE1833"/>
    <w:rsid w:val="28BE7A85"/>
    <w:rsid w:val="28C055AB"/>
    <w:rsid w:val="28C739A6"/>
    <w:rsid w:val="28C80903"/>
    <w:rsid w:val="28CB21A2"/>
    <w:rsid w:val="28CC03F4"/>
    <w:rsid w:val="28CF3A40"/>
    <w:rsid w:val="28D70B46"/>
    <w:rsid w:val="28D76D98"/>
    <w:rsid w:val="28DB0637"/>
    <w:rsid w:val="28E514B5"/>
    <w:rsid w:val="28E82D54"/>
    <w:rsid w:val="28EC2844"/>
    <w:rsid w:val="28F60FCD"/>
    <w:rsid w:val="28F6721F"/>
    <w:rsid w:val="28F9286B"/>
    <w:rsid w:val="28F9550D"/>
    <w:rsid w:val="2900009D"/>
    <w:rsid w:val="29017971"/>
    <w:rsid w:val="29065712"/>
    <w:rsid w:val="29086F52"/>
    <w:rsid w:val="29096A1C"/>
    <w:rsid w:val="290F60EE"/>
    <w:rsid w:val="291160AF"/>
    <w:rsid w:val="29157C90"/>
    <w:rsid w:val="29195CD1"/>
    <w:rsid w:val="2920429C"/>
    <w:rsid w:val="29253660"/>
    <w:rsid w:val="292A511A"/>
    <w:rsid w:val="292B760A"/>
    <w:rsid w:val="292D409B"/>
    <w:rsid w:val="292D69B8"/>
    <w:rsid w:val="29310257"/>
    <w:rsid w:val="29337116"/>
    <w:rsid w:val="29353D69"/>
    <w:rsid w:val="293E2974"/>
    <w:rsid w:val="294E705B"/>
    <w:rsid w:val="295B3526"/>
    <w:rsid w:val="296248B4"/>
    <w:rsid w:val="2967011C"/>
    <w:rsid w:val="29673C78"/>
    <w:rsid w:val="296A19BB"/>
    <w:rsid w:val="296C74E1"/>
    <w:rsid w:val="296F5223"/>
    <w:rsid w:val="297B5976"/>
    <w:rsid w:val="297D524A"/>
    <w:rsid w:val="297E09A5"/>
    <w:rsid w:val="29954C89"/>
    <w:rsid w:val="29A0718A"/>
    <w:rsid w:val="29A50C45"/>
    <w:rsid w:val="29A924E3"/>
    <w:rsid w:val="29B42C36"/>
    <w:rsid w:val="29B43D6F"/>
    <w:rsid w:val="29B6075C"/>
    <w:rsid w:val="29B844D4"/>
    <w:rsid w:val="29BB5D72"/>
    <w:rsid w:val="29C25353"/>
    <w:rsid w:val="29C410CB"/>
    <w:rsid w:val="29C63095"/>
    <w:rsid w:val="29C837D8"/>
    <w:rsid w:val="29CA4207"/>
    <w:rsid w:val="29CB06AB"/>
    <w:rsid w:val="29D11A3A"/>
    <w:rsid w:val="29D15596"/>
    <w:rsid w:val="29D26AAF"/>
    <w:rsid w:val="29D62BAC"/>
    <w:rsid w:val="29D84B76"/>
    <w:rsid w:val="29DA08EE"/>
    <w:rsid w:val="29DB4666"/>
    <w:rsid w:val="29E76B67"/>
    <w:rsid w:val="29E90B31"/>
    <w:rsid w:val="29E928DF"/>
    <w:rsid w:val="29EA6657"/>
    <w:rsid w:val="29EC0622"/>
    <w:rsid w:val="29EC23D0"/>
    <w:rsid w:val="29EE30E2"/>
    <w:rsid w:val="29F01EC0"/>
    <w:rsid w:val="29F15C38"/>
    <w:rsid w:val="29F3375E"/>
    <w:rsid w:val="29F51284"/>
    <w:rsid w:val="29F80D74"/>
    <w:rsid w:val="29FA0F90"/>
    <w:rsid w:val="29FD638B"/>
    <w:rsid w:val="29FF7106"/>
    <w:rsid w:val="2A077209"/>
    <w:rsid w:val="2A0C4820"/>
    <w:rsid w:val="2A0E2346"/>
    <w:rsid w:val="2A0F00F5"/>
    <w:rsid w:val="2A102562"/>
    <w:rsid w:val="2A1E2046"/>
    <w:rsid w:val="2A233FCE"/>
    <w:rsid w:val="2A24600D"/>
    <w:rsid w:val="2A247DBB"/>
    <w:rsid w:val="2A322633"/>
    <w:rsid w:val="2A353D77"/>
    <w:rsid w:val="2A355B25"/>
    <w:rsid w:val="2A3D7746"/>
    <w:rsid w:val="2A467D32"/>
    <w:rsid w:val="2A4931EC"/>
    <w:rsid w:val="2A4C2E6E"/>
    <w:rsid w:val="2A4D10C0"/>
    <w:rsid w:val="2A510485"/>
    <w:rsid w:val="2A570191"/>
    <w:rsid w:val="2A5C1303"/>
    <w:rsid w:val="2A5F1650"/>
    <w:rsid w:val="2A61691A"/>
    <w:rsid w:val="2A622692"/>
    <w:rsid w:val="2A62494D"/>
    <w:rsid w:val="2A663F30"/>
    <w:rsid w:val="2A6E1037"/>
    <w:rsid w:val="2A6E7289"/>
    <w:rsid w:val="2A703001"/>
    <w:rsid w:val="2A73489F"/>
    <w:rsid w:val="2A7412DF"/>
    <w:rsid w:val="2A77613D"/>
    <w:rsid w:val="2A784C8A"/>
    <w:rsid w:val="2A7D127A"/>
    <w:rsid w:val="2A7E571E"/>
    <w:rsid w:val="2A810D6A"/>
    <w:rsid w:val="2A845808"/>
    <w:rsid w:val="2A875062"/>
    <w:rsid w:val="2A8B1BE9"/>
    <w:rsid w:val="2A8D5961"/>
    <w:rsid w:val="2A9A1E2C"/>
    <w:rsid w:val="2A9D2A82"/>
    <w:rsid w:val="2A9F7442"/>
    <w:rsid w:val="2AA333D6"/>
    <w:rsid w:val="2AA66A22"/>
    <w:rsid w:val="2AA902C1"/>
    <w:rsid w:val="2AAD6003"/>
    <w:rsid w:val="2AB22388"/>
    <w:rsid w:val="2AB52686"/>
    <w:rsid w:val="2AB63109"/>
    <w:rsid w:val="2ABA427C"/>
    <w:rsid w:val="2ABB4A15"/>
    <w:rsid w:val="2ABC6246"/>
    <w:rsid w:val="2ABF13A7"/>
    <w:rsid w:val="2AC46EA9"/>
    <w:rsid w:val="2ACD0453"/>
    <w:rsid w:val="2AD215C5"/>
    <w:rsid w:val="2AD21972"/>
    <w:rsid w:val="2AD417E1"/>
    <w:rsid w:val="2AD4533E"/>
    <w:rsid w:val="2ADA66CC"/>
    <w:rsid w:val="2ADB6668"/>
    <w:rsid w:val="2AE07893"/>
    <w:rsid w:val="2AE61515"/>
    <w:rsid w:val="2AED63FF"/>
    <w:rsid w:val="2AEF03C9"/>
    <w:rsid w:val="2AEF5E50"/>
    <w:rsid w:val="2AF27EBA"/>
    <w:rsid w:val="2AFC2AE6"/>
    <w:rsid w:val="2AFF1E1F"/>
    <w:rsid w:val="2B004385"/>
    <w:rsid w:val="2B02634F"/>
    <w:rsid w:val="2B035C23"/>
    <w:rsid w:val="2B054FFC"/>
    <w:rsid w:val="2B0674C1"/>
    <w:rsid w:val="2B08148B"/>
    <w:rsid w:val="2B0A5203"/>
    <w:rsid w:val="2B0C5B64"/>
    <w:rsid w:val="2B12230A"/>
    <w:rsid w:val="2B1C0A93"/>
    <w:rsid w:val="2B1E480B"/>
    <w:rsid w:val="2B2160A9"/>
    <w:rsid w:val="2B287437"/>
    <w:rsid w:val="2B326508"/>
    <w:rsid w:val="2B345DDC"/>
    <w:rsid w:val="2B361B54"/>
    <w:rsid w:val="2B381D70"/>
    <w:rsid w:val="2B3B716B"/>
    <w:rsid w:val="2B4104F9"/>
    <w:rsid w:val="2B45448D"/>
    <w:rsid w:val="2B481888"/>
    <w:rsid w:val="2B4E2D46"/>
    <w:rsid w:val="2B4F2C16"/>
    <w:rsid w:val="2B520958"/>
    <w:rsid w:val="2B566C7A"/>
    <w:rsid w:val="2B597F39"/>
    <w:rsid w:val="2B5C5333"/>
    <w:rsid w:val="2B5F129D"/>
    <w:rsid w:val="2B5F72E9"/>
    <w:rsid w:val="2B621401"/>
    <w:rsid w:val="2B6C7C6C"/>
    <w:rsid w:val="2B6F32B8"/>
    <w:rsid w:val="2B726905"/>
    <w:rsid w:val="2B732DA8"/>
    <w:rsid w:val="2B764647"/>
    <w:rsid w:val="2B7D7783"/>
    <w:rsid w:val="2B847127"/>
    <w:rsid w:val="2B8A1EA0"/>
    <w:rsid w:val="2B8A1FFC"/>
    <w:rsid w:val="2B911481"/>
    <w:rsid w:val="2B93404B"/>
    <w:rsid w:val="2B940F71"/>
    <w:rsid w:val="2B966A97"/>
    <w:rsid w:val="2B9845BD"/>
    <w:rsid w:val="2BA2543C"/>
    <w:rsid w:val="2BA47406"/>
    <w:rsid w:val="2BA95E0A"/>
    <w:rsid w:val="2BAA0794"/>
    <w:rsid w:val="2BB1742D"/>
    <w:rsid w:val="2BB37649"/>
    <w:rsid w:val="2BB92785"/>
    <w:rsid w:val="2BBA09D7"/>
    <w:rsid w:val="2BBD04C8"/>
    <w:rsid w:val="2BBD4024"/>
    <w:rsid w:val="2BC2163A"/>
    <w:rsid w:val="2BC37160"/>
    <w:rsid w:val="2BC5737C"/>
    <w:rsid w:val="2BC76C50"/>
    <w:rsid w:val="2BC8111F"/>
    <w:rsid w:val="2BC843CA"/>
    <w:rsid w:val="2BCA04EF"/>
    <w:rsid w:val="2BCA4992"/>
    <w:rsid w:val="2BD55811"/>
    <w:rsid w:val="2BD61589"/>
    <w:rsid w:val="2BDF21EC"/>
    <w:rsid w:val="2BE05F64"/>
    <w:rsid w:val="2BE47802"/>
    <w:rsid w:val="2BE912BD"/>
    <w:rsid w:val="2BE94E19"/>
    <w:rsid w:val="2BEB37A4"/>
    <w:rsid w:val="2BEF61A7"/>
    <w:rsid w:val="2BEF7F55"/>
    <w:rsid w:val="2BF65788"/>
    <w:rsid w:val="2BF8505C"/>
    <w:rsid w:val="2BFC0D12"/>
    <w:rsid w:val="2BFE70DC"/>
    <w:rsid w:val="2C043A01"/>
    <w:rsid w:val="2C1300E8"/>
    <w:rsid w:val="2C167BD8"/>
    <w:rsid w:val="2C212804"/>
    <w:rsid w:val="2C271DE5"/>
    <w:rsid w:val="2C286CBB"/>
    <w:rsid w:val="2C2C73FB"/>
    <w:rsid w:val="2C2E4F21"/>
    <w:rsid w:val="2C33078A"/>
    <w:rsid w:val="2C35005E"/>
    <w:rsid w:val="2C361D0A"/>
    <w:rsid w:val="2C3A1B18"/>
    <w:rsid w:val="2C3A5674"/>
    <w:rsid w:val="2C4E2ECE"/>
    <w:rsid w:val="2C5524AE"/>
    <w:rsid w:val="2C55425C"/>
    <w:rsid w:val="2C564223"/>
    <w:rsid w:val="2C5A7AC4"/>
    <w:rsid w:val="2C620C30"/>
    <w:rsid w:val="2C6377AD"/>
    <w:rsid w:val="2C6426F1"/>
    <w:rsid w:val="2C683709"/>
    <w:rsid w:val="2C695F59"/>
    <w:rsid w:val="2C6C77F8"/>
    <w:rsid w:val="2C7212B2"/>
    <w:rsid w:val="2C721392"/>
    <w:rsid w:val="2C73081C"/>
    <w:rsid w:val="2C7548FE"/>
    <w:rsid w:val="2C7768C8"/>
    <w:rsid w:val="2C7C1263"/>
    <w:rsid w:val="2C7C7A3B"/>
    <w:rsid w:val="2C8608B9"/>
    <w:rsid w:val="2C8903AA"/>
    <w:rsid w:val="2C8B5ED0"/>
    <w:rsid w:val="2C8C6BBA"/>
    <w:rsid w:val="2C923702"/>
    <w:rsid w:val="2C92725E"/>
    <w:rsid w:val="2C932FD6"/>
    <w:rsid w:val="2C974875"/>
    <w:rsid w:val="2C9A25B7"/>
    <w:rsid w:val="2C9C632F"/>
    <w:rsid w:val="2C9F25CE"/>
    <w:rsid w:val="2CA23219"/>
    <w:rsid w:val="2CA43435"/>
    <w:rsid w:val="2CA75FCB"/>
    <w:rsid w:val="2CAE1BBE"/>
    <w:rsid w:val="2CB01DDA"/>
    <w:rsid w:val="2CB2072E"/>
    <w:rsid w:val="2CC47634"/>
    <w:rsid w:val="2CC80ED2"/>
    <w:rsid w:val="2CCD473A"/>
    <w:rsid w:val="2CD21D51"/>
    <w:rsid w:val="2CD61049"/>
    <w:rsid w:val="2CD812B0"/>
    <w:rsid w:val="2CD86C3B"/>
    <w:rsid w:val="2CDD4252"/>
    <w:rsid w:val="2CDE24A4"/>
    <w:rsid w:val="2CDF446E"/>
    <w:rsid w:val="2CE04CCC"/>
    <w:rsid w:val="2CE101E6"/>
    <w:rsid w:val="2CEF46B1"/>
    <w:rsid w:val="2CF021D7"/>
    <w:rsid w:val="2CF47F19"/>
    <w:rsid w:val="2CF9108B"/>
    <w:rsid w:val="2CFB12A7"/>
    <w:rsid w:val="2CFE66A2"/>
    <w:rsid w:val="2D03015C"/>
    <w:rsid w:val="2D0637A8"/>
    <w:rsid w:val="2D085772"/>
    <w:rsid w:val="2D0D0FDB"/>
    <w:rsid w:val="2D0F4D53"/>
    <w:rsid w:val="2D1063D5"/>
    <w:rsid w:val="2D142369"/>
    <w:rsid w:val="2D144117"/>
    <w:rsid w:val="2D23435A"/>
    <w:rsid w:val="2D297497"/>
    <w:rsid w:val="2D2E0A6A"/>
    <w:rsid w:val="2D327144"/>
    <w:rsid w:val="2D3447B9"/>
    <w:rsid w:val="2D3C541C"/>
    <w:rsid w:val="2D3C5A1F"/>
    <w:rsid w:val="2D4A18E7"/>
    <w:rsid w:val="2D510EC7"/>
    <w:rsid w:val="2D5409B8"/>
    <w:rsid w:val="2D5C161A"/>
    <w:rsid w:val="2D662499"/>
    <w:rsid w:val="2D680954"/>
    <w:rsid w:val="2D6A3D37"/>
    <w:rsid w:val="2D6C5D01"/>
    <w:rsid w:val="2D7352E2"/>
    <w:rsid w:val="2D7428E5"/>
    <w:rsid w:val="2D76092E"/>
    <w:rsid w:val="2D79041E"/>
    <w:rsid w:val="2D80355B"/>
    <w:rsid w:val="2D811081"/>
    <w:rsid w:val="2D8172D3"/>
    <w:rsid w:val="2D856DC3"/>
    <w:rsid w:val="2D880661"/>
    <w:rsid w:val="2D88240F"/>
    <w:rsid w:val="2D8C1F00"/>
    <w:rsid w:val="2D8D3ECA"/>
    <w:rsid w:val="2D8E211C"/>
    <w:rsid w:val="2D917516"/>
    <w:rsid w:val="2D962D7E"/>
    <w:rsid w:val="2D964B2C"/>
    <w:rsid w:val="2D972291"/>
    <w:rsid w:val="2D99286E"/>
    <w:rsid w:val="2DA134D1"/>
    <w:rsid w:val="2DA23164"/>
    <w:rsid w:val="2DA37249"/>
    <w:rsid w:val="2DAF3E40"/>
    <w:rsid w:val="2DB72CF5"/>
    <w:rsid w:val="2DB87198"/>
    <w:rsid w:val="2DB9081B"/>
    <w:rsid w:val="2DC23CBB"/>
    <w:rsid w:val="2DCA2A28"/>
    <w:rsid w:val="2DCB2E33"/>
    <w:rsid w:val="2DCC49F2"/>
    <w:rsid w:val="2DCC67A0"/>
    <w:rsid w:val="2DCF6290"/>
    <w:rsid w:val="2DD218DC"/>
    <w:rsid w:val="2DDB4C35"/>
    <w:rsid w:val="2DDD275B"/>
    <w:rsid w:val="2DDF2977"/>
    <w:rsid w:val="2DEF06E0"/>
    <w:rsid w:val="2DF06932"/>
    <w:rsid w:val="2DF126AA"/>
    <w:rsid w:val="2DF56170"/>
    <w:rsid w:val="2DF57EB3"/>
    <w:rsid w:val="2DF6381D"/>
    <w:rsid w:val="2DF87595"/>
    <w:rsid w:val="2DF9330D"/>
    <w:rsid w:val="2DFB0E33"/>
    <w:rsid w:val="2DFB7085"/>
    <w:rsid w:val="2E073C7C"/>
    <w:rsid w:val="2E0D090C"/>
    <w:rsid w:val="2E0F48DF"/>
    <w:rsid w:val="2E100D83"/>
    <w:rsid w:val="2E13617D"/>
    <w:rsid w:val="2E1E4B22"/>
    <w:rsid w:val="2E204D3E"/>
    <w:rsid w:val="2E220AB6"/>
    <w:rsid w:val="2E232138"/>
    <w:rsid w:val="2E24038A"/>
    <w:rsid w:val="2E291E44"/>
    <w:rsid w:val="2E2A1718"/>
    <w:rsid w:val="2E2B796A"/>
    <w:rsid w:val="2E3031D3"/>
    <w:rsid w:val="2E352597"/>
    <w:rsid w:val="2E3B3926"/>
    <w:rsid w:val="2E3D58F0"/>
    <w:rsid w:val="2E3D769E"/>
    <w:rsid w:val="2E440A2C"/>
    <w:rsid w:val="2E4427DA"/>
    <w:rsid w:val="2E472931"/>
    <w:rsid w:val="2E4B1DBB"/>
    <w:rsid w:val="2E4C4A63"/>
    <w:rsid w:val="2E4E3659"/>
    <w:rsid w:val="2E532A1D"/>
    <w:rsid w:val="2E5844D8"/>
    <w:rsid w:val="2E597998"/>
    <w:rsid w:val="2E5F2F49"/>
    <w:rsid w:val="2E6D7F83"/>
    <w:rsid w:val="2E731311"/>
    <w:rsid w:val="2E734E6D"/>
    <w:rsid w:val="2E742175"/>
    <w:rsid w:val="2E7542BF"/>
    <w:rsid w:val="2E7B58A9"/>
    <w:rsid w:val="2E7F3812"/>
    <w:rsid w:val="2E7F7CB6"/>
    <w:rsid w:val="2E836670"/>
    <w:rsid w:val="2E8B0409"/>
    <w:rsid w:val="2E8B0D06"/>
    <w:rsid w:val="2E8B21B7"/>
    <w:rsid w:val="2E8D23D3"/>
    <w:rsid w:val="2E935510"/>
    <w:rsid w:val="2E99663B"/>
    <w:rsid w:val="2E9F70FE"/>
    <w:rsid w:val="2EAD4823"/>
    <w:rsid w:val="2EAE5EA6"/>
    <w:rsid w:val="2EB673FE"/>
    <w:rsid w:val="2EB711FE"/>
    <w:rsid w:val="2EB72FAC"/>
    <w:rsid w:val="2EBD433B"/>
    <w:rsid w:val="2EC523EE"/>
    <w:rsid w:val="2EC708BB"/>
    <w:rsid w:val="2EC76F67"/>
    <w:rsid w:val="2EC8340B"/>
    <w:rsid w:val="2ED26038"/>
    <w:rsid w:val="2ED316F4"/>
    <w:rsid w:val="2ED578D6"/>
    <w:rsid w:val="2ED973C6"/>
    <w:rsid w:val="2EDE49DD"/>
    <w:rsid w:val="2EE14539"/>
    <w:rsid w:val="2EE30245"/>
    <w:rsid w:val="2EE34B68"/>
    <w:rsid w:val="2EE95130"/>
    <w:rsid w:val="2EEE0998"/>
    <w:rsid w:val="2EF20488"/>
    <w:rsid w:val="2EF266DA"/>
    <w:rsid w:val="2EF75A9F"/>
    <w:rsid w:val="2EF97A69"/>
    <w:rsid w:val="2F01691D"/>
    <w:rsid w:val="2F031C30"/>
    <w:rsid w:val="2F0324FC"/>
    <w:rsid w:val="2F0401BB"/>
    <w:rsid w:val="2F0B32F8"/>
    <w:rsid w:val="2F124686"/>
    <w:rsid w:val="2F126434"/>
    <w:rsid w:val="2F146650"/>
    <w:rsid w:val="2F177EEF"/>
    <w:rsid w:val="2F1A6BB0"/>
    <w:rsid w:val="2F204FF5"/>
    <w:rsid w:val="2F222724"/>
    <w:rsid w:val="2F2257D4"/>
    <w:rsid w:val="2F234AE5"/>
    <w:rsid w:val="2F266384"/>
    <w:rsid w:val="2F266D26"/>
    <w:rsid w:val="2F2B74F6"/>
    <w:rsid w:val="2F2F348A"/>
    <w:rsid w:val="2F337E9A"/>
    <w:rsid w:val="2F34284F"/>
    <w:rsid w:val="2F364819"/>
    <w:rsid w:val="2F3B1E2F"/>
    <w:rsid w:val="2F4131BE"/>
    <w:rsid w:val="2F436F36"/>
    <w:rsid w:val="2F4607D4"/>
    <w:rsid w:val="2F4F47F1"/>
    <w:rsid w:val="2F5471D3"/>
    <w:rsid w:val="2F57478F"/>
    <w:rsid w:val="2F5922B5"/>
    <w:rsid w:val="2F5B5F12"/>
    <w:rsid w:val="2F6219CF"/>
    <w:rsid w:val="2F634EE2"/>
    <w:rsid w:val="2F68699C"/>
    <w:rsid w:val="2F686C4D"/>
    <w:rsid w:val="2F7056E3"/>
    <w:rsid w:val="2F8337D6"/>
    <w:rsid w:val="2F8A06C1"/>
    <w:rsid w:val="2F8A1638"/>
    <w:rsid w:val="2F8D01B1"/>
    <w:rsid w:val="2F8D6403"/>
    <w:rsid w:val="2F8F217B"/>
    <w:rsid w:val="2F923A19"/>
    <w:rsid w:val="2F996B56"/>
    <w:rsid w:val="2F9B467C"/>
    <w:rsid w:val="2FA01C92"/>
    <w:rsid w:val="2FA06136"/>
    <w:rsid w:val="2FA23C5C"/>
    <w:rsid w:val="2FA774C5"/>
    <w:rsid w:val="2FA87A49"/>
    <w:rsid w:val="2FAA0D63"/>
    <w:rsid w:val="2FAB200D"/>
    <w:rsid w:val="2FAE71E3"/>
    <w:rsid w:val="2FAF6379"/>
    <w:rsid w:val="2FB15C4D"/>
    <w:rsid w:val="2FB173FE"/>
    <w:rsid w:val="2FB83480"/>
    <w:rsid w:val="2FBE480E"/>
    <w:rsid w:val="2FCA31B3"/>
    <w:rsid w:val="2FCE2CA3"/>
    <w:rsid w:val="2FCF7117"/>
    <w:rsid w:val="2FDE6C5E"/>
    <w:rsid w:val="2FE37DD1"/>
    <w:rsid w:val="2FE51D9B"/>
    <w:rsid w:val="2FE57FED"/>
    <w:rsid w:val="2FEC137B"/>
    <w:rsid w:val="2FEF2C1A"/>
    <w:rsid w:val="2FF16992"/>
    <w:rsid w:val="2FF63FA8"/>
    <w:rsid w:val="2FFF5194"/>
    <w:rsid w:val="30000983"/>
    <w:rsid w:val="3002294D"/>
    <w:rsid w:val="300541EB"/>
    <w:rsid w:val="300A35B0"/>
    <w:rsid w:val="300D4E4E"/>
    <w:rsid w:val="300E150D"/>
    <w:rsid w:val="30123FFF"/>
    <w:rsid w:val="3014442E"/>
    <w:rsid w:val="301D4299"/>
    <w:rsid w:val="301D7787"/>
    <w:rsid w:val="302208F9"/>
    <w:rsid w:val="30231066"/>
    <w:rsid w:val="30275F10"/>
    <w:rsid w:val="302A1EA4"/>
    <w:rsid w:val="302C79CA"/>
    <w:rsid w:val="302E54F0"/>
    <w:rsid w:val="3038636F"/>
    <w:rsid w:val="303B19BB"/>
    <w:rsid w:val="303F600B"/>
    <w:rsid w:val="303F76FD"/>
    <w:rsid w:val="30406FD1"/>
    <w:rsid w:val="30474804"/>
    <w:rsid w:val="304E16EE"/>
    <w:rsid w:val="304F5466"/>
    <w:rsid w:val="30523594"/>
    <w:rsid w:val="30534F57"/>
    <w:rsid w:val="30542A7D"/>
    <w:rsid w:val="3058256D"/>
    <w:rsid w:val="30586A11"/>
    <w:rsid w:val="305D7B83"/>
    <w:rsid w:val="305E56A9"/>
    <w:rsid w:val="3062519A"/>
    <w:rsid w:val="30670A02"/>
    <w:rsid w:val="306B4F17"/>
    <w:rsid w:val="306C6018"/>
    <w:rsid w:val="306E3B3E"/>
    <w:rsid w:val="30705B08"/>
    <w:rsid w:val="3078676B"/>
    <w:rsid w:val="307B625B"/>
    <w:rsid w:val="307D0225"/>
    <w:rsid w:val="3082583C"/>
    <w:rsid w:val="30890C03"/>
    <w:rsid w:val="30893C43"/>
    <w:rsid w:val="30896BCA"/>
    <w:rsid w:val="308B2942"/>
    <w:rsid w:val="308C66BA"/>
    <w:rsid w:val="30915A7F"/>
    <w:rsid w:val="309537C1"/>
    <w:rsid w:val="309F1F4A"/>
    <w:rsid w:val="30A473AC"/>
    <w:rsid w:val="30A6152A"/>
    <w:rsid w:val="30A65D73"/>
    <w:rsid w:val="30A77050"/>
    <w:rsid w:val="30B005FB"/>
    <w:rsid w:val="30B874AF"/>
    <w:rsid w:val="30C931D7"/>
    <w:rsid w:val="30C9339C"/>
    <w:rsid w:val="30CC4D09"/>
    <w:rsid w:val="30CF3C85"/>
    <w:rsid w:val="30D065A7"/>
    <w:rsid w:val="30D616E4"/>
    <w:rsid w:val="30D77936"/>
    <w:rsid w:val="30DA5678"/>
    <w:rsid w:val="30DF4A3C"/>
    <w:rsid w:val="30E12562"/>
    <w:rsid w:val="30EB1633"/>
    <w:rsid w:val="30F878AC"/>
    <w:rsid w:val="30F93D50"/>
    <w:rsid w:val="30FB5378"/>
    <w:rsid w:val="30FC45CB"/>
    <w:rsid w:val="30FE1ACC"/>
    <w:rsid w:val="3102072B"/>
    <w:rsid w:val="31085D41"/>
    <w:rsid w:val="310A2FFF"/>
    <w:rsid w:val="310B3A83"/>
    <w:rsid w:val="3115220C"/>
    <w:rsid w:val="31175F84"/>
    <w:rsid w:val="31244B45"/>
    <w:rsid w:val="312468F3"/>
    <w:rsid w:val="312B1A2F"/>
    <w:rsid w:val="313034EA"/>
    <w:rsid w:val="313528AE"/>
    <w:rsid w:val="3135465C"/>
    <w:rsid w:val="313703D4"/>
    <w:rsid w:val="313C3C3D"/>
    <w:rsid w:val="313C4A71"/>
    <w:rsid w:val="313C59EB"/>
    <w:rsid w:val="313E79B5"/>
    <w:rsid w:val="31434FCB"/>
    <w:rsid w:val="31476416"/>
    <w:rsid w:val="31490245"/>
    <w:rsid w:val="314B0324"/>
    <w:rsid w:val="31523460"/>
    <w:rsid w:val="31532D34"/>
    <w:rsid w:val="31540F86"/>
    <w:rsid w:val="31570A76"/>
    <w:rsid w:val="31576E63"/>
    <w:rsid w:val="315F16D9"/>
    <w:rsid w:val="31603DCF"/>
    <w:rsid w:val="3160764A"/>
    <w:rsid w:val="31662A68"/>
    <w:rsid w:val="31666628"/>
    <w:rsid w:val="31666F0B"/>
    <w:rsid w:val="317057B1"/>
    <w:rsid w:val="317B4CF8"/>
    <w:rsid w:val="317F3B29"/>
    <w:rsid w:val="318555E4"/>
    <w:rsid w:val="318A0E4C"/>
    <w:rsid w:val="318C4BC4"/>
    <w:rsid w:val="319770C5"/>
    <w:rsid w:val="319C0B7F"/>
    <w:rsid w:val="319C292D"/>
    <w:rsid w:val="319E059B"/>
    <w:rsid w:val="31A31F0E"/>
    <w:rsid w:val="31A33CBC"/>
    <w:rsid w:val="31A43590"/>
    <w:rsid w:val="31A87524"/>
    <w:rsid w:val="31AA329C"/>
    <w:rsid w:val="31BB7257"/>
    <w:rsid w:val="31C679AA"/>
    <w:rsid w:val="31CC4FC0"/>
    <w:rsid w:val="31D04385"/>
    <w:rsid w:val="31D10829"/>
    <w:rsid w:val="31D13ECD"/>
    <w:rsid w:val="31D40319"/>
    <w:rsid w:val="31D71BB7"/>
    <w:rsid w:val="31D77D3F"/>
    <w:rsid w:val="31D976DD"/>
    <w:rsid w:val="31DE2F46"/>
    <w:rsid w:val="31E0281A"/>
    <w:rsid w:val="31E06CBE"/>
    <w:rsid w:val="31E247E4"/>
    <w:rsid w:val="31E52343"/>
    <w:rsid w:val="31E7004C"/>
    <w:rsid w:val="31EA1B95"/>
    <w:rsid w:val="31EA3699"/>
    <w:rsid w:val="31EB11BF"/>
    <w:rsid w:val="31EC7411"/>
    <w:rsid w:val="31FC33CC"/>
    <w:rsid w:val="320220E3"/>
    <w:rsid w:val="32026C34"/>
    <w:rsid w:val="32032617"/>
    <w:rsid w:val="3207424B"/>
    <w:rsid w:val="320A5AE9"/>
    <w:rsid w:val="320C1861"/>
    <w:rsid w:val="320F1351"/>
    <w:rsid w:val="32186458"/>
    <w:rsid w:val="321D581C"/>
    <w:rsid w:val="321E1594"/>
    <w:rsid w:val="322070BA"/>
    <w:rsid w:val="322272D6"/>
    <w:rsid w:val="32230959"/>
    <w:rsid w:val="32231A2F"/>
    <w:rsid w:val="32236BAB"/>
    <w:rsid w:val="322A1CE7"/>
    <w:rsid w:val="323112C7"/>
    <w:rsid w:val="3234700A"/>
    <w:rsid w:val="32364B30"/>
    <w:rsid w:val="323808A8"/>
    <w:rsid w:val="323A180C"/>
    <w:rsid w:val="32454D73"/>
    <w:rsid w:val="32566F80"/>
    <w:rsid w:val="32582CF8"/>
    <w:rsid w:val="325B00F2"/>
    <w:rsid w:val="325B2B58"/>
    <w:rsid w:val="325F5E35"/>
    <w:rsid w:val="32676A97"/>
    <w:rsid w:val="32690A61"/>
    <w:rsid w:val="326A47D9"/>
    <w:rsid w:val="326E7E26"/>
    <w:rsid w:val="327613D0"/>
    <w:rsid w:val="32766A06"/>
    <w:rsid w:val="32780CA4"/>
    <w:rsid w:val="327D450D"/>
    <w:rsid w:val="327F2033"/>
    <w:rsid w:val="32805DAB"/>
    <w:rsid w:val="32821B23"/>
    <w:rsid w:val="32843AED"/>
    <w:rsid w:val="3284589B"/>
    <w:rsid w:val="328E5305"/>
    <w:rsid w:val="32933D30"/>
    <w:rsid w:val="32992418"/>
    <w:rsid w:val="32A464FC"/>
    <w:rsid w:val="32A8218B"/>
    <w:rsid w:val="32A95302"/>
    <w:rsid w:val="32AC3044"/>
    <w:rsid w:val="32AE2918"/>
    <w:rsid w:val="32B06690"/>
    <w:rsid w:val="32B36180"/>
    <w:rsid w:val="32B37F2E"/>
    <w:rsid w:val="32B67A1F"/>
    <w:rsid w:val="32C043F9"/>
    <w:rsid w:val="32CB5278"/>
    <w:rsid w:val="32CE2FBA"/>
    <w:rsid w:val="32D00AE0"/>
    <w:rsid w:val="32D81743"/>
    <w:rsid w:val="32DF2AD1"/>
    <w:rsid w:val="32E20814"/>
    <w:rsid w:val="32E91BA2"/>
    <w:rsid w:val="32EA70EF"/>
    <w:rsid w:val="32F56799"/>
    <w:rsid w:val="32FC18D5"/>
    <w:rsid w:val="330475F7"/>
    <w:rsid w:val="33072928"/>
    <w:rsid w:val="33092244"/>
    <w:rsid w:val="330B1B18"/>
    <w:rsid w:val="330C524D"/>
    <w:rsid w:val="330E1609"/>
    <w:rsid w:val="33122EA7"/>
    <w:rsid w:val="33124E6A"/>
    <w:rsid w:val="331704BD"/>
    <w:rsid w:val="331B27F3"/>
    <w:rsid w:val="331C5AD4"/>
    <w:rsid w:val="331D2CEA"/>
    <w:rsid w:val="331F55C4"/>
    <w:rsid w:val="3321133C"/>
    <w:rsid w:val="3321758E"/>
    <w:rsid w:val="33233306"/>
    <w:rsid w:val="33292712"/>
    <w:rsid w:val="3331078E"/>
    <w:rsid w:val="33332E1D"/>
    <w:rsid w:val="333746BC"/>
    <w:rsid w:val="333948D8"/>
    <w:rsid w:val="333A3AE0"/>
    <w:rsid w:val="333F37C8"/>
    <w:rsid w:val="333F5C66"/>
    <w:rsid w:val="33482D6D"/>
    <w:rsid w:val="334D2131"/>
    <w:rsid w:val="334E5EA9"/>
    <w:rsid w:val="334F40FB"/>
    <w:rsid w:val="33524ECE"/>
    <w:rsid w:val="33550FE6"/>
    <w:rsid w:val="33582884"/>
    <w:rsid w:val="33590AD6"/>
    <w:rsid w:val="335F1E64"/>
    <w:rsid w:val="335F3C12"/>
    <w:rsid w:val="336623E1"/>
    <w:rsid w:val="336B25B7"/>
    <w:rsid w:val="336B6A5B"/>
    <w:rsid w:val="336D632F"/>
    <w:rsid w:val="33791178"/>
    <w:rsid w:val="337C2A16"/>
    <w:rsid w:val="33802506"/>
    <w:rsid w:val="3381627F"/>
    <w:rsid w:val="33833DA5"/>
    <w:rsid w:val="33867AAC"/>
    <w:rsid w:val="338C365C"/>
    <w:rsid w:val="3392223A"/>
    <w:rsid w:val="33957634"/>
    <w:rsid w:val="33997124"/>
    <w:rsid w:val="339A2E9C"/>
    <w:rsid w:val="339A5F22"/>
    <w:rsid w:val="33A361F5"/>
    <w:rsid w:val="33A53D1B"/>
    <w:rsid w:val="33A61841"/>
    <w:rsid w:val="33B2468A"/>
    <w:rsid w:val="33C313E3"/>
    <w:rsid w:val="33C65B63"/>
    <w:rsid w:val="33CA19D4"/>
    <w:rsid w:val="33CB008B"/>
    <w:rsid w:val="33CC574C"/>
    <w:rsid w:val="33CD3272"/>
    <w:rsid w:val="33CF6FEA"/>
    <w:rsid w:val="33D04B10"/>
    <w:rsid w:val="33D20888"/>
    <w:rsid w:val="33D26ADA"/>
    <w:rsid w:val="33D62126"/>
    <w:rsid w:val="33D877C7"/>
    <w:rsid w:val="33E22FD7"/>
    <w:rsid w:val="33E34843"/>
    <w:rsid w:val="33E5680D"/>
    <w:rsid w:val="33E65B1A"/>
    <w:rsid w:val="33E83C08"/>
    <w:rsid w:val="33EA3E24"/>
    <w:rsid w:val="33EC20BE"/>
    <w:rsid w:val="33F62F95"/>
    <w:rsid w:val="34000F51"/>
    <w:rsid w:val="3407106E"/>
    <w:rsid w:val="34076784"/>
    <w:rsid w:val="340F5638"/>
    <w:rsid w:val="34125129"/>
    <w:rsid w:val="34160775"/>
    <w:rsid w:val="34190265"/>
    <w:rsid w:val="341964B7"/>
    <w:rsid w:val="341B5D8B"/>
    <w:rsid w:val="341C1B03"/>
    <w:rsid w:val="341C4349"/>
    <w:rsid w:val="341D5FA7"/>
    <w:rsid w:val="341E1D1F"/>
    <w:rsid w:val="341E7629"/>
    <w:rsid w:val="342015F4"/>
    <w:rsid w:val="342033A2"/>
    <w:rsid w:val="34207846"/>
    <w:rsid w:val="342235BE"/>
    <w:rsid w:val="342241C6"/>
    <w:rsid w:val="34264730"/>
    <w:rsid w:val="34313801"/>
    <w:rsid w:val="343155AF"/>
    <w:rsid w:val="343706EB"/>
    <w:rsid w:val="343A7CCB"/>
    <w:rsid w:val="344277BC"/>
    <w:rsid w:val="344352E2"/>
    <w:rsid w:val="34453D9F"/>
    <w:rsid w:val="34496D9C"/>
    <w:rsid w:val="344A48C2"/>
    <w:rsid w:val="344C23E9"/>
    <w:rsid w:val="34515C51"/>
    <w:rsid w:val="345614B9"/>
    <w:rsid w:val="34565015"/>
    <w:rsid w:val="34572B3B"/>
    <w:rsid w:val="3458152F"/>
    <w:rsid w:val="345C682C"/>
    <w:rsid w:val="345E036E"/>
    <w:rsid w:val="34637732"/>
    <w:rsid w:val="34645984"/>
    <w:rsid w:val="346662D0"/>
    <w:rsid w:val="34677222"/>
    <w:rsid w:val="34684D49"/>
    <w:rsid w:val="34692F9B"/>
    <w:rsid w:val="346E05B1"/>
    <w:rsid w:val="34702AD1"/>
    <w:rsid w:val="347436ED"/>
    <w:rsid w:val="34761214"/>
    <w:rsid w:val="34763909"/>
    <w:rsid w:val="347656B7"/>
    <w:rsid w:val="34766943"/>
    <w:rsid w:val="347A51A8"/>
    <w:rsid w:val="347D07F4"/>
    <w:rsid w:val="348222AE"/>
    <w:rsid w:val="34842CBB"/>
    <w:rsid w:val="34853B4C"/>
    <w:rsid w:val="34936269"/>
    <w:rsid w:val="34977093"/>
    <w:rsid w:val="349A13A6"/>
    <w:rsid w:val="349D121D"/>
    <w:rsid w:val="349D2C44"/>
    <w:rsid w:val="349F4C0E"/>
    <w:rsid w:val="34A0062A"/>
    <w:rsid w:val="34AA5361"/>
    <w:rsid w:val="34AE28E6"/>
    <w:rsid w:val="34B166F0"/>
    <w:rsid w:val="34B561E0"/>
    <w:rsid w:val="34BD32E6"/>
    <w:rsid w:val="34BD542E"/>
    <w:rsid w:val="34BD6E42"/>
    <w:rsid w:val="34BF2BBB"/>
    <w:rsid w:val="34C27E68"/>
    <w:rsid w:val="34C93A39"/>
    <w:rsid w:val="34CB012C"/>
    <w:rsid w:val="34D10B40"/>
    <w:rsid w:val="34D90058"/>
    <w:rsid w:val="34DB19BE"/>
    <w:rsid w:val="34E15227"/>
    <w:rsid w:val="34E46AC5"/>
    <w:rsid w:val="34EC5BC9"/>
    <w:rsid w:val="34EF1670"/>
    <w:rsid w:val="34EF5164"/>
    <w:rsid w:val="34F27D17"/>
    <w:rsid w:val="34F52A80"/>
    <w:rsid w:val="34F62C60"/>
    <w:rsid w:val="34F82570"/>
    <w:rsid w:val="34F859FF"/>
    <w:rsid w:val="34FA3BF3"/>
    <w:rsid w:val="34FD1935"/>
    <w:rsid w:val="34FF56AD"/>
    <w:rsid w:val="34FF745B"/>
    <w:rsid w:val="35004F81"/>
    <w:rsid w:val="35042CC3"/>
    <w:rsid w:val="35074561"/>
    <w:rsid w:val="35076310"/>
    <w:rsid w:val="350C1B78"/>
    <w:rsid w:val="350E58F0"/>
    <w:rsid w:val="35101668"/>
    <w:rsid w:val="351B1DBB"/>
    <w:rsid w:val="352073D1"/>
    <w:rsid w:val="35211654"/>
    <w:rsid w:val="35213875"/>
    <w:rsid w:val="35215623"/>
    <w:rsid w:val="352443E9"/>
    <w:rsid w:val="352769B2"/>
    <w:rsid w:val="352B0250"/>
    <w:rsid w:val="352F7CE5"/>
    <w:rsid w:val="353B650D"/>
    <w:rsid w:val="353C245D"/>
    <w:rsid w:val="353C420B"/>
    <w:rsid w:val="353D61D5"/>
    <w:rsid w:val="35472BB0"/>
    <w:rsid w:val="35496928"/>
    <w:rsid w:val="3550415A"/>
    <w:rsid w:val="35507CB7"/>
    <w:rsid w:val="355A6D87"/>
    <w:rsid w:val="355C249B"/>
    <w:rsid w:val="356674DA"/>
    <w:rsid w:val="35675000"/>
    <w:rsid w:val="356814A4"/>
    <w:rsid w:val="356E45E1"/>
    <w:rsid w:val="357240D1"/>
    <w:rsid w:val="357339A5"/>
    <w:rsid w:val="357F06E3"/>
    <w:rsid w:val="358160C2"/>
    <w:rsid w:val="35831E3A"/>
    <w:rsid w:val="35956011"/>
    <w:rsid w:val="35957DBF"/>
    <w:rsid w:val="35A63D7A"/>
    <w:rsid w:val="35A87AF3"/>
    <w:rsid w:val="35AC108D"/>
    <w:rsid w:val="35B00755"/>
    <w:rsid w:val="35B44F21"/>
    <w:rsid w:val="35B45818"/>
    <w:rsid w:val="35C661CB"/>
    <w:rsid w:val="35C80195"/>
    <w:rsid w:val="35CD7B22"/>
    <w:rsid w:val="35CF507F"/>
    <w:rsid w:val="35D2691D"/>
    <w:rsid w:val="35DC154A"/>
    <w:rsid w:val="35E52AF5"/>
    <w:rsid w:val="35EB19AF"/>
    <w:rsid w:val="35ED19A9"/>
    <w:rsid w:val="35F10F01"/>
    <w:rsid w:val="35F44AE6"/>
    <w:rsid w:val="35FF71C9"/>
    <w:rsid w:val="360B0081"/>
    <w:rsid w:val="360D204B"/>
    <w:rsid w:val="360F36CE"/>
    <w:rsid w:val="36121410"/>
    <w:rsid w:val="361231BE"/>
    <w:rsid w:val="36162CAE"/>
    <w:rsid w:val="361A2073"/>
    <w:rsid w:val="361C228F"/>
    <w:rsid w:val="361E7DB5"/>
    <w:rsid w:val="36280C33"/>
    <w:rsid w:val="36301896"/>
    <w:rsid w:val="36337303"/>
    <w:rsid w:val="36356EAC"/>
    <w:rsid w:val="363650FE"/>
    <w:rsid w:val="36370E76"/>
    <w:rsid w:val="36392E40"/>
    <w:rsid w:val="363B0967"/>
    <w:rsid w:val="363D46DF"/>
    <w:rsid w:val="363E2205"/>
    <w:rsid w:val="364D41F6"/>
    <w:rsid w:val="36511F38"/>
    <w:rsid w:val="36566479"/>
    <w:rsid w:val="36575075"/>
    <w:rsid w:val="366652B8"/>
    <w:rsid w:val="36716136"/>
    <w:rsid w:val="367B0D63"/>
    <w:rsid w:val="367C4ADB"/>
    <w:rsid w:val="368D0A96"/>
    <w:rsid w:val="368E78A4"/>
    <w:rsid w:val="368F25A7"/>
    <w:rsid w:val="3697072A"/>
    <w:rsid w:val="369E0386"/>
    <w:rsid w:val="36A209E6"/>
    <w:rsid w:val="36A4475E"/>
    <w:rsid w:val="36A75FFC"/>
    <w:rsid w:val="36B355B3"/>
    <w:rsid w:val="36B424C7"/>
    <w:rsid w:val="36B44275"/>
    <w:rsid w:val="36B6623F"/>
    <w:rsid w:val="36B67FED"/>
    <w:rsid w:val="36BB29BD"/>
    <w:rsid w:val="36BD137C"/>
    <w:rsid w:val="36C05BDE"/>
    <w:rsid w:val="36CA3A99"/>
    <w:rsid w:val="36CE3589"/>
    <w:rsid w:val="36D16BD5"/>
    <w:rsid w:val="36E7289C"/>
    <w:rsid w:val="36E90EBF"/>
    <w:rsid w:val="36E96615"/>
    <w:rsid w:val="36EA7C97"/>
    <w:rsid w:val="36F11025"/>
    <w:rsid w:val="36F31241"/>
    <w:rsid w:val="36F54FB9"/>
    <w:rsid w:val="36F56D67"/>
    <w:rsid w:val="36F6488E"/>
    <w:rsid w:val="36F823B4"/>
    <w:rsid w:val="37023232"/>
    <w:rsid w:val="370945C1"/>
    <w:rsid w:val="37103BA1"/>
    <w:rsid w:val="37105528"/>
    <w:rsid w:val="37113475"/>
    <w:rsid w:val="37117919"/>
    <w:rsid w:val="37180CA8"/>
    <w:rsid w:val="371A67CE"/>
    <w:rsid w:val="371D62BE"/>
    <w:rsid w:val="371F3DE4"/>
    <w:rsid w:val="37217B5C"/>
    <w:rsid w:val="372A4537"/>
    <w:rsid w:val="372B2789"/>
    <w:rsid w:val="372C02AF"/>
    <w:rsid w:val="372E4027"/>
    <w:rsid w:val="372F1B4E"/>
    <w:rsid w:val="37357164"/>
    <w:rsid w:val="373A0C1E"/>
    <w:rsid w:val="37421881"/>
    <w:rsid w:val="37427AD3"/>
    <w:rsid w:val="374750E9"/>
    <w:rsid w:val="374B4BD9"/>
    <w:rsid w:val="374E0226"/>
    <w:rsid w:val="3754580C"/>
    <w:rsid w:val="3755573E"/>
    <w:rsid w:val="37557806"/>
    <w:rsid w:val="375A12C0"/>
    <w:rsid w:val="375D66BB"/>
    <w:rsid w:val="375F6AB4"/>
    <w:rsid w:val="376712E7"/>
    <w:rsid w:val="376B702A"/>
    <w:rsid w:val="377262B3"/>
    <w:rsid w:val="37773C20"/>
    <w:rsid w:val="377E4FAF"/>
    <w:rsid w:val="378325C5"/>
    <w:rsid w:val="37887016"/>
    <w:rsid w:val="37893954"/>
    <w:rsid w:val="378974B0"/>
    <w:rsid w:val="378D51F2"/>
    <w:rsid w:val="378E4AC6"/>
    <w:rsid w:val="37922BF2"/>
    <w:rsid w:val="379325B5"/>
    <w:rsid w:val="379A346B"/>
    <w:rsid w:val="379F4F25"/>
    <w:rsid w:val="37A34A15"/>
    <w:rsid w:val="37A75B88"/>
    <w:rsid w:val="37AC319E"/>
    <w:rsid w:val="37AE5D19"/>
    <w:rsid w:val="37AE6F16"/>
    <w:rsid w:val="37AF6474"/>
    <w:rsid w:val="37B00EE0"/>
    <w:rsid w:val="37B3277F"/>
    <w:rsid w:val="37BA1D5F"/>
    <w:rsid w:val="37C14E9C"/>
    <w:rsid w:val="37C3031A"/>
    <w:rsid w:val="37C87FD8"/>
    <w:rsid w:val="37CE29CF"/>
    <w:rsid w:val="37CE542D"/>
    <w:rsid w:val="37D01583"/>
    <w:rsid w:val="37D56B99"/>
    <w:rsid w:val="37D90437"/>
    <w:rsid w:val="37DC5A39"/>
    <w:rsid w:val="37DF17C6"/>
    <w:rsid w:val="37E172EC"/>
    <w:rsid w:val="37E42938"/>
    <w:rsid w:val="37E61BBD"/>
    <w:rsid w:val="37EB7B3F"/>
    <w:rsid w:val="37ED3EE3"/>
    <w:rsid w:val="37F039D3"/>
    <w:rsid w:val="37F232A7"/>
    <w:rsid w:val="37F60FE9"/>
    <w:rsid w:val="37F7266B"/>
    <w:rsid w:val="37F94635"/>
    <w:rsid w:val="37FC2378"/>
    <w:rsid w:val="37FC5ED4"/>
    <w:rsid w:val="37FE1C4C"/>
    <w:rsid w:val="37FF59C4"/>
    <w:rsid w:val="3801798E"/>
    <w:rsid w:val="38042FDA"/>
    <w:rsid w:val="38064FA4"/>
    <w:rsid w:val="38082ACA"/>
    <w:rsid w:val="3808740D"/>
    <w:rsid w:val="3809239F"/>
    <w:rsid w:val="380B6117"/>
    <w:rsid w:val="3810372D"/>
    <w:rsid w:val="381C0324"/>
    <w:rsid w:val="381E22EE"/>
    <w:rsid w:val="381E5E4A"/>
    <w:rsid w:val="382316B2"/>
    <w:rsid w:val="382513DD"/>
    <w:rsid w:val="382611A3"/>
    <w:rsid w:val="38262F51"/>
    <w:rsid w:val="382F44FB"/>
    <w:rsid w:val="383815A0"/>
    <w:rsid w:val="38415FDC"/>
    <w:rsid w:val="38454CBB"/>
    <w:rsid w:val="384A6C3F"/>
    <w:rsid w:val="38521F98"/>
    <w:rsid w:val="38593326"/>
    <w:rsid w:val="385B52F0"/>
    <w:rsid w:val="385D37E7"/>
    <w:rsid w:val="3862667F"/>
    <w:rsid w:val="3862728F"/>
    <w:rsid w:val="386366C1"/>
    <w:rsid w:val="38651CCB"/>
    <w:rsid w:val="38685317"/>
    <w:rsid w:val="3869495B"/>
    <w:rsid w:val="386A108F"/>
    <w:rsid w:val="386D241A"/>
    <w:rsid w:val="38763ED8"/>
    <w:rsid w:val="3876438E"/>
    <w:rsid w:val="38787C50"/>
    <w:rsid w:val="38A02D03"/>
    <w:rsid w:val="38A04AB1"/>
    <w:rsid w:val="38A10829"/>
    <w:rsid w:val="38A327F3"/>
    <w:rsid w:val="38A74091"/>
    <w:rsid w:val="38AA5930"/>
    <w:rsid w:val="38AC16A8"/>
    <w:rsid w:val="38AD71CE"/>
    <w:rsid w:val="38AE3672"/>
    <w:rsid w:val="38AF451F"/>
    <w:rsid w:val="38B247E4"/>
    <w:rsid w:val="38B46F01"/>
    <w:rsid w:val="38B557C0"/>
    <w:rsid w:val="38B85741"/>
    <w:rsid w:val="38B8629F"/>
    <w:rsid w:val="38B92017"/>
    <w:rsid w:val="38BE762D"/>
    <w:rsid w:val="38C22C79"/>
    <w:rsid w:val="38C34C43"/>
    <w:rsid w:val="38CC3AF8"/>
    <w:rsid w:val="38CC7F9C"/>
    <w:rsid w:val="38D1110E"/>
    <w:rsid w:val="38D64977"/>
    <w:rsid w:val="38DB4964"/>
    <w:rsid w:val="38E075A3"/>
    <w:rsid w:val="38E250CA"/>
    <w:rsid w:val="38E26F5B"/>
    <w:rsid w:val="38EE6828"/>
    <w:rsid w:val="38EF77E6"/>
    <w:rsid w:val="38F35529"/>
    <w:rsid w:val="390019F4"/>
    <w:rsid w:val="3902576C"/>
    <w:rsid w:val="39107EB4"/>
    <w:rsid w:val="39111E53"/>
    <w:rsid w:val="391160B1"/>
    <w:rsid w:val="391536F1"/>
    <w:rsid w:val="391D07F7"/>
    <w:rsid w:val="391F00CC"/>
    <w:rsid w:val="39205BF2"/>
    <w:rsid w:val="39241B86"/>
    <w:rsid w:val="39253208"/>
    <w:rsid w:val="392C27E9"/>
    <w:rsid w:val="39333B77"/>
    <w:rsid w:val="39365415"/>
    <w:rsid w:val="39382F3B"/>
    <w:rsid w:val="393A3157"/>
    <w:rsid w:val="393A469C"/>
    <w:rsid w:val="393F076E"/>
    <w:rsid w:val="394979EB"/>
    <w:rsid w:val="395104A1"/>
    <w:rsid w:val="39526984"/>
    <w:rsid w:val="39561B76"/>
    <w:rsid w:val="39602492"/>
    <w:rsid w:val="396226AE"/>
    <w:rsid w:val="3962445C"/>
    <w:rsid w:val="39697599"/>
    <w:rsid w:val="396C0E37"/>
    <w:rsid w:val="3971469F"/>
    <w:rsid w:val="39766A08"/>
    <w:rsid w:val="39897C3B"/>
    <w:rsid w:val="398B750F"/>
    <w:rsid w:val="398E34A3"/>
    <w:rsid w:val="39912147"/>
    <w:rsid w:val="39934616"/>
    <w:rsid w:val="399565E0"/>
    <w:rsid w:val="399A3BF6"/>
    <w:rsid w:val="39A405D1"/>
    <w:rsid w:val="39A44A75"/>
    <w:rsid w:val="39A46876"/>
    <w:rsid w:val="39A700C1"/>
    <w:rsid w:val="39A9208B"/>
    <w:rsid w:val="39AB195F"/>
    <w:rsid w:val="39AE31FE"/>
    <w:rsid w:val="39B94AA5"/>
    <w:rsid w:val="39BA1BA2"/>
    <w:rsid w:val="39BC591B"/>
    <w:rsid w:val="39C24EFB"/>
    <w:rsid w:val="39C72511"/>
    <w:rsid w:val="39CF32B3"/>
    <w:rsid w:val="39D2513E"/>
    <w:rsid w:val="39D709A6"/>
    <w:rsid w:val="39DA3FF3"/>
    <w:rsid w:val="39DC420F"/>
    <w:rsid w:val="39DD3AE3"/>
    <w:rsid w:val="39E44E71"/>
    <w:rsid w:val="39E8421F"/>
    <w:rsid w:val="39EB26A4"/>
    <w:rsid w:val="39EB6200"/>
    <w:rsid w:val="39F01D9F"/>
    <w:rsid w:val="39F135F7"/>
    <w:rsid w:val="39F50E2C"/>
    <w:rsid w:val="39FA28E7"/>
    <w:rsid w:val="39FA7AAD"/>
    <w:rsid w:val="39FD5F33"/>
    <w:rsid w:val="3A013C75"/>
    <w:rsid w:val="3A0379ED"/>
    <w:rsid w:val="3A060E23"/>
    <w:rsid w:val="3A085004"/>
    <w:rsid w:val="3A0B4AF4"/>
    <w:rsid w:val="3A157721"/>
    <w:rsid w:val="3A175247"/>
    <w:rsid w:val="3A176FF5"/>
    <w:rsid w:val="3A211C22"/>
    <w:rsid w:val="3A215ADE"/>
    <w:rsid w:val="3A255BB6"/>
    <w:rsid w:val="3A2A4F7A"/>
    <w:rsid w:val="3A2F2590"/>
    <w:rsid w:val="3A3050F0"/>
    <w:rsid w:val="3A3E27D3"/>
    <w:rsid w:val="3A3E6C77"/>
    <w:rsid w:val="3A464B75"/>
    <w:rsid w:val="3A4818A4"/>
    <w:rsid w:val="3A4A73CA"/>
    <w:rsid w:val="3A4D0C68"/>
    <w:rsid w:val="3A4D2A17"/>
    <w:rsid w:val="3A502507"/>
    <w:rsid w:val="3A5C0EAC"/>
    <w:rsid w:val="3A5E69D2"/>
    <w:rsid w:val="3A685AA2"/>
    <w:rsid w:val="3A6D2B2C"/>
    <w:rsid w:val="3A6F0BDF"/>
    <w:rsid w:val="3A811F62"/>
    <w:rsid w:val="3A850402"/>
    <w:rsid w:val="3A856654"/>
    <w:rsid w:val="3A865F28"/>
    <w:rsid w:val="3A886068"/>
    <w:rsid w:val="3A8B353F"/>
    <w:rsid w:val="3A946897"/>
    <w:rsid w:val="3A9643BE"/>
    <w:rsid w:val="3A99047D"/>
    <w:rsid w:val="3A995C5C"/>
    <w:rsid w:val="3A9B3361"/>
    <w:rsid w:val="3AA03F93"/>
    <w:rsid w:val="3AA12D62"/>
    <w:rsid w:val="3AAF26A3"/>
    <w:rsid w:val="3AAF722D"/>
    <w:rsid w:val="3AB74334"/>
    <w:rsid w:val="3ABC194A"/>
    <w:rsid w:val="3ABD5DEE"/>
    <w:rsid w:val="3AD153F6"/>
    <w:rsid w:val="3AD216C0"/>
    <w:rsid w:val="3AD40A5D"/>
    <w:rsid w:val="3AD76784"/>
    <w:rsid w:val="3AD82C28"/>
    <w:rsid w:val="3AE0388B"/>
    <w:rsid w:val="3AE0737A"/>
    <w:rsid w:val="3AE710BD"/>
    <w:rsid w:val="3AEC222F"/>
    <w:rsid w:val="3AEE262C"/>
    <w:rsid w:val="3AF42988"/>
    <w:rsid w:val="3AF77A09"/>
    <w:rsid w:val="3B007A89"/>
    <w:rsid w:val="3B043A1D"/>
    <w:rsid w:val="3B051543"/>
    <w:rsid w:val="3B111C96"/>
    <w:rsid w:val="3B117EE8"/>
    <w:rsid w:val="3B181276"/>
    <w:rsid w:val="3B1874C8"/>
    <w:rsid w:val="3B1A3241"/>
    <w:rsid w:val="3B1F2605"/>
    <w:rsid w:val="3B251BE5"/>
    <w:rsid w:val="3B255741"/>
    <w:rsid w:val="3B283A32"/>
    <w:rsid w:val="3B2933F5"/>
    <w:rsid w:val="3B293484"/>
    <w:rsid w:val="3B2E2848"/>
    <w:rsid w:val="3B305EC1"/>
    <w:rsid w:val="3B385475"/>
    <w:rsid w:val="3B40257B"/>
    <w:rsid w:val="3B4756B8"/>
    <w:rsid w:val="3B4C7172"/>
    <w:rsid w:val="3B4F27BE"/>
    <w:rsid w:val="3B514788"/>
    <w:rsid w:val="3B585B17"/>
    <w:rsid w:val="3B643B7B"/>
    <w:rsid w:val="3B653D90"/>
    <w:rsid w:val="3B702E61"/>
    <w:rsid w:val="3B714E2B"/>
    <w:rsid w:val="3B742225"/>
    <w:rsid w:val="3B7A10AA"/>
    <w:rsid w:val="3B822B94"/>
    <w:rsid w:val="3B842468"/>
    <w:rsid w:val="3B871F58"/>
    <w:rsid w:val="3B8763FC"/>
    <w:rsid w:val="3B892174"/>
    <w:rsid w:val="3B9B5A04"/>
    <w:rsid w:val="3BA203F7"/>
    <w:rsid w:val="3BA26809"/>
    <w:rsid w:val="3BAA664E"/>
    <w:rsid w:val="3BB07701"/>
    <w:rsid w:val="3BB56AC5"/>
    <w:rsid w:val="3BB6283D"/>
    <w:rsid w:val="3BBB1991"/>
    <w:rsid w:val="3BBD1E1E"/>
    <w:rsid w:val="3BBD597A"/>
    <w:rsid w:val="3BBF16F2"/>
    <w:rsid w:val="3BC01777"/>
    <w:rsid w:val="3BC0269A"/>
    <w:rsid w:val="3BC1190E"/>
    <w:rsid w:val="3BC92571"/>
    <w:rsid w:val="3BC9431F"/>
    <w:rsid w:val="3BCD02B3"/>
    <w:rsid w:val="3BCE7B87"/>
    <w:rsid w:val="3BE850ED"/>
    <w:rsid w:val="3BF70E8C"/>
    <w:rsid w:val="3BFB67EA"/>
    <w:rsid w:val="3BFF41E4"/>
    <w:rsid w:val="3C016A7D"/>
    <w:rsid w:val="3C017F5D"/>
    <w:rsid w:val="3C065573"/>
    <w:rsid w:val="3C074E47"/>
    <w:rsid w:val="3C0B4937"/>
    <w:rsid w:val="3C0E61D6"/>
    <w:rsid w:val="3C1F03E3"/>
    <w:rsid w:val="3C211F85"/>
    <w:rsid w:val="3C2B6D87"/>
    <w:rsid w:val="3C2D6FA3"/>
    <w:rsid w:val="3C2E0626"/>
    <w:rsid w:val="3C31057F"/>
    <w:rsid w:val="3C327705"/>
    <w:rsid w:val="3C37397E"/>
    <w:rsid w:val="3C4147FD"/>
    <w:rsid w:val="3C4B742A"/>
    <w:rsid w:val="3C4F52DC"/>
    <w:rsid w:val="3C552056"/>
    <w:rsid w:val="3C5A2FA1"/>
    <w:rsid w:val="3C655E40"/>
    <w:rsid w:val="3C683B38"/>
    <w:rsid w:val="3C6B7ACC"/>
    <w:rsid w:val="3C6F3118"/>
    <w:rsid w:val="3C74072E"/>
    <w:rsid w:val="3C791E9A"/>
    <w:rsid w:val="3C7C5C4A"/>
    <w:rsid w:val="3C7D7C75"/>
    <w:rsid w:val="3C7E15AD"/>
    <w:rsid w:val="3C812767"/>
    <w:rsid w:val="3C830972"/>
    <w:rsid w:val="3C88242C"/>
    <w:rsid w:val="3C8D3764"/>
    <w:rsid w:val="3C8F37BA"/>
    <w:rsid w:val="3C9012E0"/>
    <w:rsid w:val="3C920BB5"/>
    <w:rsid w:val="3C9A5CBB"/>
    <w:rsid w:val="3C9E3A49"/>
    <w:rsid w:val="3CA134EE"/>
    <w:rsid w:val="3CA32DC2"/>
    <w:rsid w:val="3CA553D5"/>
    <w:rsid w:val="3CA64660"/>
    <w:rsid w:val="3CAA05F4"/>
    <w:rsid w:val="3CAB7EC8"/>
    <w:rsid w:val="3CAD59EE"/>
    <w:rsid w:val="3CAE221A"/>
    <w:rsid w:val="3CB03869"/>
    <w:rsid w:val="3CB95BEC"/>
    <w:rsid w:val="3CC04858"/>
    <w:rsid w:val="3CC05722"/>
    <w:rsid w:val="3CC203DF"/>
    <w:rsid w:val="3CC33464"/>
    <w:rsid w:val="3CCA2A44"/>
    <w:rsid w:val="3CCD42E3"/>
    <w:rsid w:val="3CD016DD"/>
    <w:rsid w:val="3CD1278F"/>
    <w:rsid w:val="3CD155B4"/>
    <w:rsid w:val="3CD218F9"/>
    <w:rsid w:val="3CD236A7"/>
    <w:rsid w:val="3CD64F45"/>
    <w:rsid w:val="3CDB07AE"/>
    <w:rsid w:val="3CDE204C"/>
    <w:rsid w:val="3CE07B72"/>
    <w:rsid w:val="3CE21B3C"/>
    <w:rsid w:val="3CE358B4"/>
    <w:rsid w:val="3CEF0F49"/>
    <w:rsid w:val="3CEF24AB"/>
    <w:rsid w:val="3CEF4259"/>
    <w:rsid w:val="3CF41DDE"/>
    <w:rsid w:val="3CFB49AC"/>
    <w:rsid w:val="3D001FC2"/>
    <w:rsid w:val="3D033860"/>
    <w:rsid w:val="3D0A2E41"/>
    <w:rsid w:val="3D112421"/>
    <w:rsid w:val="3D1D1E9F"/>
    <w:rsid w:val="3D2008B6"/>
    <w:rsid w:val="3D2263DC"/>
    <w:rsid w:val="3D3E2AEA"/>
    <w:rsid w:val="3D42082D"/>
    <w:rsid w:val="3D4225DB"/>
    <w:rsid w:val="3D430101"/>
    <w:rsid w:val="3D4A148F"/>
    <w:rsid w:val="3D4E71D1"/>
    <w:rsid w:val="3D516CC2"/>
    <w:rsid w:val="3D567E34"/>
    <w:rsid w:val="3D600CB3"/>
    <w:rsid w:val="3D622C7D"/>
    <w:rsid w:val="3D6407A3"/>
    <w:rsid w:val="3D65276D"/>
    <w:rsid w:val="3D6A7D83"/>
    <w:rsid w:val="3D6E7757"/>
    <w:rsid w:val="3D711112"/>
    <w:rsid w:val="3D74650C"/>
    <w:rsid w:val="3D7604D6"/>
    <w:rsid w:val="3D762284"/>
    <w:rsid w:val="3D7B5AED"/>
    <w:rsid w:val="3D7D3613"/>
    <w:rsid w:val="3D820AC1"/>
    <w:rsid w:val="3D840E45"/>
    <w:rsid w:val="3D89020A"/>
    <w:rsid w:val="3D8B528A"/>
    <w:rsid w:val="3D9372DA"/>
    <w:rsid w:val="3D946D5F"/>
    <w:rsid w:val="3D977A9D"/>
    <w:rsid w:val="3D98669F"/>
    <w:rsid w:val="3D995F73"/>
    <w:rsid w:val="3DA52B6A"/>
    <w:rsid w:val="3DAC214A"/>
    <w:rsid w:val="3DAE5EC2"/>
    <w:rsid w:val="3DB35B35"/>
    <w:rsid w:val="3DB42DAD"/>
    <w:rsid w:val="3DBD4357"/>
    <w:rsid w:val="3DC2196D"/>
    <w:rsid w:val="3DC464CB"/>
    <w:rsid w:val="3DC96858"/>
    <w:rsid w:val="3DCC00F6"/>
    <w:rsid w:val="3DCE0312"/>
    <w:rsid w:val="3DDF607B"/>
    <w:rsid w:val="3DE74F30"/>
    <w:rsid w:val="3DE844EE"/>
    <w:rsid w:val="3DEB4A20"/>
    <w:rsid w:val="3DEE4511"/>
    <w:rsid w:val="3DF00289"/>
    <w:rsid w:val="3DF32FC8"/>
    <w:rsid w:val="3DF5764D"/>
    <w:rsid w:val="3DF77869"/>
    <w:rsid w:val="3DFA4C63"/>
    <w:rsid w:val="3E045AE2"/>
    <w:rsid w:val="3E06185A"/>
    <w:rsid w:val="3E077380"/>
    <w:rsid w:val="3E1321C9"/>
    <w:rsid w:val="3E133F77"/>
    <w:rsid w:val="3E2241BA"/>
    <w:rsid w:val="3E23240C"/>
    <w:rsid w:val="3E247F32"/>
    <w:rsid w:val="3E265A58"/>
    <w:rsid w:val="3E271EB8"/>
    <w:rsid w:val="3E285C74"/>
    <w:rsid w:val="3E297E8A"/>
    <w:rsid w:val="3E2E0DB1"/>
    <w:rsid w:val="3E330175"/>
    <w:rsid w:val="3E382E3D"/>
    <w:rsid w:val="3E402FFD"/>
    <w:rsid w:val="3E412892"/>
    <w:rsid w:val="3E4203B8"/>
    <w:rsid w:val="3E426C21"/>
    <w:rsid w:val="3E432AAE"/>
    <w:rsid w:val="3E4D6EED"/>
    <w:rsid w:val="3E4F3616"/>
    <w:rsid w:val="3E522CF1"/>
    <w:rsid w:val="3E554590"/>
    <w:rsid w:val="3E565CBB"/>
    <w:rsid w:val="3E614CE2"/>
    <w:rsid w:val="3E646581"/>
    <w:rsid w:val="3E6532EA"/>
    <w:rsid w:val="3E667015"/>
    <w:rsid w:val="3E691DE9"/>
    <w:rsid w:val="3E75253C"/>
    <w:rsid w:val="3E7C7D6E"/>
    <w:rsid w:val="3E7E3AE6"/>
    <w:rsid w:val="3E80785E"/>
    <w:rsid w:val="3E9A1FA2"/>
    <w:rsid w:val="3E9D4299"/>
    <w:rsid w:val="3E9E1A93"/>
    <w:rsid w:val="3E9E2AE3"/>
    <w:rsid w:val="3EA6303D"/>
    <w:rsid w:val="3EAC433E"/>
    <w:rsid w:val="3EAF1EF2"/>
    <w:rsid w:val="3EB201B0"/>
    <w:rsid w:val="3EBE0387"/>
    <w:rsid w:val="3EBF7C5B"/>
    <w:rsid w:val="3EC425C4"/>
    <w:rsid w:val="3EC77AB5"/>
    <w:rsid w:val="3ECA2888"/>
    <w:rsid w:val="3ECD2378"/>
    <w:rsid w:val="3ECD4126"/>
    <w:rsid w:val="3ECF60F0"/>
    <w:rsid w:val="3ED23E32"/>
    <w:rsid w:val="3ED2798E"/>
    <w:rsid w:val="3ED37568"/>
    <w:rsid w:val="3ED5122D"/>
    <w:rsid w:val="3EDB4A95"/>
    <w:rsid w:val="3EE14075"/>
    <w:rsid w:val="3EE6168C"/>
    <w:rsid w:val="3EEA4CD8"/>
    <w:rsid w:val="3EEB0A50"/>
    <w:rsid w:val="3EED6576"/>
    <w:rsid w:val="3EEF0540"/>
    <w:rsid w:val="3EF142B8"/>
    <w:rsid w:val="3EF23B8C"/>
    <w:rsid w:val="3EF2616B"/>
    <w:rsid w:val="3EF45B57"/>
    <w:rsid w:val="3EF67B21"/>
    <w:rsid w:val="3F00274D"/>
    <w:rsid w:val="3F0044FB"/>
    <w:rsid w:val="3F012022"/>
    <w:rsid w:val="3F033FEC"/>
    <w:rsid w:val="3F035D9A"/>
    <w:rsid w:val="3F0538C0"/>
    <w:rsid w:val="3F073ADC"/>
    <w:rsid w:val="3F0D4E6A"/>
    <w:rsid w:val="3F141D55"/>
    <w:rsid w:val="3F1B1335"/>
    <w:rsid w:val="3F1B7587"/>
    <w:rsid w:val="3F1E4982"/>
    <w:rsid w:val="3F220916"/>
    <w:rsid w:val="3F2226C4"/>
    <w:rsid w:val="3F2521B4"/>
    <w:rsid w:val="3F255D10"/>
    <w:rsid w:val="3F285800"/>
    <w:rsid w:val="3F316DAB"/>
    <w:rsid w:val="3F3643C1"/>
    <w:rsid w:val="3F3B5533"/>
    <w:rsid w:val="3F3C12AC"/>
    <w:rsid w:val="3F3F2A69"/>
    <w:rsid w:val="3F43263A"/>
    <w:rsid w:val="3F473ED8"/>
    <w:rsid w:val="3F4A39C9"/>
    <w:rsid w:val="3F4C485E"/>
    <w:rsid w:val="3F4F7231"/>
    <w:rsid w:val="3F544847"/>
    <w:rsid w:val="3F591E5E"/>
    <w:rsid w:val="3F620D12"/>
    <w:rsid w:val="3F626F64"/>
    <w:rsid w:val="3F6853D5"/>
    <w:rsid w:val="3F6902F3"/>
    <w:rsid w:val="3F6A406B"/>
    <w:rsid w:val="3F6C7DE3"/>
    <w:rsid w:val="3F6E5909"/>
    <w:rsid w:val="3F6F1681"/>
    <w:rsid w:val="3F744EE9"/>
    <w:rsid w:val="3F762A0F"/>
    <w:rsid w:val="3F780536"/>
    <w:rsid w:val="3F7942AE"/>
    <w:rsid w:val="3F7B7136"/>
    <w:rsid w:val="3F8213B4"/>
    <w:rsid w:val="3F852C53"/>
    <w:rsid w:val="3F854A01"/>
    <w:rsid w:val="3F88660A"/>
    <w:rsid w:val="3F8F3AD1"/>
    <w:rsid w:val="3F93536F"/>
    <w:rsid w:val="3F982986"/>
    <w:rsid w:val="3F984734"/>
    <w:rsid w:val="3F9A4950"/>
    <w:rsid w:val="3F9B06C8"/>
    <w:rsid w:val="3F9B4224"/>
    <w:rsid w:val="3F9B5FD2"/>
    <w:rsid w:val="3FA255B3"/>
    <w:rsid w:val="3FA330D9"/>
    <w:rsid w:val="3FA702E8"/>
    <w:rsid w:val="3FA7706D"/>
    <w:rsid w:val="3FA86BA7"/>
    <w:rsid w:val="3FB06E22"/>
    <w:rsid w:val="3FB53538"/>
    <w:rsid w:val="3FB5738D"/>
    <w:rsid w:val="3FB84DD6"/>
    <w:rsid w:val="3FBA0B4E"/>
    <w:rsid w:val="3FBC64AD"/>
    <w:rsid w:val="3FC337AF"/>
    <w:rsid w:val="3FC45529"/>
    <w:rsid w:val="3FC96FE3"/>
    <w:rsid w:val="3FCE0156"/>
    <w:rsid w:val="3FD414E4"/>
    <w:rsid w:val="3FD85478"/>
    <w:rsid w:val="3FD876AC"/>
    <w:rsid w:val="3FDA11F0"/>
    <w:rsid w:val="3FE21E53"/>
    <w:rsid w:val="3FE47979"/>
    <w:rsid w:val="3FE61943"/>
    <w:rsid w:val="3FF322B2"/>
    <w:rsid w:val="3FFA0F4B"/>
    <w:rsid w:val="3FFD6C8D"/>
    <w:rsid w:val="3FFF4431"/>
    <w:rsid w:val="3FFF47B3"/>
    <w:rsid w:val="400224F5"/>
    <w:rsid w:val="400973E0"/>
    <w:rsid w:val="400B75FC"/>
    <w:rsid w:val="4010076E"/>
    <w:rsid w:val="40155D85"/>
    <w:rsid w:val="40175FA1"/>
    <w:rsid w:val="40186C41"/>
    <w:rsid w:val="401B0D58"/>
    <w:rsid w:val="401B7113"/>
    <w:rsid w:val="40204729"/>
    <w:rsid w:val="40255434"/>
    <w:rsid w:val="40287C10"/>
    <w:rsid w:val="402C1320"/>
    <w:rsid w:val="402E5098"/>
    <w:rsid w:val="402F46CA"/>
    <w:rsid w:val="40337D20"/>
    <w:rsid w:val="40354679"/>
    <w:rsid w:val="40356427"/>
    <w:rsid w:val="40384169"/>
    <w:rsid w:val="403F2E01"/>
    <w:rsid w:val="40402324"/>
    <w:rsid w:val="40416B7A"/>
    <w:rsid w:val="404228F2"/>
    <w:rsid w:val="40436D96"/>
    <w:rsid w:val="404B5C4A"/>
    <w:rsid w:val="404E74E8"/>
    <w:rsid w:val="40500053"/>
    <w:rsid w:val="405014B2"/>
    <w:rsid w:val="406B009A"/>
    <w:rsid w:val="406D3E12"/>
    <w:rsid w:val="40730CFD"/>
    <w:rsid w:val="407451A1"/>
    <w:rsid w:val="40750F19"/>
    <w:rsid w:val="40774C91"/>
    <w:rsid w:val="40784565"/>
    <w:rsid w:val="407F76A2"/>
    <w:rsid w:val="40864ED4"/>
    <w:rsid w:val="408B6047"/>
    <w:rsid w:val="408D0011"/>
    <w:rsid w:val="408E3D89"/>
    <w:rsid w:val="408E54D0"/>
    <w:rsid w:val="409749EB"/>
    <w:rsid w:val="40994C08"/>
    <w:rsid w:val="409C0254"/>
    <w:rsid w:val="40A47108"/>
    <w:rsid w:val="40A62E81"/>
    <w:rsid w:val="40A9471F"/>
    <w:rsid w:val="40AC425B"/>
    <w:rsid w:val="40B27A75"/>
    <w:rsid w:val="40BC26A4"/>
    <w:rsid w:val="40C33A32"/>
    <w:rsid w:val="40C81049"/>
    <w:rsid w:val="40CA0252"/>
    <w:rsid w:val="40CB0B39"/>
    <w:rsid w:val="40CB6D8B"/>
    <w:rsid w:val="40CF6F9D"/>
    <w:rsid w:val="40E1035D"/>
    <w:rsid w:val="40E1210B"/>
    <w:rsid w:val="40EA7211"/>
    <w:rsid w:val="40F2256A"/>
    <w:rsid w:val="40F41E3E"/>
    <w:rsid w:val="40F7192E"/>
    <w:rsid w:val="40FB4B2A"/>
    <w:rsid w:val="40FC0CF2"/>
    <w:rsid w:val="41087697"/>
    <w:rsid w:val="410D2F00"/>
    <w:rsid w:val="410F6C78"/>
    <w:rsid w:val="41110C42"/>
    <w:rsid w:val="41114BBA"/>
    <w:rsid w:val="411202E0"/>
    <w:rsid w:val="411249BA"/>
    <w:rsid w:val="411403E5"/>
    <w:rsid w:val="411C3143"/>
    <w:rsid w:val="411C75E7"/>
    <w:rsid w:val="411D6F49"/>
    <w:rsid w:val="412344D1"/>
    <w:rsid w:val="4125649B"/>
    <w:rsid w:val="41287D39"/>
    <w:rsid w:val="413B181B"/>
    <w:rsid w:val="413B7A6D"/>
    <w:rsid w:val="413C5593"/>
    <w:rsid w:val="413D1A37"/>
    <w:rsid w:val="413E57AF"/>
    <w:rsid w:val="41426187"/>
    <w:rsid w:val="41550275"/>
    <w:rsid w:val="41555735"/>
    <w:rsid w:val="41581B97"/>
    <w:rsid w:val="41586871"/>
    <w:rsid w:val="41596145"/>
    <w:rsid w:val="415B3C6B"/>
    <w:rsid w:val="4167271B"/>
    <w:rsid w:val="416A65A4"/>
    <w:rsid w:val="416B7303"/>
    <w:rsid w:val="416F3BBA"/>
    <w:rsid w:val="416F7716"/>
    <w:rsid w:val="417100D9"/>
    <w:rsid w:val="417D0085"/>
    <w:rsid w:val="418036D2"/>
    <w:rsid w:val="4182744A"/>
    <w:rsid w:val="418A27A2"/>
    <w:rsid w:val="418A4550"/>
    <w:rsid w:val="41990C37"/>
    <w:rsid w:val="41991A83"/>
    <w:rsid w:val="419B0324"/>
    <w:rsid w:val="419B49AF"/>
    <w:rsid w:val="419C135A"/>
    <w:rsid w:val="419D4283"/>
    <w:rsid w:val="41AD023F"/>
    <w:rsid w:val="41AE6491"/>
    <w:rsid w:val="41B65345"/>
    <w:rsid w:val="41B94E35"/>
    <w:rsid w:val="41BB48E2"/>
    <w:rsid w:val="41BB6559"/>
    <w:rsid w:val="41C07F5B"/>
    <w:rsid w:val="41C71300"/>
    <w:rsid w:val="41CE2FC4"/>
    <w:rsid w:val="41CE3A06"/>
    <w:rsid w:val="41CF6407"/>
    <w:rsid w:val="41DA7286"/>
    <w:rsid w:val="41DB6C4C"/>
    <w:rsid w:val="41DC67EC"/>
    <w:rsid w:val="41DD0B24"/>
    <w:rsid w:val="41E023C2"/>
    <w:rsid w:val="41E719A3"/>
    <w:rsid w:val="41E81277"/>
    <w:rsid w:val="41E9571B"/>
    <w:rsid w:val="41EC520B"/>
    <w:rsid w:val="41F1637D"/>
    <w:rsid w:val="41F93484"/>
    <w:rsid w:val="41FB71FC"/>
    <w:rsid w:val="41FD11C6"/>
    <w:rsid w:val="41FD4D22"/>
    <w:rsid w:val="420460B1"/>
    <w:rsid w:val="42075B30"/>
    <w:rsid w:val="42097B6B"/>
    <w:rsid w:val="420C31B7"/>
    <w:rsid w:val="42134546"/>
    <w:rsid w:val="421B33FA"/>
    <w:rsid w:val="421D510F"/>
    <w:rsid w:val="421D53C4"/>
    <w:rsid w:val="42206C63"/>
    <w:rsid w:val="42213239"/>
    <w:rsid w:val="42240501"/>
    <w:rsid w:val="42254279"/>
    <w:rsid w:val="422A188F"/>
    <w:rsid w:val="422B44D2"/>
    <w:rsid w:val="423746D8"/>
    <w:rsid w:val="423D5A66"/>
    <w:rsid w:val="423D6ED2"/>
    <w:rsid w:val="423F17DF"/>
    <w:rsid w:val="42417305"/>
    <w:rsid w:val="42440BA3"/>
    <w:rsid w:val="42442951"/>
    <w:rsid w:val="424741EF"/>
    <w:rsid w:val="4249440B"/>
    <w:rsid w:val="424961B9"/>
    <w:rsid w:val="425012F6"/>
    <w:rsid w:val="4250579A"/>
    <w:rsid w:val="425132C0"/>
    <w:rsid w:val="42576B28"/>
    <w:rsid w:val="42613AF4"/>
    <w:rsid w:val="42660B19"/>
    <w:rsid w:val="4269060A"/>
    <w:rsid w:val="426F3D3E"/>
    <w:rsid w:val="427A2817"/>
    <w:rsid w:val="427D40B5"/>
    <w:rsid w:val="427E2307"/>
    <w:rsid w:val="42817701"/>
    <w:rsid w:val="4283791D"/>
    <w:rsid w:val="42862F6A"/>
    <w:rsid w:val="42890CAC"/>
    <w:rsid w:val="428A2A07"/>
    <w:rsid w:val="428E1E1E"/>
    <w:rsid w:val="42950873"/>
    <w:rsid w:val="42A56F6B"/>
    <w:rsid w:val="42A81132"/>
    <w:rsid w:val="42AB29D0"/>
    <w:rsid w:val="42AC04F6"/>
    <w:rsid w:val="42B06238"/>
    <w:rsid w:val="42B15B0D"/>
    <w:rsid w:val="42B23D5F"/>
    <w:rsid w:val="42B51AA1"/>
    <w:rsid w:val="42B530EB"/>
    <w:rsid w:val="42B61622"/>
    <w:rsid w:val="42B850ED"/>
    <w:rsid w:val="42BC4BDD"/>
    <w:rsid w:val="42BC698B"/>
    <w:rsid w:val="42BF46CD"/>
    <w:rsid w:val="42C121F4"/>
    <w:rsid w:val="42C615B8"/>
    <w:rsid w:val="42CB7847"/>
    <w:rsid w:val="42D00689"/>
    <w:rsid w:val="42D31F27"/>
    <w:rsid w:val="42D40179"/>
    <w:rsid w:val="42D950B7"/>
    <w:rsid w:val="42DA3976"/>
    <w:rsid w:val="42E163F2"/>
    <w:rsid w:val="42E303BC"/>
    <w:rsid w:val="42EA48FB"/>
    <w:rsid w:val="42EA799C"/>
    <w:rsid w:val="42ED2FE9"/>
    <w:rsid w:val="42F1414D"/>
    <w:rsid w:val="42F205FF"/>
    <w:rsid w:val="42F36125"/>
    <w:rsid w:val="42F9198D"/>
    <w:rsid w:val="42F97BDF"/>
    <w:rsid w:val="42FA5DD9"/>
    <w:rsid w:val="43012B66"/>
    <w:rsid w:val="43016A94"/>
    <w:rsid w:val="4303280C"/>
    <w:rsid w:val="430420E0"/>
    <w:rsid w:val="430B346F"/>
    <w:rsid w:val="430B6217"/>
    <w:rsid w:val="43105D77"/>
    <w:rsid w:val="43120CA1"/>
    <w:rsid w:val="43160791"/>
    <w:rsid w:val="431E7646"/>
    <w:rsid w:val="43217136"/>
    <w:rsid w:val="432F1853"/>
    <w:rsid w:val="43317379"/>
    <w:rsid w:val="43340C18"/>
    <w:rsid w:val="433429C6"/>
    <w:rsid w:val="43370708"/>
    <w:rsid w:val="43377FF5"/>
    <w:rsid w:val="434075BC"/>
    <w:rsid w:val="43543068"/>
    <w:rsid w:val="43543B6A"/>
    <w:rsid w:val="43560B8E"/>
    <w:rsid w:val="435900C6"/>
    <w:rsid w:val="435E5C94"/>
    <w:rsid w:val="43607D93"/>
    <w:rsid w:val="43626EDB"/>
    <w:rsid w:val="43672D9B"/>
    <w:rsid w:val="436D5ED7"/>
    <w:rsid w:val="43713C1A"/>
    <w:rsid w:val="43737FC8"/>
    <w:rsid w:val="43741014"/>
    <w:rsid w:val="437454B8"/>
    <w:rsid w:val="43790D20"/>
    <w:rsid w:val="437C436D"/>
    <w:rsid w:val="43805C0B"/>
    <w:rsid w:val="43813731"/>
    <w:rsid w:val="43827BD5"/>
    <w:rsid w:val="43882D11"/>
    <w:rsid w:val="438970F8"/>
    <w:rsid w:val="438A6A89"/>
    <w:rsid w:val="43903E1A"/>
    <w:rsid w:val="439B47F3"/>
    <w:rsid w:val="439C056B"/>
    <w:rsid w:val="43A01E09"/>
    <w:rsid w:val="43A23DD3"/>
    <w:rsid w:val="43A37B4B"/>
    <w:rsid w:val="43A51B15"/>
    <w:rsid w:val="43A555FD"/>
    <w:rsid w:val="43A7763B"/>
    <w:rsid w:val="43A92A16"/>
    <w:rsid w:val="43B14016"/>
    <w:rsid w:val="43B458B4"/>
    <w:rsid w:val="43B52F07"/>
    <w:rsid w:val="43B86CB7"/>
    <w:rsid w:val="43BB5638"/>
    <w:rsid w:val="43BE0A61"/>
    <w:rsid w:val="43BF1A33"/>
    <w:rsid w:val="43C024AB"/>
    <w:rsid w:val="43C57AC2"/>
    <w:rsid w:val="43C71A8C"/>
    <w:rsid w:val="43C81360"/>
    <w:rsid w:val="43CF10C5"/>
    <w:rsid w:val="43D146B8"/>
    <w:rsid w:val="43D85A47"/>
    <w:rsid w:val="43D917BF"/>
    <w:rsid w:val="43E07893"/>
    <w:rsid w:val="43E77A38"/>
    <w:rsid w:val="43EF4B3E"/>
    <w:rsid w:val="43F14D5A"/>
    <w:rsid w:val="43F81C45"/>
    <w:rsid w:val="43F959BD"/>
    <w:rsid w:val="43FB1735"/>
    <w:rsid w:val="44002680"/>
    <w:rsid w:val="44006D4C"/>
    <w:rsid w:val="44006E93"/>
    <w:rsid w:val="440B4E92"/>
    <w:rsid w:val="440E3217"/>
    <w:rsid w:val="441822E7"/>
    <w:rsid w:val="441A2ABD"/>
    <w:rsid w:val="441B1DD7"/>
    <w:rsid w:val="44231DF0"/>
    <w:rsid w:val="442C7B41"/>
    <w:rsid w:val="442D18F9"/>
    <w:rsid w:val="443133A9"/>
    <w:rsid w:val="443D58AA"/>
    <w:rsid w:val="443E65D3"/>
    <w:rsid w:val="443F1622"/>
    <w:rsid w:val="443F7874"/>
    <w:rsid w:val="44401193"/>
    <w:rsid w:val="445157F9"/>
    <w:rsid w:val="44531571"/>
    <w:rsid w:val="4453331F"/>
    <w:rsid w:val="44580936"/>
    <w:rsid w:val="445826E4"/>
    <w:rsid w:val="445B21D4"/>
    <w:rsid w:val="445D5F4C"/>
    <w:rsid w:val="445E4006"/>
    <w:rsid w:val="44676DCB"/>
    <w:rsid w:val="446A0634"/>
    <w:rsid w:val="446A2417"/>
    <w:rsid w:val="446E1F07"/>
    <w:rsid w:val="44705C7F"/>
    <w:rsid w:val="44735770"/>
    <w:rsid w:val="4473751E"/>
    <w:rsid w:val="447514E8"/>
    <w:rsid w:val="44802200"/>
    <w:rsid w:val="44816692"/>
    <w:rsid w:val="448434D9"/>
    <w:rsid w:val="44894F93"/>
    <w:rsid w:val="4496544D"/>
    <w:rsid w:val="4497145E"/>
    <w:rsid w:val="449B0822"/>
    <w:rsid w:val="449C4CC6"/>
    <w:rsid w:val="449D459A"/>
    <w:rsid w:val="449F0313"/>
    <w:rsid w:val="44A616A1"/>
    <w:rsid w:val="44A973E3"/>
    <w:rsid w:val="44B00772"/>
    <w:rsid w:val="44B518E4"/>
    <w:rsid w:val="44BA514C"/>
    <w:rsid w:val="44BD4C3D"/>
    <w:rsid w:val="44BD5813"/>
    <w:rsid w:val="44C10289"/>
    <w:rsid w:val="44C25999"/>
    <w:rsid w:val="44C33ACC"/>
    <w:rsid w:val="44C47D79"/>
    <w:rsid w:val="44C602C6"/>
    <w:rsid w:val="44C77996"/>
    <w:rsid w:val="44CB55AC"/>
    <w:rsid w:val="44CB735A"/>
    <w:rsid w:val="44CD4E80"/>
    <w:rsid w:val="44CE29A6"/>
    <w:rsid w:val="44D3620E"/>
    <w:rsid w:val="44D426B2"/>
    <w:rsid w:val="44D77AAC"/>
    <w:rsid w:val="44DA134B"/>
    <w:rsid w:val="44DC3315"/>
    <w:rsid w:val="44DD6C2C"/>
    <w:rsid w:val="44DF2E05"/>
    <w:rsid w:val="44E346A3"/>
    <w:rsid w:val="44E65F41"/>
    <w:rsid w:val="44E76F80"/>
    <w:rsid w:val="44E95A32"/>
    <w:rsid w:val="44EB7882"/>
    <w:rsid w:val="44F41C55"/>
    <w:rsid w:val="44F543D6"/>
    <w:rsid w:val="44F7014F"/>
    <w:rsid w:val="44FC36FE"/>
    <w:rsid w:val="44FC7513"/>
    <w:rsid w:val="44FF34A7"/>
    <w:rsid w:val="45012D7B"/>
    <w:rsid w:val="45060392"/>
    <w:rsid w:val="450A60D4"/>
    <w:rsid w:val="450B3BFA"/>
    <w:rsid w:val="45107462"/>
    <w:rsid w:val="451505D5"/>
    <w:rsid w:val="4517259F"/>
    <w:rsid w:val="451E392D"/>
    <w:rsid w:val="451F76A5"/>
    <w:rsid w:val="452151CC"/>
    <w:rsid w:val="452847AC"/>
    <w:rsid w:val="4528655A"/>
    <w:rsid w:val="452E1696"/>
    <w:rsid w:val="45316955"/>
    <w:rsid w:val="453C3DB3"/>
    <w:rsid w:val="4541586E"/>
    <w:rsid w:val="45435142"/>
    <w:rsid w:val="454669E0"/>
    <w:rsid w:val="454964D0"/>
    <w:rsid w:val="454B049A"/>
    <w:rsid w:val="454F3AE7"/>
    <w:rsid w:val="45513D03"/>
    <w:rsid w:val="45521829"/>
    <w:rsid w:val="455A06DD"/>
    <w:rsid w:val="45603F46"/>
    <w:rsid w:val="4561381A"/>
    <w:rsid w:val="456D0411"/>
    <w:rsid w:val="45765517"/>
    <w:rsid w:val="45774DEB"/>
    <w:rsid w:val="457B0D80"/>
    <w:rsid w:val="457F3C80"/>
    <w:rsid w:val="45802CF6"/>
    <w:rsid w:val="45833790"/>
    <w:rsid w:val="458C4D3B"/>
    <w:rsid w:val="458F0387"/>
    <w:rsid w:val="458F482B"/>
    <w:rsid w:val="4597723C"/>
    <w:rsid w:val="459A3F8A"/>
    <w:rsid w:val="459B4F7E"/>
    <w:rsid w:val="459E05CA"/>
    <w:rsid w:val="45A24357"/>
    <w:rsid w:val="45A2455E"/>
    <w:rsid w:val="45A35BE1"/>
    <w:rsid w:val="45A8769B"/>
    <w:rsid w:val="45AA3413"/>
    <w:rsid w:val="45AA74EB"/>
    <w:rsid w:val="45AC0F39"/>
    <w:rsid w:val="45AD2F03"/>
    <w:rsid w:val="45B47DEE"/>
    <w:rsid w:val="45B63B66"/>
    <w:rsid w:val="45BE6EBE"/>
    <w:rsid w:val="45C06792"/>
    <w:rsid w:val="45C10B4B"/>
    <w:rsid w:val="45C53DA9"/>
    <w:rsid w:val="45C76CFE"/>
    <w:rsid w:val="45CA13BF"/>
    <w:rsid w:val="45D1274E"/>
    <w:rsid w:val="45DD27EF"/>
    <w:rsid w:val="45DE4E6B"/>
    <w:rsid w:val="45E217EA"/>
    <w:rsid w:val="45E701C3"/>
    <w:rsid w:val="45E87A97"/>
    <w:rsid w:val="45E953AB"/>
    <w:rsid w:val="45EA380F"/>
    <w:rsid w:val="45F44CA7"/>
    <w:rsid w:val="45F91CA4"/>
    <w:rsid w:val="46040D75"/>
    <w:rsid w:val="460743C1"/>
    <w:rsid w:val="460D47A6"/>
    <w:rsid w:val="460D74FE"/>
    <w:rsid w:val="460F771A"/>
    <w:rsid w:val="46120473"/>
    <w:rsid w:val="4618037D"/>
    <w:rsid w:val="46216A5D"/>
    <w:rsid w:val="46236D21"/>
    <w:rsid w:val="462A4554"/>
    <w:rsid w:val="462F0E76"/>
    <w:rsid w:val="462F56C6"/>
    <w:rsid w:val="463158E2"/>
    <w:rsid w:val="46362EF9"/>
    <w:rsid w:val="46386C71"/>
    <w:rsid w:val="46395D4A"/>
    <w:rsid w:val="464253F9"/>
    <w:rsid w:val="464A3AC3"/>
    <w:rsid w:val="464E30C8"/>
    <w:rsid w:val="464E55C2"/>
    <w:rsid w:val="46517D32"/>
    <w:rsid w:val="46537607"/>
    <w:rsid w:val="465810C1"/>
    <w:rsid w:val="465869CB"/>
    <w:rsid w:val="465D0485"/>
    <w:rsid w:val="465D2233"/>
    <w:rsid w:val="465D66D7"/>
    <w:rsid w:val="4665733A"/>
    <w:rsid w:val="46674E60"/>
    <w:rsid w:val="46690BD8"/>
    <w:rsid w:val="466B0DF4"/>
    <w:rsid w:val="466B2BA2"/>
    <w:rsid w:val="467557CF"/>
    <w:rsid w:val="467D4684"/>
    <w:rsid w:val="4682613E"/>
    <w:rsid w:val="468448D8"/>
    <w:rsid w:val="46845A12"/>
    <w:rsid w:val="4685178A"/>
    <w:rsid w:val="46873754"/>
    <w:rsid w:val="468A0B4E"/>
    <w:rsid w:val="468E4AE3"/>
    <w:rsid w:val="46911EDD"/>
    <w:rsid w:val="4698770F"/>
    <w:rsid w:val="469D2F78"/>
    <w:rsid w:val="469F0A9E"/>
    <w:rsid w:val="46A00372"/>
    <w:rsid w:val="46A165C4"/>
    <w:rsid w:val="46A41C10"/>
    <w:rsid w:val="46A71700"/>
    <w:rsid w:val="46AE0CE1"/>
    <w:rsid w:val="46AE2A8F"/>
    <w:rsid w:val="46AF4A95"/>
    <w:rsid w:val="46B34549"/>
    <w:rsid w:val="46B5206F"/>
    <w:rsid w:val="46BA58D8"/>
    <w:rsid w:val="46C10A14"/>
    <w:rsid w:val="46C2478C"/>
    <w:rsid w:val="46C5493C"/>
    <w:rsid w:val="46C73B51"/>
    <w:rsid w:val="46C95B1B"/>
    <w:rsid w:val="46CB1893"/>
    <w:rsid w:val="46D02A05"/>
    <w:rsid w:val="46D06EA9"/>
    <w:rsid w:val="46D1677D"/>
    <w:rsid w:val="46D52711"/>
    <w:rsid w:val="46D5626E"/>
    <w:rsid w:val="46DB13AA"/>
    <w:rsid w:val="46E22739"/>
    <w:rsid w:val="46E666CD"/>
    <w:rsid w:val="46E75FA1"/>
    <w:rsid w:val="46F25071"/>
    <w:rsid w:val="46F34946"/>
    <w:rsid w:val="46F5246C"/>
    <w:rsid w:val="46F530AF"/>
    <w:rsid w:val="46F56910"/>
    <w:rsid w:val="46F60841"/>
    <w:rsid w:val="46F74436"/>
    <w:rsid w:val="46FA2178"/>
    <w:rsid w:val="46FD7572"/>
    <w:rsid w:val="47017063"/>
    <w:rsid w:val="47040901"/>
    <w:rsid w:val="470628CB"/>
    <w:rsid w:val="471104BE"/>
    <w:rsid w:val="471274C2"/>
    <w:rsid w:val="47136D96"/>
    <w:rsid w:val="471548BC"/>
    <w:rsid w:val="47174AD8"/>
    <w:rsid w:val="47174CAF"/>
    <w:rsid w:val="47180621"/>
    <w:rsid w:val="471D19C3"/>
    <w:rsid w:val="471F0477"/>
    <w:rsid w:val="471F41F4"/>
    <w:rsid w:val="47215957"/>
    <w:rsid w:val="47240FA3"/>
    <w:rsid w:val="472471F5"/>
    <w:rsid w:val="47266AC9"/>
    <w:rsid w:val="472965B9"/>
    <w:rsid w:val="47307948"/>
    <w:rsid w:val="473311E6"/>
    <w:rsid w:val="4734568A"/>
    <w:rsid w:val="473531B0"/>
    <w:rsid w:val="47392CA0"/>
    <w:rsid w:val="473F7B8B"/>
    <w:rsid w:val="474156B1"/>
    <w:rsid w:val="47431429"/>
    <w:rsid w:val="47460F19"/>
    <w:rsid w:val="474653BD"/>
    <w:rsid w:val="47486A40"/>
    <w:rsid w:val="474927B8"/>
    <w:rsid w:val="47543636"/>
    <w:rsid w:val="4755115C"/>
    <w:rsid w:val="475573AE"/>
    <w:rsid w:val="475A6773"/>
    <w:rsid w:val="475C073D"/>
    <w:rsid w:val="475F1FDB"/>
    <w:rsid w:val="476615BC"/>
    <w:rsid w:val="476F66C2"/>
    <w:rsid w:val="477041E8"/>
    <w:rsid w:val="477157D3"/>
    <w:rsid w:val="47777325"/>
    <w:rsid w:val="47855EE6"/>
    <w:rsid w:val="478A52AA"/>
    <w:rsid w:val="478C7274"/>
    <w:rsid w:val="478F0B12"/>
    <w:rsid w:val="47971775"/>
    <w:rsid w:val="479E3F54"/>
    <w:rsid w:val="479E48B1"/>
    <w:rsid w:val="47A0312A"/>
    <w:rsid w:val="47A10846"/>
    <w:rsid w:val="47A250AC"/>
    <w:rsid w:val="47A3636C"/>
    <w:rsid w:val="47A45C40"/>
    <w:rsid w:val="47A520E4"/>
    <w:rsid w:val="47A53E92"/>
    <w:rsid w:val="47AD2D46"/>
    <w:rsid w:val="47BC742D"/>
    <w:rsid w:val="47C16EF4"/>
    <w:rsid w:val="47C3256A"/>
    <w:rsid w:val="47C36A0E"/>
    <w:rsid w:val="47C85DD2"/>
    <w:rsid w:val="47CA56A6"/>
    <w:rsid w:val="47CC58C3"/>
    <w:rsid w:val="47CE2C39"/>
    <w:rsid w:val="47D32A4A"/>
    <w:rsid w:val="47D44777"/>
    <w:rsid w:val="47D97FDF"/>
    <w:rsid w:val="47DB78B4"/>
    <w:rsid w:val="47E250E6"/>
    <w:rsid w:val="47E2796E"/>
    <w:rsid w:val="47E32C0C"/>
    <w:rsid w:val="47E524E0"/>
    <w:rsid w:val="47E72350"/>
    <w:rsid w:val="47E744AA"/>
    <w:rsid w:val="47E80223"/>
    <w:rsid w:val="47F00E85"/>
    <w:rsid w:val="47F210A1"/>
    <w:rsid w:val="47F40975"/>
    <w:rsid w:val="47F44E19"/>
    <w:rsid w:val="47FB1D04"/>
    <w:rsid w:val="47FE35A2"/>
    <w:rsid w:val="48015AC8"/>
    <w:rsid w:val="480212E4"/>
    <w:rsid w:val="48030BB8"/>
    <w:rsid w:val="480706A9"/>
    <w:rsid w:val="480F57AF"/>
    <w:rsid w:val="481334F1"/>
    <w:rsid w:val="481608EC"/>
    <w:rsid w:val="481D46A7"/>
    <w:rsid w:val="481E1E96"/>
    <w:rsid w:val="48311BC9"/>
    <w:rsid w:val="48360F8E"/>
    <w:rsid w:val="483A14AB"/>
    <w:rsid w:val="48482A6F"/>
    <w:rsid w:val="484D62D8"/>
    <w:rsid w:val="484F02A2"/>
    <w:rsid w:val="48566CF1"/>
    <w:rsid w:val="485F6737"/>
    <w:rsid w:val="48623B31"/>
    <w:rsid w:val="486C2C02"/>
    <w:rsid w:val="486C49B0"/>
    <w:rsid w:val="487815A6"/>
    <w:rsid w:val="487D4E0F"/>
    <w:rsid w:val="48822425"/>
    <w:rsid w:val="48883FAF"/>
    <w:rsid w:val="488937B4"/>
    <w:rsid w:val="488B752C"/>
    <w:rsid w:val="48912668"/>
    <w:rsid w:val="4892703C"/>
    <w:rsid w:val="48945CB4"/>
    <w:rsid w:val="48955123"/>
    <w:rsid w:val="489F2FD7"/>
    <w:rsid w:val="489F4D85"/>
    <w:rsid w:val="48A1627C"/>
    <w:rsid w:val="48A979B2"/>
    <w:rsid w:val="48AE4FC8"/>
    <w:rsid w:val="48BB1493"/>
    <w:rsid w:val="48C14140"/>
    <w:rsid w:val="48CC544E"/>
    <w:rsid w:val="48D05C13"/>
    <w:rsid w:val="48D16F09"/>
    <w:rsid w:val="48D2515B"/>
    <w:rsid w:val="48DA5DBD"/>
    <w:rsid w:val="48DB7218"/>
    <w:rsid w:val="48DC39C1"/>
    <w:rsid w:val="48DC4216"/>
    <w:rsid w:val="48E21116"/>
    <w:rsid w:val="48E24C72"/>
    <w:rsid w:val="48E96000"/>
    <w:rsid w:val="48EB6FC3"/>
    <w:rsid w:val="48EE1869"/>
    <w:rsid w:val="48F14EB5"/>
    <w:rsid w:val="48F21359"/>
    <w:rsid w:val="48F30C2D"/>
    <w:rsid w:val="48F52BF7"/>
    <w:rsid w:val="48F86243"/>
    <w:rsid w:val="48FA645F"/>
    <w:rsid w:val="48FB5D34"/>
    <w:rsid w:val="48FD1AAC"/>
    <w:rsid w:val="4900334A"/>
    <w:rsid w:val="4901159C"/>
    <w:rsid w:val="49044BE8"/>
    <w:rsid w:val="49060960"/>
    <w:rsid w:val="491017DF"/>
    <w:rsid w:val="491312CF"/>
    <w:rsid w:val="49170DBF"/>
    <w:rsid w:val="491A08B0"/>
    <w:rsid w:val="491A265E"/>
    <w:rsid w:val="491C4628"/>
    <w:rsid w:val="491D214E"/>
    <w:rsid w:val="4921579A"/>
    <w:rsid w:val="49217A8E"/>
    <w:rsid w:val="49284D7B"/>
    <w:rsid w:val="4929464F"/>
    <w:rsid w:val="492A08B6"/>
    <w:rsid w:val="492E435B"/>
    <w:rsid w:val="49307A8A"/>
    <w:rsid w:val="49311755"/>
    <w:rsid w:val="493354CD"/>
    <w:rsid w:val="49380D36"/>
    <w:rsid w:val="493A02D3"/>
    <w:rsid w:val="493D2CD7"/>
    <w:rsid w:val="493F20C4"/>
    <w:rsid w:val="49423962"/>
    <w:rsid w:val="49442815"/>
    <w:rsid w:val="494476DB"/>
    <w:rsid w:val="49495157"/>
    <w:rsid w:val="494B0A69"/>
    <w:rsid w:val="49507E2D"/>
    <w:rsid w:val="495913D8"/>
    <w:rsid w:val="495A0CAC"/>
    <w:rsid w:val="495B713C"/>
    <w:rsid w:val="495C2C76"/>
    <w:rsid w:val="495D254A"/>
    <w:rsid w:val="496051E2"/>
    <w:rsid w:val="4961203A"/>
    <w:rsid w:val="496140CE"/>
    <w:rsid w:val="49697141"/>
    <w:rsid w:val="496D4E83"/>
    <w:rsid w:val="496F0BFB"/>
    <w:rsid w:val="4977360C"/>
    <w:rsid w:val="497C6E74"/>
    <w:rsid w:val="4981448B"/>
    <w:rsid w:val="49831FB1"/>
    <w:rsid w:val="49836455"/>
    <w:rsid w:val="49851138"/>
    <w:rsid w:val="4989333F"/>
    <w:rsid w:val="498A77E3"/>
    <w:rsid w:val="49926698"/>
    <w:rsid w:val="49935F6C"/>
    <w:rsid w:val="49957F36"/>
    <w:rsid w:val="49973CAE"/>
    <w:rsid w:val="499A379E"/>
    <w:rsid w:val="499A554C"/>
    <w:rsid w:val="499E503D"/>
    <w:rsid w:val="499E77F8"/>
    <w:rsid w:val="499F0DB5"/>
    <w:rsid w:val="49A168DB"/>
    <w:rsid w:val="49A5461D"/>
    <w:rsid w:val="49A63EF1"/>
    <w:rsid w:val="49A81A17"/>
    <w:rsid w:val="49AD1724"/>
    <w:rsid w:val="49B06B1E"/>
    <w:rsid w:val="49B22896"/>
    <w:rsid w:val="49B93C25"/>
    <w:rsid w:val="49BE12C9"/>
    <w:rsid w:val="49BF6D61"/>
    <w:rsid w:val="49C56A6D"/>
    <w:rsid w:val="49CE6B99"/>
    <w:rsid w:val="49D071C0"/>
    <w:rsid w:val="49D56585"/>
    <w:rsid w:val="49D96075"/>
    <w:rsid w:val="49DF11B1"/>
    <w:rsid w:val="49E014BA"/>
    <w:rsid w:val="49E213D9"/>
    <w:rsid w:val="49E36EF3"/>
    <w:rsid w:val="49EE6E87"/>
    <w:rsid w:val="49EF3AEA"/>
    <w:rsid w:val="49F3164E"/>
    <w:rsid w:val="49F36EFC"/>
    <w:rsid w:val="4A013C4D"/>
    <w:rsid w:val="4A080708"/>
    <w:rsid w:val="4A0C644A"/>
    <w:rsid w:val="4A123335"/>
    <w:rsid w:val="4A125A77"/>
    <w:rsid w:val="4A175E73"/>
    <w:rsid w:val="4A192915"/>
    <w:rsid w:val="4A1B043B"/>
    <w:rsid w:val="4A1B668D"/>
    <w:rsid w:val="4A2A42E9"/>
    <w:rsid w:val="4A2F3EE7"/>
    <w:rsid w:val="4A31355F"/>
    <w:rsid w:val="4A374922"/>
    <w:rsid w:val="4A38723F"/>
    <w:rsid w:val="4A396B13"/>
    <w:rsid w:val="4A3A3DDE"/>
    <w:rsid w:val="4A3E412A"/>
    <w:rsid w:val="4A4060F4"/>
    <w:rsid w:val="4A413C1A"/>
    <w:rsid w:val="4A443E36"/>
    <w:rsid w:val="4A45195C"/>
    <w:rsid w:val="4A4831FA"/>
    <w:rsid w:val="4A4B5CAA"/>
    <w:rsid w:val="4A563B69"/>
    <w:rsid w:val="4A590F64"/>
    <w:rsid w:val="4A5971B6"/>
    <w:rsid w:val="4A6307A0"/>
    <w:rsid w:val="4A631DE2"/>
    <w:rsid w:val="4A67453C"/>
    <w:rsid w:val="4A6C4A3C"/>
    <w:rsid w:val="4A6F21D0"/>
    <w:rsid w:val="4A7144FF"/>
    <w:rsid w:val="4A767D68"/>
    <w:rsid w:val="4A804742"/>
    <w:rsid w:val="4A871F75"/>
    <w:rsid w:val="4A8F0E29"/>
    <w:rsid w:val="4A8F4985"/>
    <w:rsid w:val="4A963F66"/>
    <w:rsid w:val="4A9B5A20"/>
    <w:rsid w:val="4AA03036"/>
    <w:rsid w:val="4AA246B9"/>
    <w:rsid w:val="4AA46683"/>
    <w:rsid w:val="4AA5064D"/>
    <w:rsid w:val="4AA523FB"/>
    <w:rsid w:val="4AA93C99"/>
    <w:rsid w:val="4AAD305D"/>
    <w:rsid w:val="4AAF5028"/>
    <w:rsid w:val="4AB368C6"/>
    <w:rsid w:val="4ABB1C1E"/>
    <w:rsid w:val="4ABB39CC"/>
    <w:rsid w:val="4AC26B09"/>
    <w:rsid w:val="4AC5484B"/>
    <w:rsid w:val="4AC97E97"/>
    <w:rsid w:val="4ACC6DEF"/>
    <w:rsid w:val="4ACC7988"/>
    <w:rsid w:val="4ACE54AE"/>
    <w:rsid w:val="4AD1197D"/>
    <w:rsid w:val="4AD14F9E"/>
    <w:rsid w:val="4AD54A8E"/>
    <w:rsid w:val="4AD66A58"/>
    <w:rsid w:val="4AD827D0"/>
    <w:rsid w:val="4AD8632C"/>
    <w:rsid w:val="4ADA0C7B"/>
    <w:rsid w:val="4AE42F23"/>
    <w:rsid w:val="4AE66C9B"/>
    <w:rsid w:val="4AE90040"/>
    <w:rsid w:val="4AEA6060"/>
    <w:rsid w:val="4AF13892"/>
    <w:rsid w:val="4AF33166"/>
    <w:rsid w:val="4AF34F14"/>
    <w:rsid w:val="4AF4276E"/>
    <w:rsid w:val="4AF64A04"/>
    <w:rsid w:val="4AF866A5"/>
    <w:rsid w:val="4AF869CF"/>
    <w:rsid w:val="4AFA62A3"/>
    <w:rsid w:val="4AFD3FE5"/>
    <w:rsid w:val="4AFE2B92"/>
    <w:rsid w:val="4AFF1B0B"/>
    <w:rsid w:val="4B005883"/>
    <w:rsid w:val="4B007631"/>
    <w:rsid w:val="4B013AD5"/>
    <w:rsid w:val="4B047121"/>
    <w:rsid w:val="4B054C48"/>
    <w:rsid w:val="4B094738"/>
    <w:rsid w:val="4B125CE2"/>
    <w:rsid w:val="4B1530DD"/>
    <w:rsid w:val="4B1C090F"/>
    <w:rsid w:val="4B1F03FF"/>
    <w:rsid w:val="4B2477C4"/>
    <w:rsid w:val="4B247FF5"/>
    <w:rsid w:val="4B272E10"/>
    <w:rsid w:val="4B2772B4"/>
    <w:rsid w:val="4B2B2900"/>
    <w:rsid w:val="4B2C48CA"/>
    <w:rsid w:val="4B3043BA"/>
    <w:rsid w:val="4B307F16"/>
    <w:rsid w:val="4B337A07"/>
    <w:rsid w:val="4B3612A5"/>
    <w:rsid w:val="4B383B38"/>
    <w:rsid w:val="4B3E553B"/>
    <w:rsid w:val="4B475260"/>
    <w:rsid w:val="4B4B2FA2"/>
    <w:rsid w:val="4B5005B9"/>
    <w:rsid w:val="4B5160DF"/>
    <w:rsid w:val="4B5736F5"/>
    <w:rsid w:val="4B574B82"/>
    <w:rsid w:val="4B5856BF"/>
    <w:rsid w:val="4B5A1437"/>
    <w:rsid w:val="4B614574"/>
    <w:rsid w:val="4B685902"/>
    <w:rsid w:val="4B6B71A0"/>
    <w:rsid w:val="4B6F2FBA"/>
    <w:rsid w:val="4B842010"/>
    <w:rsid w:val="4B906C07"/>
    <w:rsid w:val="4B977F95"/>
    <w:rsid w:val="4B9E1324"/>
    <w:rsid w:val="4B9F28EF"/>
    <w:rsid w:val="4B9F509C"/>
    <w:rsid w:val="4BA3693A"/>
    <w:rsid w:val="4BAA1289"/>
    <w:rsid w:val="4BAB3A41"/>
    <w:rsid w:val="4BAD5A0B"/>
    <w:rsid w:val="4BAE52DF"/>
    <w:rsid w:val="4BB02E05"/>
    <w:rsid w:val="4BB23021"/>
    <w:rsid w:val="4BB51DE8"/>
    <w:rsid w:val="4BB87F0C"/>
    <w:rsid w:val="4BC13FDF"/>
    <w:rsid w:val="4BCC2AE8"/>
    <w:rsid w:val="4BCD7E5B"/>
    <w:rsid w:val="4BCF3BD3"/>
    <w:rsid w:val="4BCF5981"/>
    <w:rsid w:val="4BD034A7"/>
    <w:rsid w:val="4BD05255"/>
    <w:rsid w:val="4BD42F98"/>
    <w:rsid w:val="4BD92476"/>
    <w:rsid w:val="4BE11211"/>
    <w:rsid w:val="4BE551A5"/>
    <w:rsid w:val="4BE64A79"/>
    <w:rsid w:val="4BE8259F"/>
    <w:rsid w:val="4BE86A43"/>
    <w:rsid w:val="4BEE392E"/>
    <w:rsid w:val="4BEE47BE"/>
    <w:rsid w:val="4BF02F1E"/>
    <w:rsid w:val="4BF21670"/>
    <w:rsid w:val="4BF663FF"/>
    <w:rsid w:val="4BF94D80"/>
    <w:rsid w:val="4BFC1708"/>
    <w:rsid w:val="4BFC604B"/>
    <w:rsid w:val="4C0118B3"/>
    <w:rsid w:val="4C082C41"/>
    <w:rsid w:val="4C0849EF"/>
    <w:rsid w:val="4C0A4C0B"/>
    <w:rsid w:val="4C167D0A"/>
    <w:rsid w:val="4C172533"/>
    <w:rsid w:val="4C1B4ECE"/>
    <w:rsid w:val="4C20442F"/>
    <w:rsid w:val="4C237A7B"/>
    <w:rsid w:val="4C2630C7"/>
    <w:rsid w:val="4C2832E3"/>
    <w:rsid w:val="4C286E40"/>
    <w:rsid w:val="4C2F6420"/>
    <w:rsid w:val="4C324162"/>
    <w:rsid w:val="4C35155C"/>
    <w:rsid w:val="4C3B3017"/>
    <w:rsid w:val="4C3C0B3D"/>
    <w:rsid w:val="4C3D6D8F"/>
    <w:rsid w:val="4C417F01"/>
    <w:rsid w:val="4C485734"/>
    <w:rsid w:val="4C4A325A"/>
    <w:rsid w:val="4C4C1669"/>
    <w:rsid w:val="4C51283A"/>
    <w:rsid w:val="4C59349D"/>
    <w:rsid w:val="4C63431C"/>
    <w:rsid w:val="4C653E79"/>
    <w:rsid w:val="4C6A38FC"/>
    <w:rsid w:val="4C6B4F7E"/>
    <w:rsid w:val="4C716A38"/>
    <w:rsid w:val="4C7402D7"/>
    <w:rsid w:val="4C742085"/>
    <w:rsid w:val="4C7C02FE"/>
    <w:rsid w:val="4C7E73A7"/>
    <w:rsid w:val="4C885B30"/>
    <w:rsid w:val="4C8C1658"/>
    <w:rsid w:val="4C8D1398"/>
    <w:rsid w:val="4C8F5111"/>
    <w:rsid w:val="4C9646F1"/>
    <w:rsid w:val="4C994BE1"/>
    <w:rsid w:val="4C9A3FEA"/>
    <w:rsid w:val="4C9D15DC"/>
    <w:rsid w:val="4C9F3201"/>
    <w:rsid w:val="4CA23096"/>
    <w:rsid w:val="4CA46E0E"/>
    <w:rsid w:val="4CA7245A"/>
    <w:rsid w:val="4CAE37E9"/>
    <w:rsid w:val="4CB16E35"/>
    <w:rsid w:val="4CB44B77"/>
    <w:rsid w:val="4CB86415"/>
    <w:rsid w:val="4CBD1C7E"/>
    <w:rsid w:val="4CC0176E"/>
    <w:rsid w:val="4CC0351C"/>
    <w:rsid w:val="4CC07196"/>
    <w:rsid w:val="4CC21042"/>
    <w:rsid w:val="4CC254E6"/>
    <w:rsid w:val="4CC73CC6"/>
    <w:rsid w:val="4CD46FC7"/>
    <w:rsid w:val="4CD9638C"/>
    <w:rsid w:val="4CDB0356"/>
    <w:rsid w:val="4CDD7C2A"/>
    <w:rsid w:val="4CE216E4"/>
    <w:rsid w:val="4CE36665"/>
    <w:rsid w:val="4CEA6032"/>
    <w:rsid w:val="4CEB4DF7"/>
    <w:rsid w:val="4D021D86"/>
    <w:rsid w:val="4D05056F"/>
    <w:rsid w:val="4D072EF9"/>
    <w:rsid w:val="4D085A60"/>
    <w:rsid w:val="4D0D7563"/>
    <w:rsid w:val="4D106251"/>
    <w:rsid w:val="4D1675E0"/>
    <w:rsid w:val="4D1A2C2C"/>
    <w:rsid w:val="4D221AE1"/>
    <w:rsid w:val="4D241CFD"/>
    <w:rsid w:val="4D245859"/>
    <w:rsid w:val="4D2717ED"/>
    <w:rsid w:val="4D272911"/>
    <w:rsid w:val="4D302450"/>
    <w:rsid w:val="4D3B2BA3"/>
    <w:rsid w:val="4D3F2693"/>
    <w:rsid w:val="4D453B69"/>
    <w:rsid w:val="4D470EE5"/>
    <w:rsid w:val="4D493511"/>
    <w:rsid w:val="4D4B1038"/>
    <w:rsid w:val="4D4C2F0D"/>
    <w:rsid w:val="4D4D1254"/>
    <w:rsid w:val="4D626381"/>
    <w:rsid w:val="4D6640C3"/>
    <w:rsid w:val="4D677E3B"/>
    <w:rsid w:val="4D693BB4"/>
    <w:rsid w:val="4D6B3488"/>
    <w:rsid w:val="4D6F1574"/>
    <w:rsid w:val="4D700A9E"/>
    <w:rsid w:val="4D720CBA"/>
    <w:rsid w:val="4D752558"/>
    <w:rsid w:val="4D7762D0"/>
    <w:rsid w:val="4D8B58D8"/>
    <w:rsid w:val="4D92310A"/>
    <w:rsid w:val="4D981DA3"/>
    <w:rsid w:val="4D994499"/>
    <w:rsid w:val="4D9A3D6D"/>
    <w:rsid w:val="4D9C1893"/>
    <w:rsid w:val="4D9D560B"/>
    <w:rsid w:val="4DA056C3"/>
    <w:rsid w:val="4DA150FB"/>
    <w:rsid w:val="4DA16EA9"/>
    <w:rsid w:val="4DA60964"/>
    <w:rsid w:val="4DA62712"/>
    <w:rsid w:val="4DA8648A"/>
    <w:rsid w:val="4DAD1CF2"/>
    <w:rsid w:val="4DB0194C"/>
    <w:rsid w:val="4DB50832"/>
    <w:rsid w:val="4DB7491F"/>
    <w:rsid w:val="4DBC3CE3"/>
    <w:rsid w:val="4DBF3025"/>
    <w:rsid w:val="4DC1754C"/>
    <w:rsid w:val="4DC64B62"/>
    <w:rsid w:val="4DCB3F26"/>
    <w:rsid w:val="4DCC0DA6"/>
    <w:rsid w:val="4DD76D6F"/>
    <w:rsid w:val="4DD92AE7"/>
    <w:rsid w:val="4DDC25D7"/>
    <w:rsid w:val="4DDD0570"/>
    <w:rsid w:val="4DDE1EAC"/>
    <w:rsid w:val="4DE1374A"/>
    <w:rsid w:val="4DE25C12"/>
    <w:rsid w:val="4DE44FE8"/>
    <w:rsid w:val="4DE67126"/>
    <w:rsid w:val="4DEA6AA2"/>
    <w:rsid w:val="4DF01BDF"/>
    <w:rsid w:val="4DF0398D"/>
    <w:rsid w:val="4DF33331"/>
    <w:rsid w:val="4DF521E1"/>
    <w:rsid w:val="4DF72F6D"/>
    <w:rsid w:val="4E035DB6"/>
    <w:rsid w:val="4E0833CC"/>
    <w:rsid w:val="4E0B4C6B"/>
    <w:rsid w:val="4E17716C"/>
    <w:rsid w:val="4E192EE4"/>
    <w:rsid w:val="4E21448E"/>
    <w:rsid w:val="4E2D2E33"/>
    <w:rsid w:val="4E3046D1"/>
    <w:rsid w:val="4E345F70"/>
    <w:rsid w:val="4E375A60"/>
    <w:rsid w:val="4E395334"/>
    <w:rsid w:val="4E3E294A"/>
    <w:rsid w:val="4E4361B3"/>
    <w:rsid w:val="4E4559F9"/>
    <w:rsid w:val="4E4C150B"/>
    <w:rsid w:val="4E4D2773"/>
    <w:rsid w:val="4E524648"/>
    <w:rsid w:val="4E546612"/>
    <w:rsid w:val="4E564138"/>
    <w:rsid w:val="4E5826EE"/>
    <w:rsid w:val="4E593C28"/>
    <w:rsid w:val="4E5B34FC"/>
    <w:rsid w:val="4E5B79A0"/>
    <w:rsid w:val="4E5C1522"/>
    <w:rsid w:val="4E5D7793"/>
    <w:rsid w:val="4E636855"/>
    <w:rsid w:val="4E710F72"/>
    <w:rsid w:val="4E796078"/>
    <w:rsid w:val="4E797E26"/>
    <w:rsid w:val="4E7D7917"/>
    <w:rsid w:val="4E7E368F"/>
    <w:rsid w:val="4E816CDB"/>
    <w:rsid w:val="4E850579"/>
    <w:rsid w:val="4E8A2033"/>
    <w:rsid w:val="4E8F13F8"/>
    <w:rsid w:val="4E8F31A6"/>
    <w:rsid w:val="4E9E5ADF"/>
    <w:rsid w:val="4EA3747C"/>
    <w:rsid w:val="4EA40AAA"/>
    <w:rsid w:val="4EA76741"/>
    <w:rsid w:val="4EAA119F"/>
    <w:rsid w:val="4EAC3D58"/>
    <w:rsid w:val="4EAD5D22"/>
    <w:rsid w:val="4EB37971"/>
    <w:rsid w:val="4EB52EAD"/>
    <w:rsid w:val="4EBB21ED"/>
    <w:rsid w:val="4EC245E1"/>
    <w:rsid w:val="4EC512BE"/>
    <w:rsid w:val="4ECD3D8D"/>
    <w:rsid w:val="4ECE4AD7"/>
    <w:rsid w:val="4ED11A10"/>
    <w:rsid w:val="4ED82B78"/>
    <w:rsid w:val="4EDB463D"/>
    <w:rsid w:val="4EE2777A"/>
    <w:rsid w:val="4EE91D9C"/>
    <w:rsid w:val="4EEA4880"/>
    <w:rsid w:val="4EEF633A"/>
    <w:rsid w:val="4EF16DED"/>
    <w:rsid w:val="4EF676C9"/>
    <w:rsid w:val="4EFB083B"/>
    <w:rsid w:val="4EFC3A63"/>
    <w:rsid w:val="4EFD2805"/>
    <w:rsid w:val="4F02606E"/>
    <w:rsid w:val="4F035942"/>
    <w:rsid w:val="4F073684"/>
    <w:rsid w:val="4F0B5DA3"/>
    <w:rsid w:val="4F1418FD"/>
    <w:rsid w:val="4F165675"/>
    <w:rsid w:val="4F25590B"/>
    <w:rsid w:val="4F2C4E99"/>
    <w:rsid w:val="4F2C6C47"/>
    <w:rsid w:val="4F310701"/>
    <w:rsid w:val="4F351F9F"/>
    <w:rsid w:val="4F495A4B"/>
    <w:rsid w:val="4F4A531F"/>
    <w:rsid w:val="4F4C25C9"/>
    <w:rsid w:val="4F506DD9"/>
    <w:rsid w:val="4F530677"/>
    <w:rsid w:val="4F5368C9"/>
    <w:rsid w:val="4F563CC4"/>
    <w:rsid w:val="4F5C27D1"/>
    <w:rsid w:val="4F644633"/>
    <w:rsid w:val="4F6463E1"/>
    <w:rsid w:val="4F661D9E"/>
    <w:rsid w:val="4F7A5C04"/>
    <w:rsid w:val="4F7B372A"/>
    <w:rsid w:val="4F7C5E20"/>
    <w:rsid w:val="4F7D13F7"/>
    <w:rsid w:val="4F807D78"/>
    <w:rsid w:val="4F8151E4"/>
    <w:rsid w:val="4F905428"/>
    <w:rsid w:val="4F950C90"/>
    <w:rsid w:val="4F980780"/>
    <w:rsid w:val="4F9A62A6"/>
    <w:rsid w:val="4F9D18F3"/>
    <w:rsid w:val="4F9D5D96"/>
    <w:rsid w:val="4FA40ED3"/>
    <w:rsid w:val="4FA72771"/>
    <w:rsid w:val="4FA90297"/>
    <w:rsid w:val="4FAB48D9"/>
    <w:rsid w:val="4FAE58AE"/>
    <w:rsid w:val="4FB72A18"/>
    <w:rsid w:val="4FBA4253"/>
    <w:rsid w:val="4FBC621D"/>
    <w:rsid w:val="4FBD195C"/>
    <w:rsid w:val="4FC74BC1"/>
    <w:rsid w:val="4FC92795"/>
    <w:rsid w:val="4FC92959"/>
    <w:rsid w:val="4FCC21D8"/>
    <w:rsid w:val="4FCE7CFE"/>
    <w:rsid w:val="4FD07F1A"/>
    <w:rsid w:val="4FDA7242"/>
    <w:rsid w:val="4FE47521"/>
    <w:rsid w:val="4FE614EB"/>
    <w:rsid w:val="4FE65048"/>
    <w:rsid w:val="4FEB08B0"/>
    <w:rsid w:val="4FEB4D54"/>
    <w:rsid w:val="4FF04118"/>
    <w:rsid w:val="4FF05EC6"/>
    <w:rsid w:val="4FF21C3E"/>
    <w:rsid w:val="4FF5172F"/>
    <w:rsid w:val="4FFC3B0B"/>
    <w:rsid w:val="4FFE6916"/>
    <w:rsid w:val="50083210"/>
    <w:rsid w:val="500B0F52"/>
    <w:rsid w:val="500F1931"/>
    <w:rsid w:val="50106568"/>
    <w:rsid w:val="50152B62"/>
    <w:rsid w:val="5015592D"/>
    <w:rsid w:val="501B4F82"/>
    <w:rsid w:val="501F67AB"/>
    <w:rsid w:val="50243DC2"/>
    <w:rsid w:val="50277BC9"/>
    <w:rsid w:val="502A587C"/>
    <w:rsid w:val="502A762A"/>
    <w:rsid w:val="502B6EFE"/>
    <w:rsid w:val="50342257"/>
    <w:rsid w:val="50395ABF"/>
    <w:rsid w:val="503A5393"/>
    <w:rsid w:val="5043693E"/>
    <w:rsid w:val="50455A90"/>
    <w:rsid w:val="50493828"/>
    <w:rsid w:val="504B57F2"/>
    <w:rsid w:val="504D50C7"/>
    <w:rsid w:val="50502E09"/>
    <w:rsid w:val="50506965"/>
    <w:rsid w:val="5051105B"/>
    <w:rsid w:val="505428F9"/>
    <w:rsid w:val="505446A7"/>
    <w:rsid w:val="505C355C"/>
    <w:rsid w:val="506105AA"/>
    <w:rsid w:val="50616DC4"/>
    <w:rsid w:val="50616E69"/>
    <w:rsid w:val="50621A3A"/>
    <w:rsid w:val="506614EF"/>
    <w:rsid w:val="506B19F1"/>
    <w:rsid w:val="506C2FDD"/>
    <w:rsid w:val="506F7733"/>
    <w:rsid w:val="507C775A"/>
    <w:rsid w:val="507F05B9"/>
    <w:rsid w:val="5086682B"/>
    <w:rsid w:val="50892522"/>
    <w:rsid w:val="508B3E41"/>
    <w:rsid w:val="508B7505"/>
    <w:rsid w:val="508F56DF"/>
    <w:rsid w:val="509176A9"/>
    <w:rsid w:val="50947199"/>
    <w:rsid w:val="50966A6E"/>
    <w:rsid w:val="5099030C"/>
    <w:rsid w:val="509C1BAA"/>
    <w:rsid w:val="509C604E"/>
    <w:rsid w:val="50A218B6"/>
    <w:rsid w:val="50A867A1"/>
    <w:rsid w:val="50AE32FC"/>
    <w:rsid w:val="50B155D8"/>
    <w:rsid w:val="50B27620"/>
    <w:rsid w:val="50B74C36"/>
    <w:rsid w:val="50B96C00"/>
    <w:rsid w:val="50BE7D72"/>
    <w:rsid w:val="50C01D3C"/>
    <w:rsid w:val="50C07F8E"/>
    <w:rsid w:val="50CA4969"/>
    <w:rsid w:val="50CD6207"/>
    <w:rsid w:val="50D41344"/>
    <w:rsid w:val="50D457E8"/>
    <w:rsid w:val="50D47596"/>
    <w:rsid w:val="50D77086"/>
    <w:rsid w:val="50D92DFE"/>
    <w:rsid w:val="50E05F3B"/>
    <w:rsid w:val="50E21CB3"/>
    <w:rsid w:val="50E7254E"/>
    <w:rsid w:val="50EA6DB9"/>
    <w:rsid w:val="50F10148"/>
    <w:rsid w:val="50FC089B"/>
    <w:rsid w:val="510460CD"/>
    <w:rsid w:val="5107796B"/>
    <w:rsid w:val="510936E3"/>
    <w:rsid w:val="510A120A"/>
    <w:rsid w:val="510C31D4"/>
    <w:rsid w:val="5119144D"/>
    <w:rsid w:val="511D718F"/>
    <w:rsid w:val="51204589"/>
    <w:rsid w:val="51256043"/>
    <w:rsid w:val="512C73D2"/>
    <w:rsid w:val="512D6CA6"/>
    <w:rsid w:val="513A2283"/>
    <w:rsid w:val="513B5867"/>
    <w:rsid w:val="513D4CBA"/>
    <w:rsid w:val="51404C2B"/>
    <w:rsid w:val="51417051"/>
    <w:rsid w:val="514209A3"/>
    <w:rsid w:val="51422751"/>
    <w:rsid w:val="51424ACB"/>
    <w:rsid w:val="514364CA"/>
    <w:rsid w:val="51450494"/>
    <w:rsid w:val="514A7858"/>
    <w:rsid w:val="514B3CFC"/>
    <w:rsid w:val="514E7348"/>
    <w:rsid w:val="51560718"/>
    <w:rsid w:val="515626A1"/>
    <w:rsid w:val="515B1A65"/>
    <w:rsid w:val="515B4CE3"/>
    <w:rsid w:val="51646B6C"/>
    <w:rsid w:val="51654692"/>
    <w:rsid w:val="5167040A"/>
    <w:rsid w:val="516A3A56"/>
    <w:rsid w:val="516E1798"/>
    <w:rsid w:val="51714DE5"/>
    <w:rsid w:val="517448D5"/>
    <w:rsid w:val="51764AF1"/>
    <w:rsid w:val="51786173"/>
    <w:rsid w:val="51791EEB"/>
    <w:rsid w:val="517F7502"/>
    <w:rsid w:val="51850890"/>
    <w:rsid w:val="51890380"/>
    <w:rsid w:val="518C4062"/>
    <w:rsid w:val="51917235"/>
    <w:rsid w:val="51932FAD"/>
    <w:rsid w:val="519A0650"/>
    <w:rsid w:val="519D3E2C"/>
    <w:rsid w:val="519F1952"/>
    <w:rsid w:val="51A67184"/>
    <w:rsid w:val="51A76A58"/>
    <w:rsid w:val="51AC0513"/>
    <w:rsid w:val="51AF590D"/>
    <w:rsid w:val="51B03B5F"/>
    <w:rsid w:val="51BA49DE"/>
    <w:rsid w:val="51BB2504"/>
    <w:rsid w:val="51BC0756"/>
    <w:rsid w:val="51C04AD1"/>
    <w:rsid w:val="51C66549"/>
    <w:rsid w:val="51CD2963"/>
    <w:rsid w:val="51CE2237"/>
    <w:rsid w:val="51D57A6A"/>
    <w:rsid w:val="51D84E64"/>
    <w:rsid w:val="51DA6E2E"/>
    <w:rsid w:val="51E11F6A"/>
    <w:rsid w:val="51E1640E"/>
    <w:rsid w:val="51E23F34"/>
    <w:rsid w:val="51E6586D"/>
    <w:rsid w:val="51E732F9"/>
    <w:rsid w:val="51EA2B9F"/>
    <w:rsid w:val="51EE0B2B"/>
    <w:rsid w:val="51EE6435"/>
    <w:rsid w:val="51F223CA"/>
    <w:rsid w:val="51F25A25"/>
    <w:rsid w:val="51F53C68"/>
    <w:rsid w:val="51F56FC1"/>
    <w:rsid w:val="51F83758"/>
    <w:rsid w:val="52000723"/>
    <w:rsid w:val="520914C1"/>
    <w:rsid w:val="520D0FB1"/>
    <w:rsid w:val="52102850"/>
    <w:rsid w:val="521265C8"/>
    <w:rsid w:val="52132340"/>
    <w:rsid w:val="52141869"/>
    <w:rsid w:val="52151C14"/>
    <w:rsid w:val="52171E30"/>
    <w:rsid w:val="5217598C"/>
    <w:rsid w:val="52241ACF"/>
    <w:rsid w:val="522462FB"/>
    <w:rsid w:val="52263E21"/>
    <w:rsid w:val="522B1438"/>
    <w:rsid w:val="522B768A"/>
    <w:rsid w:val="52310D91"/>
    <w:rsid w:val="52320A18"/>
    <w:rsid w:val="52354064"/>
    <w:rsid w:val="52363773"/>
    <w:rsid w:val="523A167B"/>
    <w:rsid w:val="523D116B"/>
    <w:rsid w:val="524164B7"/>
    <w:rsid w:val="52466271"/>
    <w:rsid w:val="52497B10"/>
    <w:rsid w:val="524A3FB4"/>
    <w:rsid w:val="524D13AE"/>
    <w:rsid w:val="52500E9E"/>
    <w:rsid w:val="52505342"/>
    <w:rsid w:val="5253098E"/>
    <w:rsid w:val="52552958"/>
    <w:rsid w:val="525766D1"/>
    <w:rsid w:val="52592449"/>
    <w:rsid w:val="525941F7"/>
    <w:rsid w:val="525F5585"/>
    <w:rsid w:val="52635075"/>
    <w:rsid w:val="526A01B2"/>
    <w:rsid w:val="52701540"/>
    <w:rsid w:val="52720E14"/>
    <w:rsid w:val="52727066"/>
    <w:rsid w:val="52733715"/>
    <w:rsid w:val="52762A77"/>
    <w:rsid w:val="527728CF"/>
    <w:rsid w:val="527B23BF"/>
    <w:rsid w:val="527E3C5D"/>
    <w:rsid w:val="527F3531"/>
    <w:rsid w:val="52833022"/>
    <w:rsid w:val="52862B12"/>
    <w:rsid w:val="52884ADC"/>
    <w:rsid w:val="52896E4E"/>
    <w:rsid w:val="52903990"/>
    <w:rsid w:val="52974D1F"/>
    <w:rsid w:val="529E42FF"/>
    <w:rsid w:val="52A1794C"/>
    <w:rsid w:val="52A511EA"/>
    <w:rsid w:val="52AB07CA"/>
    <w:rsid w:val="52AD4542"/>
    <w:rsid w:val="52B70F1D"/>
    <w:rsid w:val="52B85A26"/>
    <w:rsid w:val="52BC6534"/>
    <w:rsid w:val="52BF03A6"/>
    <w:rsid w:val="52C06024"/>
    <w:rsid w:val="52C5188C"/>
    <w:rsid w:val="52CB49C9"/>
    <w:rsid w:val="52CF270B"/>
    <w:rsid w:val="52D47D21"/>
    <w:rsid w:val="52D62801"/>
    <w:rsid w:val="52DE64AA"/>
    <w:rsid w:val="52E51F78"/>
    <w:rsid w:val="52E71802"/>
    <w:rsid w:val="52E77A54"/>
    <w:rsid w:val="52EA12F3"/>
    <w:rsid w:val="52EC506B"/>
    <w:rsid w:val="52F12681"/>
    <w:rsid w:val="52F83A10"/>
    <w:rsid w:val="52F97788"/>
    <w:rsid w:val="52FC4B82"/>
    <w:rsid w:val="53034162"/>
    <w:rsid w:val="53057EDB"/>
    <w:rsid w:val="530618DA"/>
    <w:rsid w:val="53093C47"/>
    <w:rsid w:val="530A3743"/>
    <w:rsid w:val="530F10A1"/>
    <w:rsid w:val="5311687F"/>
    <w:rsid w:val="531351CF"/>
    <w:rsid w:val="5314011E"/>
    <w:rsid w:val="53226CDE"/>
    <w:rsid w:val="532272D6"/>
    <w:rsid w:val="5325057D"/>
    <w:rsid w:val="53277E51"/>
    <w:rsid w:val="532E5683"/>
    <w:rsid w:val="532E7431"/>
    <w:rsid w:val="532F73AB"/>
    <w:rsid w:val="53311748"/>
    <w:rsid w:val="53312A7E"/>
    <w:rsid w:val="53330048"/>
    <w:rsid w:val="53360094"/>
    <w:rsid w:val="53397B84"/>
    <w:rsid w:val="533B38FC"/>
    <w:rsid w:val="533B56AA"/>
    <w:rsid w:val="53426A39"/>
    <w:rsid w:val="534B0178"/>
    <w:rsid w:val="53507E24"/>
    <w:rsid w:val="53560736"/>
    <w:rsid w:val="5358625C"/>
    <w:rsid w:val="53591FD4"/>
    <w:rsid w:val="535E75EB"/>
    <w:rsid w:val="536410A5"/>
    <w:rsid w:val="5371731E"/>
    <w:rsid w:val="537B1F4B"/>
    <w:rsid w:val="537C3595"/>
    <w:rsid w:val="537D2167"/>
    <w:rsid w:val="537D5CC3"/>
    <w:rsid w:val="537F5EDF"/>
    <w:rsid w:val="537F7C8D"/>
    <w:rsid w:val="5382777D"/>
    <w:rsid w:val="5386726D"/>
    <w:rsid w:val="53890B0C"/>
    <w:rsid w:val="538A03E0"/>
    <w:rsid w:val="539179C0"/>
    <w:rsid w:val="53980D4F"/>
    <w:rsid w:val="53982AFD"/>
    <w:rsid w:val="539F20DD"/>
    <w:rsid w:val="53A5346C"/>
    <w:rsid w:val="53A56FC8"/>
    <w:rsid w:val="53AB6CD4"/>
    <w:rsid w:val="53B65679"/>
    <w:rsid w:val="53B813F1"/>
    <w:rsid w:val="53B86CFB"/>
    <w:rsid w:val="53C41B44"/>
    <w:rsid w:val="53C47D96"/>
    <w:rsid w:val="53C733E2"/>
    <w:rsid w:val="53D14261"/>
    <w:rsid w:val="53DB6E8D"/>
    <w:rsid w:val="53E126F6"/>
    <w:rsid w:val="53EB5057"/>
    <w:rsid w:val="53F817ED"/>
    <w:rsid w:val="53F8359B"/>
    <w:rsid w:val="53FC752F"/>
    <w:rsid w:val="53FD5056"/>
    <w:rsid w:val="5402266C"/>
    <w:rsid w:val="54077FBB"/>
    <w:rsid w:val="541128AF"/>
    <w:rsid w:val="541A5C08"/>
    <w:rsid w:val="541C372E"/>
    <w:rsid w:val="54200610"/>
    <w:rsid w:val="54240834"/>
    <w:rsid w:val="54260108"/>
    <w:rsid w:val="5426635A"/>
    <w:rsid w:val="54273E81"/>
    <w:rsid w:val="54280B64"/>
    <w:rsid w:val="5429409D"/>
    <w:rsid w:val="54297BF9"/>
    <w:rsid w:val="542B3971"/>
    <w:rsid w:val="542C1497"/>
    <w:rsid w:val="542E16B3"/>
    <w:rsid w:val="542E520F"/>
    <w:rsid w:val="54332825"/>
    <w:rsid w:val="54370568"/>
    <w:rsid w:val="543A3BB4"/>
    <w:rsid w:val="543D5452"/>
    <w:rsid w:val="543F11CA"/>
    <w:rsid w:val="543F566E"/>
    <w:rsid w:val="54413194"/>
    <w:rsid w:val="54493DF7"/>
    <w:rsid w:val="545A4256"/>
    <w:rsid w:val="545A6004"/>
    <w:rsid w:val="54613836"/>
    <w:rsid w:val="54627485"/>
    <w:rsid w:val="54671E67"/>
    <w:rsid w:val="54680721"/>
    <w:rsid w:val="54696247"/>
    <w:rsid w:val="546B1FBF"/>
    <w:rsid w:val="546C7DF1"/>
    <w:rsid w:val="546D3F89"/>
    <w:rsid w:val="54714A29"/>
    <w:rsid w:val="54783CB0"/>
    <w:rsid w:val="5479570C"/>
    <w:rsid w:val="548117E3"/>
    <w:rsid w:val="54837309"/>
    <w:rsid w:val="54855CCB"/>
    <w:rsid w:val="548F2152"/>
    <w:rsid w:val="5492579E"/>
    <w:rsid w:val="5495528E"/>
    <w:rsid w:val="54971006"/>
    <w:rsid w:val="549E2395"/>
    <w:rsid w:val="549F610D"/>
    <w:rsid w:val="54A11E85"/>
    <w:rsid w:val="54A31759"/>
    <w:rsid w:val="54A343F4"/>
    <w:rsid w:val="54AE00FE"/>
    <w:rsid w:val="54B03E76"/>
    <w:rsid w:val="54B5148C"/>
    <w:rsid w:val="54B576DE"/>
    <w:rsid w:val="54B971CF"/>
    <w:rsid w:val="54BC0A6D"/>
    <w:rsid w:val="54BC4B87"/>
    <w:rsid w:val="54C26763"/>
    <w:rsid w:val="54C65448"/>
    <w:rsid w:val="54C87878"/>
    <w:rsid w:val="54CB6F02"/>
    <w:rsid w:val="54CF07A0"/>
    <w:rsid w:val="54D23DEC"/>
    <w:rsid w:val="54D51B2F"/>
    <w:rsid w:val="54D538DD"/>
    <w:rsid w:val="54D73AF9"/>
    <w:rsid w:val="54D933CD"/>
    <w:rsid w:val="54EB3100"/>
    <w:rsid w:val="54EF0E42"/>
    <w:rsid w:val="54F41FB5"/>
    <w:rsid w:val="54F55D2D"/>
    <w:rsid w:val="54F917B0"/>
    <w:rsid w:val="54FE2709"/>
    <w:rsid w:val="54FE72D7"/>
    <w:rsid w:val="550146D2"/>
    <w:rsid w:val="55020B76"/>
    <w:rsid w:val="550348EE"/>
    <w:rsid w:val="5503669C"/>
    <w:rsid w:val="550A7A2A"/>
    <w:rsid w:val="550D12C8"/>
    <w:rsid w:val="551255ED"/>
    <w:rsid w:val="55195EBF"/>
    <w:rsid w:val="552B024B"/>
    <w:rsid w:val="552D3719"/>
    <w:rsid w:val="552D54C7"/>
    <w:rsid w:val="552F123F"/>
    <w:rsid w:val="55314161"/>
    <w:rsid w:val="55344AA7"/>
    <w:rsid w:val="55362FB0"/>
    <w:rsid w:val="553C395C"/>
    <w:rsid w:val="553D7E00"/>
    <w:rsid w:val="55474FEC"/>
    <w:rsid w:val="55545149"/>
    <w:rsid w:val="555E1B24"/>
    <w:rsid w:val="555E7D76"/>
    <w:rsid w:val="55603AEE"/>
    <w:rsid w:val="556876AD"/>
    <w:rsid w:val="5572737D"/>
    <w:rsid w:val="55733821"/>
    <w:rsid w:val="55747599"/>
    <w:rsid w:val="557B0928"/>
    <w:rsid w:val="557D644E"/>
    <w:rsid w:val="55801A9A"/>
    <w:rsid w:val="55833339"/>
    <w:rsid w:val="558C6691"/>
    <w:rsid w:val="558D05EC"/>
    <w:rsid w:val="558F1CDD"/>
    <w:rsid w:val="55915A56"/>
    <w:rsid w:val="559B4B26"/>
    <w:rsid w:val="559D264C"/>
    <w:rsid w:val="559F602D"/>
    <w:rsid w:val="55A064B1"/>
    <w:rsid w:val="55A27C63"/>
    <w:rsid w:val="55A51501"/>
    <w:rsid w:val="55AA6B17"/>
    <w:rsid w:val="55AB1785"/>
    <w:rsid w:val="55B55408"/>
    <w:rsid w:val="55B6370E"/>
    <w:rsid w:val="55B654BC"/>
    <w:rsid w:val="55B87486"/>
    <w:rsid w:val="55BB6F76"/>
    <w:rsid w:val="55BD4A9D"/>
    <w:rsid w:val="55BE396B"/>
    <w:rsid w:val="55BF6A67"/>
    <w:rsid w:val="55C0633B"/>
    <w:rsid w:val="55C951EF"/>
    <w:rsid w:val="55CC4CE0"/>
    <w:rsid w:val="55D122F6"/>
    <w:rsid w:val="55D50038"/>
    <w:rsid w:val="55D65B5E"/>
    <w:rsid w:val="55DB024F"/>
    <w:rsid w:val="55DB3175"/>
    <w:rsid w:val="55DD6EED"/>
    <w:rsid w:val="55EE4C56"/>
    <w:rsid w:val="55F34962"/>
    <w:rsid w:val="55F52488"/>
    <w:rsid w:val="55F81F79"/>
    <w:rsid w:val="55F83D27"/>
    <w:rsid w:val="55FC102D"/>
    <w:rsid w:val="55FC6054"/>
    <w:rsid w:val="55FD30EB"/>
    <w:rsid w:val="55FF3307"/>
    <w:rsid w:val="56004989"/>
    <w:rsid w:val="56010E2D"/>
    <w:rsid w:val="56044479"/>
    <w:rsid w:val="560768CE"/>
    <w:rsid w:val="56077E76"/>
    <w:rsid w:val="560B3A5A"/>
    <w:rsid w:val="561B48BB"/>
    <w:rsid w:val="561C5C67"/>
    <w:rsid w:val="561F12B3"/>
    <w:rsid w:val="56293EE0"/>
    <w:rsid w:val="562C3266"/>
    <w:rsid w:val="56365413"/>
    <w:rsid w:val="563B3C13"/>
    <w:rsid w:val="56466840"/>
    <w:rsid w:val="56510FA5"/>
    <w:rsid w:val="56530F5D"/>
    <w:rsid w:val="56576C9F"/>
    <w:rsid w:val="56586573"/>
    <w:rsid w:val="565E627F"/>
    <w:rsid w:val="566118CC"/>
    <w:rsid w:val="5664316A"/>
    <w:rsid w:val="567F61F6"/>
    <w:rsid w:val="568578F8"/>
    <w:rsid w:val="56861332"/>
    <w:rsid w:val="56892BD1"/>
    <w:rsid w:val="568B4B9B"/>
    <w:rsid w:val="568D0913"/>
    <w:rsid w:val="568E6439"/>
    <w:rsid w:val="56921A85"/>
    <w:rsid w:val="56925F29"/>
    <w:rsid w:val="56933A4F"/>
    <w:rsid w:val="56981066"/>
    <w:rsid w:val="56982E14"/>
    <w:rsid w:val="569A4DDE"/>
    <w:rsid w:val="569F41A2"/>
    <w:rsid w:val="56A812A9"/>
    <w:rsid w:val="56A93273"/>
    <w:rsid w:val="56AD2D63"/>
    <w:rsid w:val="56AD4B11"/>
    <w:rsid w:val="56AF6ADB"/>
    <w:rsid w:val="56B0015D"/>
    <w:rsid w:val="56B411C3"/>
    <w:rsid w:val="56B7773E"/>
    <w:rsid w:val="56BC0DE5"/>
    <w:rsid w:val="56BC2FA6"/>
    <w:rsid w:val="56C65BD3"/>
    <w:rsid w:val="56CB143B"/>
    <w:rsid w:val="56CB31E9"/>
    <w:rsid w:val="56CD51B3"/>
    <w:rsid w:val="56D007FF"/>
    <w:rsid w:val="56D06A51"/>
    <w:rsid w:val="56D46542"/>
    <w:rsid w:val="56D95906"/>
    <w:rsid w:val="56DB436E"/>
    <w:rsid w:val="56DF0A43"/>
    <w:rsid w:val="56EB388B"/>
    <w:rsid w:val="56F00EA2"/>
    <w:rsid w:val="56F72406"/>
    <w:rsid w:val="56F75D8C"/>
    <w:rsid w:val="5700148F"/>
    <w:rsid w:val="57194F71"/>
    <w:rsid w:val="571A1A7B"/>
    <w:rsid w:val="571C20AD"/>
    <w:rsid w:val="57201787"/>
    <w:rsid w:val="57222B83"/>
    <w:rsid w:val="57241578"/>
    <w:rsid w:val="57256C8B"/>
    <w:rsid w:val="57266671"/>
    <w:rsid w:val="57284198"/>
    <w:rsid w:val="572A6162"/>
    <w:rsid w:val="57397928"/>
    <w:rsid w:val="573B036F"/>
    <w:rsid w:val="573C0B3A"/>
    <w:rsid w:val="573E39BB"/>
    <w:rsid w:val="57462870"/>
    <w:rsid w:val="57503686"/>
    <w:rsid w:val="575B456D"/>
    <w:rsid w:val="575C3EC8"/>
    <w:rsid w:val="575D6537"/>
    <w:rsid w:val="57601B83"/>
    <w:rsid w:val="57652917"/>
    <w:rsid w:val="57684EDC"/>
    <w:rsid w:val="576C0528"/>
    <w:rsid w:val="576D604E"/>
    <w:rsid w:val="576D7968"/>
    <w:rsid w:val="577218B7"/>
    <w:rsid w:val="577949F3"/>
    <w:rsid w:val="577D2735"/>
    <w:rsid w:val="57803FD4"/>
    <w:rsid w:val="578810DA"/>
    <w:rsid w:val="578C0BCA"/>
    <w:rsid w:val="578C2978"/>
    <w:rsid w:val="578C4726"/>
    <w:rsid w:val="57960F83"/>
    <w:rsid w:val="579B0E0D"/>
    <w:rsid w:val="579E5E58"/>
    <w:rsid w:val="579F69F6"/>
    <w:rsid w:val="57A56669"/>
    <w:rsid w:val="57A8352A"/>
    <w:rsid w:val="57A8672B"/>
    <w:rsid w:val="57AF6667"/>
    <w:rsid w:val="57B41ECF"/>
    <w:rsid w:val="57BE68AA"/>
    <w:rsid w:val="57C55E8A"/>
    <w:rsid w:val="57CA34A1"/>
    <w:rsid w:val="57CE2F91"/>
    <w:rsid w:val="57CF0AB7"/>
    <w:rsid w:val="57D92987"/>
    <w:rsid w:val="57DD31D4"/>
    <w:rsid w:val="57E207EA"/>
    <w:rsid w:val="57EF4CB5"/>
    <w:rsid w:val="57F02069"/>
    <w:rsid w:val="57F64296"/>
    <w:rsid w:val="57FE314A"/>
    <w:rsid w:val="58030761"/>
    <w:rsid w:val="58044C05"/>
    <w:rsid w:val="58050514"/>
    <w:rsid w:val="5805272B"/>
    <w:rsid w:val="5806097D"/>
    <w:rsid w:val="58083E1F"/>
    <w:rsid w:val="58093FC9"/>
    <w:rsid w:val="580F6D68"/>
    <w:rsid w:val="580F7106"/>
    <w:rsid w:val="58136BF6"/>
    <w:rsid w:val="5814471C"/>
    <w:rsid w:val="581A4428"/>
    <w:rsid w:val="581B1F4E"/>
    <w:rsid w:val="582232DD"/>
    <w:rsid w:val="582726A1"/>
    <w:rsid w:val="58276B45"/>
    <w:rsid w:val="582A3F3F"/>
    <w:rsid w:val="582E1C82"/>
    <w:rsid w:val="583D1EC5"/>
    <w:rsid w:val="583F3E8F"/>
    <w:rsid w:val="58403763"/>
    <w:rsid w:val="58445001"/>
    <w:rsid w:val="58492617"/>
    <w:rsid w:val="584D65AC"/>
    <w:rsid w:val="584E40D2"/>
    <w:rsid w:val="585039A6"/>
    <w:rsid w:val="5851771E"/>
    <w:rsid w:val="58550FBC"/>
    <w:rsid w:val="58562F86"/>
    <w:rsid w:val="58580AAD"/>
    <w:rsid w:val="5858730C"/>
    <w:rsid w:val="585B1CB5"/>
    <w:rsid w:val="585B234B"/>
    <w:rsid w:val="585D2567"/>
    <w:rsid w:val="58613E05"/>
    <w:rsid w:val="5866141B"/>
    <w:rsid w:val="586631C9"/>
    <w:rsid w:val="58670D41"/>
    <w:rsid w:val="586D09FC"/>
    <w:rsid w:val="5878114F"/>
    <w:rsid w:val="587D46A8"/>
    <w:rsid w:val="58831FCD"/>
    <w:rsid w:val="58881B24"/>
    <w:rsid w:val="588875E4"/>
    <w:rsid w:val="5889335C"/>
    <w:rsid w:val="588E2720"/>
    <w:rsid w:val="58935F89"/>
    <w:rsid w:val="589A2E73"/>
    <w:rsid w:val="58A12453"/>
    <w:rsid w:val="58A27F7A"/>
    <w:rsid w:val="58A50CE3"/>
    <w:rsid w:val="58AB1524"/>
    <w:rsid w:val="58AE2390"/>
    <w:rsid w:val="58B101BD"/>
    <w:rsid w:val="58B33F35"/>
    <w:rsid w:val="58B71C77"/>
    <w:rsid w:val="58BA52C3"/>
    <w:rsid w:val="58BD34B0"/>
    <w:rsid w:val="58BF6D7E"/>
    <w:rsid w:val="58C46142"/>
    <w:rsid w:val="58D00F8B"/>
    <w:rsid w:val="58D02D39"/>
    <w:rsid w:val="58D22AF6"/>
    <w:rsid w:val="58D36385"/>
    <w:rsid w:val="58D8399B"/>
    <w:rsid w:val="58D97E3F"/>
    <w:rsid w:val="58DC348C"/>
    <w:rsid w:val="58E16CF4"/>
    <w:rsid w:val="58E33856"/>
    <w:rsid w:val="58E6255C"/>
    <w:rsid w:val="58E80082"/>
    <w:rsid w:val="58EB36CF"/>
    <w:rsid w:val="58EE31BF"/>
    <w:rsid w:val="58F00CE5"/>
    <w:rsid w:val="58FA1B64"/>
    <w:rsid w:val="58FC7CE8"/>
    <w:rsid w:val="58FD3402"/>
    <w:rsid w:val="59011144"/>
    <w:rsid w:val="5906675A"/>
    <w:rsid w:val="590A18DC"/>
    <w:rsid w:val="59103135"/>
    <w:rsid w:val="591A2206"/>
    <w:rsid w:val="591B0458"/>
    <w:rsid w:val="591C41D0"/>
    <w:rsid w:val="591D4E77"/>
    <w:rsid w:val="591E5852"/>
    <w:rsid w:val="59277B42"/>
    <w:rsid w:val="592F3F03"/>
    <w:rsid w:val="592F5CB1"/>
    <w:rsid w:val="59301A29"/>
    <w:rsid w:val="593022A6"/>
    <w:rsid w:val="5932754F"/>
    <w:rsid w:val="593432C8"/>
    <w:rsid w:val="59366A51"/>
    <w:rsid w:val="593B4656"/>
    <w:rsid w:val="593B5D5C"/>
    <w:rsid w:val="593E5EF4"/>
    <w:rsid w:val="594043C9"/>
    <w:rsid w:val="595E6596"/>
    <w:rsid w:val="596A6CE9"/>
    <w:rsid w:val="596D67DA"/>
    <w:rsid w:val="597162CA"/>
    <w:rsid w:val="59725B9E"/>
    <w:rsid w:val="597933D0"/>
    <w:rsid w:val="597B0EF6"/>
    <w:rsid w:val="597E09E7"/>
    <w:rsid w:val="5980475F"/>
    <w:rsid w:val="59835FFD"/>
    <w:rsid w:val="59877857"/>
    <w:rsid w:val="59883613"/>
    <w:rsid w:val="598D29D8"/>
    <w:rsid w:val="598D6817"/>
    <w:rsid w:val="59941FB8"/>
    <w:rsid w:val="59975605"/>
    <w:rsid w:val="59A321FB"/>
    <w:rsid w:val="59A64B68"/>
    <w:rsid w:val="59AA5338"/>
    <w:rsid w:val="59AD307A"/>
    <w:rsid w:val="59AD4E28"/>
    <w:rsid w:val="59AD6BD6"/>
    <w:rsid w:val="59B166C6"/>
    <w:rsid w:val="59B44408"/>
    <w:rsid w:val="59B470DD"/>
    <w:rsid w:val="59B47F65"/>
    <w:rsid w:val="59B91A1F"/>
    <w:rsid w:val="59B95834"/>
    <w:rsid w:val="59BE0DE3"/>
    <w:rsid w:val="59BE7035"/>
    <w:rsid w:val="59BF7AC5"/>
    <w:rsid w:val="59C04B5B"/>
    <w:rsid w:val="59C97EB4"/>
    <w:rsid w:val="59CF2FF0"/>
    <w:rsid w:val="59CF4D9E"/>
    <w:rsid w:val="59D2663D"/>
    <w:rsid w:val="59DD395F"/>
    <w:rsid w:val="59DD570D"/>
    <w:rsid w:val="59DE2432"/>
    <w:rsid w:val="59DE3233"/>
    <w:rsid w:val="59E051FD"/>
    <w:rsid w:val="59E20F76"/>
    <w:rsid w:val="59E3084A"/>
    <w:rsid w:val="59EA1BD8"/>
    <w:rsid w:val="59ED04AB"/>
    <w:rsid w:val="59F36CDF"/>
    <w:rsid w:val="59F40CA9"/>
    <w:rsid w:val="59F42A57"/>
    <w:rsid w:val="59F760A3"/>
    <w:rsid w:val="59F842F5"/>
    <w:rsid w:val="59FD190B"/>
    <w:rsid w:val="5A025174"/>
    <w:rsid w:val="5A026F22"/>
    <w:rsid w:val="5A070268"/>
    <w:rsid w:val="5A0709DC"/>
    <w:rsid w:val="5A0A04CC"/>
    <w:rsid w:val="5A0E58C7"/>
    <w:rsid w:val="5A1153B7"/>
    <w:rsid w:val="5A132EDD"/>
    <w:rsid w:val="5A1347D3"/>
    <w:rsid w:val="5A1A070F"/>
    <w:rsid w:val="5A1B4488"/>
    <w:rsid w:val="5A1E1882"/>
    <w:rsid w:val="5A221372"/>
    <w:rsid w:val="5A250E62"/>
    <w:rsid w:val="5A2A6479"/>
    <w:rsid w:val="5A2C21F1"/>
    <w:rsid w:val="5A2E5F69"/>
    <w:rsid w:val="5A3115B5"/>
    <w:rsid w:val="5A364E1D"/>
    <w:rsid w:val="5A386DE8"/>
    <w:rsid w:val="5A3B2434"/>
    <w:rsid w:val="5A407A4A"/>
    <w:rsid w:val="5A513A05"/>
    <w:rsid w:val="5A57323C"/>
    <w:rsid w:val="5A5A0B0C"/>
    <w:rsid w:val="5A5A4FB0"/>
    <w:rsid w:val="5A6000EC"/>
    <w:rsid w:val="5A625C12"/>
    <w:rsid w:val="5A643739"/>
    <w:rsid w:val="5A655703"/>
    <w:rsid w:val="5A677AE0"/>
    <w:rsid w:val="5A685914"/>
    <w:rsid w:val="5A6E45B7"/>
    <w:rsid w:val="5A7056A7"/>
    <w:rsid w:val="5A7A7400"/>
    <w:rsid w:val="5A84202D"/>
    <w:rsid w:val="5A897643"/>
    <w:rsid w:val="5A8B5169"/>
    <w:rsid w:val="5A8C0EE1"/>
    <w:rsid w:val="5A92474A"/>
    <w:rsid w:val="5A9658BC"/>
    <w:rsid w:val="5A967B91"/>
    <w:rsid w:val="5A9D4E9D"/>
    <w:rsid w:val="5A9F6E67"/>
    <w:rsid w:val="5AA4622B"/>
    <w:rsid w:val="5AA75D1B"/>
    <w:rsid w:val="5AA93733"/>
    <w:rsid w:val="5AAB580B"/>
    <w:rsid w:val="5AAF6DFC"/>
    <w:rsid w:val="5AB02E22"/>
    <w:rsid w:val="5AB04BD0"/>
    <w:rsid w:val="5AB5009D"/>
    <w:rsid w:val="5AB67D0C"/>
    <w:rsid w:val="5ABC17C7"/>
    <w:rsid w:val="5ABC3575"/>
    <w:rsid w:val="5ABD72ED"/>
    <w:rsid w:val="5AC24903"/>
    <w:rsid w:val="5AC62645"/>
    <w:rsid w:val="5AC86404"/>
    <w:rsid w:val="5ACB37B8"/>
    <w:rsid w:val="5ACB4289"/>
    <w:rsid w:val="5AD00DCE"/>
    <w:rsid w:val="5AD84127"/>
    <w:rsid w:val="5ADD7F4D"/>
    <w:rsid w:val="5AE57637"/>
    <w:rsid w:val="5AE76118"/>
    <w:rsid w:val="5AE900E2"/>
    <w:rsid w:val="5AEB5C08"/>
    <w:rsid w:val="5AED1980"/>
    <w:rsid w:val="5AF076C2"/>
    <w:rsid w:val="5AF97B5F"/>
    <w:rsid w:val="5AFA5E4B"/>
    <w:rsid w:val="5B044F1C"/>
    <w:rsid w:val="5B0867BA"/>
    <w:rsid w:val="5B107D7C"/>
    <w:rsid w:val="5B13515F"/>
    <w:rsid w:val="5B1F3B03"/>
    <w:rsid w:val="5B215ACE"/>
    <w:rsid w:val="5B2555BE"/>
    <w:rsid w:val="5B2630E4"/>
    <w:rsid w:val="5B286E5C"/>
    <w:rsid w:val="5B296730"/>
    <w:rsid w:val="5B2B06FA"/>
    <w:rsid w:val="5B2B4256"/>
    <w:rsid w:val="5B331092"/>
    <w:rsid w:val="5B33135D"/>
    <w:rsid w:val="5B3475AF"/>
    <w:rsid w:val="5B372BFB"/>
    <w:rsid w:val="5B3A26EB"/>
    <w:rsid w:val="5B3F7D02"/>
    <w:rsid w:val="5B445318"/>
    <w:rsid w:val="5B4F263B"/>
    <w:rsid w:val="5B583A26"/>
    <w:rsid w:val="5B5A2D8E"/>
    <w:rsid w:val="5B5F2152"/>
    <w:rsid w:val="5B610550"/>
    <w:rsid w:val="5B61411C"/>
    <w:rsid w:val="5B6360E6"/>
    <w:rsid w:val="5B653C0C"/>
    <w:rsid w:val="5B676F76"/>
    <w:rsid w:val="5B6836FC"/>
    <w:rsid w:val="5B6C3332"/>
    <w:rsid w:val="5B6F6839"/>
    <w:rsid w:val="5B7531AB"/>
    <w:rsid w:val="5B7612E6"/>
    <w:rsid w:val="5B7976B8"/>
    <w:rsid w:val="5B7C0F56"/>
    <w:rsid w:val="5B7E4CCE"/>
    <w:rsid w:val="5B807B3A"/>
    <w:rsid w:val="5B865F53"/>
    <w:rsid w:val="5B885B4D"/>
    <w:rsid w:val="5B8B1199"/>
    <w:rsid w:val="5B8D63AC"/>
    <w:rsid w:val="5B8F6EDB"/>
    <w:rsid w:val="5B940A7D"/>
    <w:rsid w:val="5B9462A0"/>
    <w:rsid w:val="5B962018"/>
    <w:rsid w:val="5BA95605"/>
    <w:rsid w:val="5BB93F58"/>
    <w:rsid w:val="5BB97AB4"/>
    <w:rsid w:val="5BBB382C"/>
    <w:rsid w:val="5BBC25EB"/>
    <w:rsid w:val="5BC14BBB"/>
    <w:rsid w:val="5BC326E1"/>
    <w:rsid w:val="5BCA1CC1"/>
    <w:rsid w:val="5BD26DC8"/>
    <w:rsid w:val="5BD82630"/>
    <w:rsid w:val="5BE03293"/>
    <w:rsid w:val="5BE30FD5"/>
    <w:rsid w:val="5BEA5EBF"/>
    <w:rsid w:val="5BEF34D6"/>
    <w:rsid w:val="5BF31218"/>
    <w:rsid w:val="5BF44F90"/>
    <w:rsid w:val="5BF8682E"/>
    <w:rsid w:val="5BFD2097"/>
    <w:rsid w:val="5BFE5E0F"/>
    <w:rsid w:val="5C001B87"/>
    <w:rsid w:val="5C0056E3"/>
    <w:rsid w:val="5C02145B"/>
    <w:rsid w:val="5C043425"/>
    <w:rsid w:val="5C050F4B"/>
    <w:rsid w:val="5C07081F"/>
    <w:rsid w:val="5C08561B"/>
    <w:rsid w:val="5C0C22DA"/>
    <w:rsid w:val="5C0C7573"/>
    <w:rsid w:val="5C103C8D"/>
    <w:rsid w:val="5C14118E"/>
    <w:rsid w:val="5C163158"/>
    <w:rsid w:val="5C166CB5"/>
    <w:rsid w:val="5C182A2D"/>
    <w:rsid w:val="5C1967A5"/>
    <w:rsid w:val="5C245875"/>
    <w:rsid w:val="5C25514A"/>
    <w:rsid w:val="5C286A9A"/>
    <w:rsid w:val="5C2A2760"/>
    <w:rsid w:val="5C2C64D8"/>
    <w:rsid w:val="5C337866"/>
    <w:rsid w:val="5C34538D"/>
    <w:rsid w:val="5C361105"/>
    <w:rsid w:val="5C390BF5"/>
    <w:rsid w:val="5C3E7FB9"/>
    <w:rsid w:val="5C45759A"/>
    <w:rsid w:val="5C515F3F"/>
    <w:rsid w:val="5C553C81"/>
    <w:rsid w:val="5C5617A7"/>
    <w:rsid w:val="5C58107B"/>
    <w:rsid w:val="5C593045"/>
    <w:rsid w:val="5C5B500F"/>
    <w:rsid w:val="5C606182"/>
    <w:rsid w:val="5C6A0DAE"/>
    <w:rsid w:val="5C6E1C49"/>
    <w:rsid w:val="5C7165E1"/>
    <w:rsid w:val="5C741C2D"/>
    <w:rsid w:val="5C757E7F"/>
    <w:rsid w:val="5C7659A5"/>
    <w:rsid w:val="5C7C5DCC"/>
    <w:rsid w:val="5C82434A"/>
    <w:rsid w:val="5C8276A5"/>
    <w:rsid w:val="5C837F16"/>
    <w:rsid w:val="5C853E3A"/>
    <w:rsid w:val="5C8774B6"/>
    <w:rsid w:val="5C8956D8"/>
    <w:rsid w:val="5C8F6A67"/>
    <w:rsid w:val="5C966047"/>
    <w:rsid w:val="5C974299"/>
    <w:rsid w:val="5C981DBF"/>
    <w:rsid w:val="5C9B540C"/>
    <w:rsid w:val="5C9C18B0"/>
    <w:rsid w:val="5C9D2F32"/>
    <w:rsid w:val="5C9F314E"/>
    <w:rsid w:val="5CA02A22"/>
    <w:rsid w:val="5CA2679A"/>
    <w:rsid w:val="5CA72002"/>
    <w:rsid w:val="5CA73DB1"/>
    <w:rsid w:val="5CAE3391"/>
    <w:rsid w:val="5CB309A7"/>
    <w:rsid w:val="5CC52489"/>
    <w:rsid w:val="5CC93D27"/>
    <w:rsid w:val="5CD01AE3"/>
    <w:rsid w:val="5CD56B70"/>
    <w:rsid w:val="5CD8040E"/>
    <w:rsid w:val="5CDF79EE"/>
    <w:rsid w:val="5CE15514"/>
    <w:rsid w:val="5CE24DE9"/>
    <w:rsid w:val="5CE46DB3"/>
    <w:rsid w:val="5CED7460"/>
    <w:rsid w:val="5CF05758"/>
    <w:rsid w:val="5CF1327E"/>
    <w:rsid w:val="5CF214D0"/>
    <w:rsid w:val="5CF35248"/>
    <w:rsid w:val="5CF47706"/>
    <w:rsid w:val="5CF50FC0"/>
    <w:rsid w:val="5CF54B1C"/>
    <w:rsid w:val="5CF70B75"/>
    <w:rsid w:val="5CF8285E"/>
    <w:rsid w:val="5CF9717B"/>
    <w:rsid w:val="5CFA0384"/>
    <w:rsid w:val="5CFC40FC"/>
    <w:rsid w:val="5CFD1C22"/>
    <w:rsid w:val="5CFE0C75"/>
    <w:rsid w:val="5D015BB7"/>
    <w:rsid w:val="5D017965"/>
    <w:rsid w:val="5D02548B"/>
    <w:rsid w:val="5D0B433F"/>
    <w:rsid w:val="5D1217CA"/>
    <w:rsid w:val="5D167746"/>
    <w:rsid w:val="5D172CE4"/>
    <w:rsid w:val="5D1C479E"/>
    <w:rsid w:val="5D1F428F"/>
    <w:rsid w:val="5D1F603D"/>
    <w:rsid w:val="5D270949"/>
    <w:rsid w:val="5D283143"/>
    <w:rsid w:val="5D35760E"/>
    <w:rsid w:val="5D3D63DE"/>
    <w:rsid w:val="5D414205"/>
    <w:rsid w:val="5D431D2B"/>
    <w:rsid w:val="5D46181B"/>
    <w:rsid w:val="5D465377"/>
    <w:rsid w:val="5D49044E"/>
    <w:rsid w:val="5D4930BA"/>
    <w:rsid w:val="5D4D4AA0"/>
    <w:rsid w:val="5D5201C0"/>
    <w:rsid w:val="5D521F6E"/>
    <w:rsid w:val="5D535812"/>
    <w:rsid w:val="5D6677C8"/>
    <w:rsid w:val="5D696E72"/>
    <w:rsid w:val="5D6972B8"/>
    <w:rsid w:val="5D6B3030"/>
    <w:rsid w:val="5D6D6DA8"/>
    <w:rsid w:val="5D6F0D72"/>
    <w:rsid w:val="5D731EE5"/>
    <w:rsid w:val="5D753EAF"/>
    <w:rsid w:val="5D7E07CE"/>
    <w:rsid w:val="5D7E0FB5"/>
    <w:rsid w:val="5D7E7207"/>
    <w:rsid w:val="5D885990"/>
    <w:rsid w:val="5D891708"/>
    <w:rsid w:val="5D8B722E"/>
    <w:rsid w:val="5D8C2DD2"/>
    <w:rsid w:val="5D916F3A"/>
    <w:rsid w:val="5D92680F"/>
    <w:rsid w:val="5D972077"/>
    <w:rsid w:val="5D99194B"/>
    <w:rsid w:val="5D995DEF"/>
    <w:rsid w:val="5D9C143B"/>
    <w:rsid w:val="5D9F2CDA"/>
    <w:rsid w:val="5DB9023F"/>
    <w:rsid w:val="5DBA1C09"/>
    <w:rsid w:val="5DBC388C"/>
    <w:rsid w:val="5DC10EA2"/>
    <w:rsid w:val="5DC170F4"/>
    <w:rsid w:val="5DC42740"/>
    <w:rsid w:val="5DC80482"/>
    <w:rsid w:val="5DCB1D21"/>
    <w:rsid w:val="5DCC1ACC"/>
    <w:rsid w:val="5DDB6408"/>
    <w:rsid w:val="5DE11544"/>
    <w:rsid w:val="5DE23E43"/>
    <w:rsid w:val="5DE352BC"/>
    <w:rsid w:val="5DEC4171"/>
    <w:rsid w:val="5DEF5A0F"/>
    <w:rsid w:val="5DFB2606"/>
    <w:rsid w:val="5E021BE6"/>
    <w:rsid w:val="5E033269"/>
    <w:rsid w:val="5E053485"/>
    <w:rsid w:val="5E056FE1"/>
    <w:rsid w:val="5E0A2849"/>
    <w:rsid w:val="5E115985"/>
    <w:rsid w:val="5E1216FE"/>
    <w:rsid w:val="5E14191A"/>
    <w:rsid w:val="5E16137A"/>
    <w:rsid w:val="5E2002BE"/>
    <w:rsid w:val="5E203E1A"/>
    <w:rsid w:val="5E207A91"/>
    <w:rsid w:val="5E227B93"/>
    <w:rsid w:val="5E244076"/>
    <w:rsid w:val="5E2558D5"/>
    <w:rsid w:val="5E280F21"/>
    <w:rsid w:val="5E2A2EEB"/>
    <w:rsid w:val="5E2B2110"/>
    <w:rsid w:val="5E2F22B0"/>
    <w:rsid w:val="5E2F405E"/>
    <w:rsid w:val="5E316028"/>
    <w:rsid w:val="5E3D0C05"/>
    <w:rsid w:val="5E473A9D"/>
    <w:rsid w:val="5E4775F9"/>
    <w:rsid w:val="5E4C2E61"/>
    <w:rsid w:val="5E543AC4"/>
    <w:rsid w:val="5E56082C"/>
    <w:rsid w:val="5E5737C0"/>
    <w:rsid w:val="5E59732C"/>
    <w:rsid w:val="5E5B12F6"/>
    <w:rsid w:val="5E5E2B95"/>
    <w:rsid w:val="5E5F0DE7"/>
    <w:rsid w:val="5E6006BB"/>
    <w:rsid w:val="5E604B5F"/>
    <w:rsid w:val="5E6A778C"/>
    <w:rsid w:val="5E6C52B2"/>
    <w:rsid w:val="5E6D53E8"/>
    <w:rsid w:val="5E6E159B"/>
    <w:rsid w:val="5E7229A3"/>
    <w:rsid w:val="5E744166"/>
    <w:rsid w:val="5E785A05"/>
    <w:rsid w:val="5E79177D"/>
    <w:rsid w:val="5E7A44C7"/>
    <w:rsid w:val="5E820631"/>
    <w:rsid w:val="5E824AD5"/>
    <w:rsid w:val="5E82661B"/>
    <w:rsid w:val="5E84084D"/>
    <w:rsid w:val="5E845A1C"/>
    <w:rsid w:val="5E856373"/>
    <w:rsid w:val="5E875C48"/>
    <w:rsid w:val="5E8A718E"/>
    <w:rsid w:val="5E8E347A"/>
    <w:rsid w:val="5E8E6FD6"/>
    <w:rsid w:val="5E930A90"/>
    <w:rsid w:val="5E9345EC"/>
    <w:rsid w:val="5E9640DD"/>
    <w:rsid w:val="5E9860A7"/>
    <w:rsid w:val="5E987E55"/>
    <w:rsid w:val="5E9B16F3"/>
    <w:rsid w:val="5E9B7945"/>
    <w:rsid w:val="5E9D190F"/>
    <w:rsid w:val="5EA507C4"/>
    <w:rsid w:val="5EA902B4"/>
    <w:rsid w:val="5EAB0A0E"/>
    <w:rsid w:val="5EB32EE1"/>
    <w:rsid w:val="5EB6477F"/>
    <w:rsid w:val="5EB822A5"/>
    <w:rsid w:val="5EBA426F"/>
    <w:rsid w:val="5EBD3A80"/>
    <w:rsid w:val="5EC62C14"/>
    <w:rsid w:val="5EC944B2"/>
    <w:rsid w:val="5ED03A93"/>
    <w:rsid w:val="5ED30E8D"/>
    <w:rsid w:val="5ED6597D"/>
    <w:rsid w:val="5ED75FB2"/>
    <w:rsid w:val="5EDF037A"/>
    <w:rsid w:val="5EE17A4E"/>
    <w:rsid w:val="5EE906B0"/>
    <w:rsid w:val="5EEC1F4F"/>
    <w:rsid w:val="5EEE5CC7"/>
    <w:rsid w:val="5EF157B7"/>
    <w:rsid w:val="5EF77271"/>
    <w:rsid w:val="5EF808F3"/>
    <w:rsid w:val="5EFD5F0A"/>
    <w:rsid w:val="5F024A3E"/>
    <w:rsid w:val="5F042A70"/>
    <w:rsid w:val="5F100333"/>
    <w:rsid w:val="5F1576F7"/>
    <w:rsid w:val="5F166FCB"/>
    <w:rsid w:val="5F182D44"/>
    <w:rsid w:val="5F1A4D0E"/>
    <w:rsid w:val="5F225970"/>
    <w:rsid w:val="5F2636B2"/>
    <w:rsid w:val="5F2931A3"/>
    <w:rsid w:val="5F313E05"/>
    <w:rsid w:val="5F3538F6"/>
    <w:rsid w:val="5F357D99"/>
    <w:rsid w:val="5F36141C"/>
    <w:rsid w:val="5F3833E6"/>
    <w:rsid w:val="5F385194"/>
    <w:rsid w:val="5F3B6A32"/>
    <w:rsid w:val="5F3E57D1"/>
    <w:rsid w:val="5F4311DC"/>
    <w:rsid w:val="5F4609F6"/>
    <w:rsid w:val="5F475654"/>
    <w:rsid w:val="5F481454"/>
    <w:rsid w:val="5F4B136B"/>
    <w:rsid w:val="5F5A15AE"/>
    <w:rsid w:val="5F5C7876"/>
    <w:rsid w:val="5F5E109E"/>
    <w:rsid w:val="5F6847A5"/>
    <w:rsid w:val="5F690FDE"/>
    <w:rsid w:val="5F702B80"/>
    <w:rsid w:val="5F7268F8"/>
    <w:rsid w:val="5F734A42"/>
    <w:rsid w:val="5F7408C2"/>
    <w:rsid w:val="5F795ED8"/>
    <w:rsid w:val="5F7F7267"/>
    <w:rsid w:val="5F85487D"/>
    <w:rsid w:val="5F887EC9"/>
    <w:rsid w:val="5F893C41"/>
    <w:rsid w:val="5F926F9A"/>
    <w:rsid w:val="5F942C6F"/>
    <w:rsid w:val="5F942D12"/>
    <w:rsid w:val="5F993E84"/>
    <w:rsid w:val="5F9D4AAC"/>
    <w:rsid w:val="5F9F3465"/>
    <w:rsid w:val="5FA665A1"/>
    <w:rsid w:val="5FAB0540"/>
    <w:rsid w:val="5FAD5B82"/>
    <w:rsid w:val="5FB1014A"/>
    <w:rsid w:val="5FB104B5"/>
    <w:rsid w:val="5FB20798"/>
    <w:rsid w:val="5FBC5DC5"/>
    <w:rsid w:val="5FC367C7"/>
    <w:rsid w:val="5FC609F2"/>
    <w:rsid w:val="5FCC24AC"/>
    <w:rsid w:val="5FCF49FC"/>
    <w:rsid w:val="5FD4310E"/>
    <w:rsid w:val="5FD50C35"/>
    <w:rsid w:val="5FDA624B"/>
    <w:rsid w:val="5FDC0215"/>
    <w:rsid w:val="5FDC6467"/>
    <w:rsid w:val="5FDE21DF"/>
    <w:rsid w:val="5FE175D9"/>
    <w:rsid w:val="5FE33352"/>
    <w:rsid w:val="5FEA46E0"/>
    <w:rsid w:val="5FF23595"/>
    <w:rsid w:val="5FF437B1"/>
    <w:rsid w:val="5FF67529"/>
    <w:rsid w:val="5FFB4B3F"/>
    <w:rsid w:val="5FFE462F"/>
    <w:rsid w:val="5FFE63DD"/>
    <w:rsid w:val="5FFF5CB2"/>
    <w:rsid w:val="60003F04"/>
    <w:rsid w:val="60067040"/>
    <w:rsid w:val="600A4D82"/>
    <w:rsid w:val="600A6B30"/>
    <w:rsid w:val="600B28A8"/>
    <w:rsid w:val="60161979"/>
    <w:rsid w:val="60196D73"/>
    <w:rsid w:val="601E25DC"/>
    <w:rsid w:val="60206354"/>
    <w:rsid w:val="60251BBC"/>
    <w:rsid w:val="602A5424"/>
    <w:rsid w:val="602C4CF9"/>
    <w:rsid w:val="60326087"/>
    <w:rsid w:val="60343BAD"/>
    <w:rsid w:val="603441C9"/>
    <w:rsid w:val="603F3417"/>
    <w:rsid w:val="60477D84"/>
    <w:rsid w:val="605204D7"/>
    <w:rsid w:val="60522285"/>
    <w:rsid w:val="60530BE2"/>
    <w:rsid w:val="60545FFD"/>
    <w:rsid w:val="60557590"/>
    <w:rsid w:val="60597AB8"/>
    <w:rsid w:val="605E6E7C"/>
    <w:rsid w:val="606326E4"/>
    <w:rsid w:val="60636240"/>
    <w:rsid w:val="60663178"/>
    <w:rsid w:val="60673F83"/>
    <w:rsid w:val="60687CFB"/>
    <w:rsid w:val="606C7EF8"/>
    <w:rsid w:val="607246D5"/>
    <w:rsid w:val="6074044E"/>
    <w:rsid w:val="607466A0"/>
    <w:rsid w:val="60793CB6"/>
    <w:rsid w:val="608368E3"/>
    <w:rsid w:val="608B4D11"/>
    <w:rsid w:val="608E59B3"/>
    <w:rsid w:val="608F5287"/>
    <w:rsid w:val="60902926"/>
    <w:rsid w:val="60912DAE"/>
    <w:rsid w:val="6098413C"/>
    <w:rsid w:val="6099620C"/>
    <w:rsid w:val="609A4358"/>
    <w:rsid w:val="609B3C2C"/>
    <w:rsid w:val="609D79A4"/>
    <w:rsid w:val="609E54CA"/>
    <w:rsid w:val="60A01243"/>
    <w:rsid w:val="60A96349"/>
    <w:rsid w:val="60AA20C1"/>
    <w:rsid w:val="60AC408B"/>
    <w:rsid w:val="60AD17EC"/>
    <w:rsid w:val="60AD570E"/>
    <w:rsid w:val="60B62814"/>
    <w:rsid w:val="60BA67A8"/>
    <w:rsid w:val="60C767CF"/>
    <w:rsid w:val="60CC64DC"/>
    <w:rsid w:val="60D158A0"/>
    <w:rsid w:val="60D35979"/>
    <w:rsid w:val="60D3786A"/>
    <w:rsid w:val="60D4713E"/>
    <w:rsid w:val="60DB227B"/>
    <w:rsid w:val="60E92BEA"/>
    <w:rsid w:val="60EA092F"/>
    <w:rsid w:val="60EC4488"/>
    <w:rsid w:val="60EE010F"/>
    <w:rsid w:val="60EE6452"/>
    <w:rsid w:val="60F12F0B"/>
    <w:rsid w:val="60F17CF0"/>
    <w:rsid w:val="60F313B0"/>
    <w:rsid w:val="60F35816"/>
    <w:rsid w:val="60F8107F"/>
    <w:rsid w:val="60FD0443"/>
    <w:rsid w:val="610417D1"/>
    <w:rsid w:val="61045C75"/>
    <w:rsid w:val="610619ED"/>
    <w:rsid w:val="61077514"/>
    <w:rsid w:val="61096DE8"/>
    <w:rsid w:val="610F5757"/>
    <w:rsid w:val="61111FBE"/>
    <w:rsid w:val="61135EB8"/>
    <w:rsid w:val="61165E8B"/>
    <w:rsid w:val="611D0AE5"/>
    <w:rsid w:val="61291238"/>
    <w:rsid w:val="612B4B14"/>
    <w:rsid w:val="612B4FB0"/>
    <w:rsid w:val="612C6F7A"/>
    <w:rsid w:val="612E4AA0"/>
    <w:rsid w:val="613A51F3"/>
    <w:rsid w:val="613F6CAD"/>
    <w:rsid w:val="61475B62"/>
    <w:rsid w:val="614C4F26"/>
    <w:rsid w:val="615362B5"/>
    <w:rsid w:val="615446EC"/>
    <w:rsid w:val="61630BEE"/>
    <w:rsid w:val="61665FE8"/>
    <w:rsid w:val="6171498D"/>
    <w:rsid w:val="617478C1"/>
    <w:rsid w:val="617526CF"/>
    <w:rsid w:val="617701F5"/>
    <w:rsid w:val="617A5F38"/>
    <w:rsid w:val="617A7CE6"/>
    <w:rsid w:val="617C1CB0"/>
    <w:rsid w:val="617C580C"/>
    <w:rsid w:val="617D17A4"/>
    <w:rsid w:val="61834DEC"/>
    <w:rsid w:val="618D7A19"/>
    <w:rsid w:val="61930DA7"/>
    <w:rsid w:val="61954B1F"/>
    <w:rsid w:val="61A44D62"/>
    <w:rsid w:val="61A62889"/>
    <w:rsid w:val="61AD3C17"/>
    <w:rsid w:val="61B0429A"/>
    <w:rsid w:val="61B2122D"/>
    <w:rsid w:val="61BC5B34"/>
    <w:rsid w:val="61C13B66"/>
    <w:rsid w:val="61C86CA3"/>
    <w:rsid w:val="61CA67F0"/>
    <w:rsid w:val="61CC35A7"/>
    <w:rsid w:val="61CD49EB"/>
    <w:rsid w:val="61CD6067"/>
    <w:rsid w:val="61CE1DDF"/>
    <w:rsid w:val="61CE48E1"/>
    <w:rsid w:val="61D513C0"/>
    <w:rsid w:val="61D92C5E"/>
    <w:rsid w:val="61DF5D9B"/>
    <w:rsid w:val="61E33E63"/>
    <w:rsid w:val="61E41603"/>
    <w:rsid w:val="61E62ADF"/>
    <w:rsid w:val="61ED6709"/>
    <w:rsid w:val="61FA4982"/>
    <w:rsid w:val="61FB0E26"/>
    <w:rsid w:val="61FD76AE"/>
    <w:rsid w:val="62037CDB"/>
    <w:rsid w:val="62065A1D"/>
    <w:rsid w:val="62085F01"/>
    <w:rsid w:val="620D6DAC"/>
    <w:rsid w:val="620F042E"/>
    <w:rsid w:val="62126170"/>
    <w:rsid w:val="62143C96"/>
    <w:rsid w:val="62145A44"/>
    <w:rsid w:val="62166DC4"/>
    <w:rsid w:val="62173786"/>
    <w:rsid w:val="621C2B4B"/>
    <w:rsid w:val="6220088D"/>
    <w:rsid w:val="62223D7A"/>
    <w:rsid w:val="6223037D"/>
    <w:rsid w:val="62255EA3"/>
    <w:rsid w:val="622A5268"/>
    <w:rsid w:val="622B1E20"/>
    <w:rsid w:val="622B7232"/>
    <w:rsid w:val="62326812"/>
    <w:rsid w:val="62361E5F"/>
    <w:rsid w:val="623936FD"/>
    <w:rsid w:val="623A1223"/>
    <w:rsid w:val="623E0D13"/>
    <w:rsid w:val="624125B1"/>
    <w:rsid w:val="6245446B"/>
    <w:rsid w:val="6247406C"/>
    <w:rsid w:val="624B3430"/>
    <w:rsid w:val="624B51DE"/>
    <w:rsid w:val="624C1682"/>
    <w:rsid w:val="624D71A8"/>
    <w:rsid w:val="624E291A"/>
    <w:rsid w:val="62500A46"/>
    <w:rsid w:val="62522A10"/>
    <w:rsid w:val="62540537"/>
    <w:rsid w:val="625422E5"/>
    <w:rsid w:val="62593D9F"/>
    <w:rsid w:val="625E13B5"/>
    <w:rsid w:val="62612C54"/>
    <w:rsid w:val="62671234"/>
    <w:rsid w:val="62682234"/>
    <w:rsid w:val="62742987"/>
    <w:rsid w:val="627961EF"/>
    <w:rsid w:val="627A4978"/>
    <w:rsid w:val="6280132C"/>
    <w:rsid w:val="62832BCA"/>
    <w:rsid w:val="628337F2"/>
    <w:rsid w:val="62865B5C"/>
    <w:rsid w:val="628801E0"/>
    <w:rsid w:val="62886432"/>
    <w:rsid w:val="628D28AA"/>
    <w:rsid w:val="62922837"/>
    <w:rsid w:val="6299063F"/>
    <w:rsid w:val="629E17B2"/>
    <w:rsid w:val="62A50E07"/>
    <w:rsid w:val="62A61D0C"/>
    <w:rsid w:val="62A750F4"/>
    <w:rsid w:val="62AF39BF"/>
    <w:rsid w:val="62AF7E63"/>
    <w:rsid w:val="62B114E5"/>
    <w:rsid w:val="62BD60DC"/>
    <w:rsid w:val="62C84A81"/>
    <w:rsid w:val="62C90F25"/>
    <w:rsid w:val="62CA07F9"/>
    <w:rsid w:val="62D33B51"/>
    <w:rsid w:val="62D4425D"/>
    <w:rsid w:val="62D81168"/>
    <w:rsid w:val="62E23D94"/>
    <w:rsid w:val="62E53885"/>
    <w:rsid w:val="62E95123"/>
    <w:rsid w:val="62F12229"/>
    <w:rsid w:val="62FA10DE"/>
    <w:rsid w:val="62FB30A8"/>
    <w:rsid w:val="62FB4E56"/>
    <w:rsid w:val="62FB6C04"/>
    <w:rsid w:val="63041F5D"/>
    <w:rsid w:val="63043D0B"/>
    <w:rsid w:val="63071A4D"/>
    <w:rsid w:val="630930CF"/>
    <w:rsid w:val="630C7063"/>
    <w:rsid w:val="630E2DDB"/>
    <w:rsid w:val="63224191"/>
    <w:rsid w:val="6324615B"/>
    <w:rsid w:val="632679EE"/>
    <w:rsid w:val="632878B5"/>
    <w:rsid w:val="632919C3"/>
    <w:rsid w:val="632E2B36"/>
    <w:rsid w:val="632F68AE"/>
    <w:rsid w:val="633345F0"/>
    <w:rsid w:val="63365E8E"/>
    <w:rsid w:val="633B0109"/>
    <w:rsid w:val="633B5253"/>
    <w:rsid w:val="63424833"/>
    <w:rsid w:val="634265E1"/>
    <w:rsid w:val="63464323"/>
    <w:rsid w:val="63520F1A"/>
    <w:rsid w:val="63556314"/>
    <w:rsid w:val="635A7DCF"/>
    <w:rsid w:val="635B58F5"/>
    <w:rsid w:val="635D78BF"/>
    <w:rsid w:val="63624ED5"/>
    <w:rsid w:val="63660521"/>
    <w:rsid w:val="636724EC"/>
    <w:rsid w:val="63691DC0"/>
    <w:rsid w:val="637020C5"/>
    <w:rsid w:val="63715118"/>
    <w:rsid w:val="63730E90"/>
    <w:rsid w:val="637569B7"/>
    <w:rsid w:val="63770981"/>
    <w:rsid w:val="6377272F"/>
    <w:rsid w:val="637846F9"/>
    <w:rsid w:val="637D3ABD"/>
    <w:rsid w:val="638766EA"/>
    <w:rsid w:val="63894210"/>
    <w:rsid w:val="639332E1"/>
    <w:rsid w:val="6393508F"/>
    <w:rsid w:val="63A02AE2"/>
    <w:rsid w:val="63A70B3A"/>
    <w:rsid w:val="63A86D8C"/>
    <w:rsid w:val="63AB687C"/>
    <w:rsid w:val="63AE3C76"/>
    <w:rsid w:val="63B07EEF"/>
    <w:rsid w:val="63B15515"/>
    <w:rsid w:val="63B3128D"/>
    <w:rsid w:val="63B35731"/>
    <w:rsid w:val="63B70D7D"/>
    <w:rsid w:val="63B84AF5"/>
    <w:rsid w:val="63BC6393"/>
    <w:rsid w:val="63C11BFC"/>
    <w:rsid w:val="63C27722"/>
    <w:rsid w:val="63C74D38"/>
    <w:rsid w:val="63D336DD"/>
    <w:rsid w:val="63D71E11"/>
    <w:rsid w:val="63DC07E4"/>
    <w:rsid w:val="63DC6A36"/>
    <w:rsid w:val="63DD455C"/>
    <w:rsid w:val="63DF2082"/>
    <w:rsid w:val="63E37DC4"/>
    <w:rsid w:val="63E458EA"/>
    <w:rsid w:val="63E54454"/>
    <w:rsid w:val="63E853DA"/>
    <w:rsid w:val="63E92F01"/>
    <w:rsid w:val="63EE6769"/>
    <w:rsid w:val="63F0603D"/>
    <w:rsid w:val="63F45E84"/>
    <w:rsid w:val="63F51D52"/>
    <w:rsid w:val="63FD026A"/>
    <w:rsid w:val="63FD6D10"/>
    <w:rsid w:val="63FE0403"/>
    <w:rsid w:val="64041AE8"/>
    <w:rsid w:val="641206A9"/>
    <w:rsid w:val="64122457"/>
    <w:rsid w:val="6416019A"/>
    <w:rsid w:val="641E704E"/>
    <w:rsid w:val="641F4B74"/>
    <w:rsid w:val="64202DC6"/>
    <w:rsid w:val="64216B3E"/>
    <w:rsid w:val="642301C1"/>
    <w:rsid w:val="64265F03"/>
    <w:rsid w:val="64283A29"/>
    <w:rsid w:val="642A59F3"/>
    <w:rsid w:val="642B3519"/>
    <w:rsid w:val="642D54E3"/>
    <w:rsid w:val="642E6B65"/>
    <w:rsid w:val="643D19DF"/>
    <w:rsid w:val="644840EA"/>
    <w:rsid w:val="6449399F"/>
    <w:rsid w:val="64502F80"/>
    <w:rsid w:val="64577B7E"/>
    <w:rsid w:val="64610CE9"/>
    <w:rsid w:val="6461518D"/>
    <w:rsid w:val="646447D2"/>
    <w:rsid w:val="64654C7D"/>
    <w:rsid w:val="646A0640"/>
    <w:rsid w:val="646A2293"/>
    <w:rsid w:val="64713622"/>
    <w:rsid w:val="64721148"/>
    <w:rsid w:val="64833355"/>
    <w:rsid w:val="6486074F"/>
    <w:rsid w:val="648F1CFA"/>
    <w:rsid w:val="64915A72"/>
    <w:rsid w:val="64942E6C"/>
    <w:rsid w:val="64966BE4"/>
    <w:rsid w:val="64992B79"/>
    <w:rsid w:val="649B244D"/>
    <w:rsid w:val="64A55079"/>
    <w:rsid w:val="64A758F9"/>
    <w:rsid w:val="64A82DBC"/>
    <w:rsid w:val="64AC28AC"/>
    <w:rsid w:val="64B13A1E"/>
    <w:rsid w:val="64B96D77"/>
    <w:rsid w:val="64BB7803"/>
    <w:rsid w:val="64C23E7D"/>
    <w:rsid w:val="64C37BF6"/>
    <w:rsid w:val="64C574CA"/>
    <w:rsid w:val="64C71494"/>
    <w:rsid w:val="64C96191"/>
    <w:rsid w:val="64CA2D32"/>
    <w:rsid w:val="64CA4AE0"/>
    <w:rsid w:val="64CC2A37"/>
    <w:rsid w:val="64CF20F6"/>
    <w:rsid w:val="64D21BE7"/>
    <w:rsid w:val="64D23995"/>
    <w:rsid w:val="64D27AC2"/>
    <w:rsid w:val="64D67929"/>
    <w:rsid w:val="64D94D23"/>
    <w:rsid w:val="64DB0A9B"/>
    <w:rsid w:val="64DE058B"/>
    <w:rsid w:val="64DE67DD"/>
    <w:rsid w:val="64E2007C"/>
    <w:rsid w:val="64E5191A"/>
    <w:rsid w:val="64E97D5C"/>
    <w:rsid w:val="64EE6A20"/>
    <w:rsid w:val="64EF09EB"/>
    <w:rsid w:val="64FD4EB5"/>
    <w:rsid w:val="64FD6C64"/>
    <w:rsid w:val="64FE478A"/>
    <w:rsid w:val="650049A6"/>
    <w:rsid w:val="6502071E"/>
    <w:rsid w:val="65051FBC"/>
    <w:rsid w:val="65071890"/>
    <w:rsid w:val="65077AE2"/>
    <w:rsid w:val="6509385A"/>
    <w:rsid w:val="650A312E"/>
    <w:rsid w:val="650A5824"/>
    <w:rsid w:val="650F4BE9"/>
    <w:rsid w:val="650F6997"/>
    <w:rsid w:val="651421FF"/>
    <w:rsid w:val="65167D25"/>
    <w:rsid w:val="651F0D9C"/>
    <w:rsid w:val="652266CA"/>
    <w:rsid w:val="652561BA"/>
    <w:rsid w:val="65257F68"/>
    <w:rsid w:val="65273A48"/>
    <w:rsid w:val="65295CAB"/>
    <w:rsid w:val="652C12F7"/>
    <w:rsid w:val="65314B5F"/>
    <w:rsid w:val="6535464F"/>
    <w:rsid w:val="65363F24"/>
    <w:rsid w:val="65366998"/>
    <w:rsid w:val="653B6D24"/>
    <w:rsid w:val="653D52B2"/>
    <w:rsid w:val="65402FF4"/>
    <w:rsid w:val="654725D5"/>
    <w:rsid w:val="654A5C21"/>
    <w:rsid w:val="654A79CF"/>
    <w:rsid w:val="654B3E73"/>
    <w:rsid w:val="654D37E0"/>
    <w:rsid w:val="654E5711"/>
    <w:rsid w:val="655069AC"/>
    <w:rsid w:val="65534AD5"/>
    <w:rsid w:val="655645C6"/>
    <w:rsid w:val="655A5E64"/>
    <w:rsid w:val="655B1BDC"/>
    <w:rsid w:val="655F215C"/>
    <w:rsid w:val="656942F9"/>
    <w:rsid w:val="656B0071"/>
    <w:rsid w:val="656C5B97"/>
    <w:rsid w:val="656D6FEF"/>
    <w:rsid w:val="657A02B4"/>
    <w:rsid w:val="658A6555"/>
    <w:rsid w:val="658C7FE7"/>
    <w:rsid w:val="65953340"/>
    <w:rsid w:val="65956E9C"/>
    <w:rsid w:val="65984BDE"/>
    <w:rsid w:val="659A2704"/>
    <w:rsid w:val="659B206D"/>
    <w:rsid w:val="659F4066"/>
    <w:rsid w:val="65AB4911"/>
    <w:rsid w:val="65B512EC"/>
    <w:rsid w:val="65B55790"/>
    <w:rsid w:val="65B8702E"/>
    <w:rsid w:val="65BA6903"/>
    <w:rsid w:val="65BD63F3"/>
    <w:rsid w:val="65BF216B"/>
    <w:rsid w:val="65BF6897"/>
    <w:rsid w:val="65C5024C"/>
    <w:rsid w:val="65C77271"/>
    <w:rsid w:val="65D24B51"/>
    <w:rsid w:val="65D31C24"/>
    <w:rsid w:val="65D908CE"/>
    <w:rsid w:val="65E120E1"/>
    <w:rsid w:val="65E322FD"/>
    <w:rsid w:val="65E9368C"/>
    <w:rsid w:val="65EE0CA2"/>
    <w:rsid w:val="65EE2A50"/>
    <w:rsid w:val="65F17570"/>
    <w:rsid w:val="65F8742B"/>
    <w:rsid w:val="66014531"/>
    <w:rsid w:val="660364FC"/>
    <w:rsid w:val="66091638"/>
    <w:rsid w:val="660E4375"/>
    <w:rsid w:val="66106E6A"/>
    <w:rsid w:val="66117C3F"/>
    <w:rsid w:val="6612673F"/>
    <w:rsid w:val="661318A7"/>
    <w:rsid w:val="66154481"/>
    <w:rsid w:val="661701F9"/>
    <w:rsid w:val="66176347"/>
    <w:rsid w:val="6618187B"/>
    <w:rsid w:val="661A3845"/>
    <w:rsid w:val="661C580F"/>
    <w:rsid w:val="662326FA"/>
    <w:rsid w:val="66291CDA"/>
    <w:rsid w:val="662A7F2C"/>
    <w:rsid w:val="662D32F5"/>
    <w:rsid w:val="66304E17"/>
    <w:rsid w:val="66377F53"/>
    <w:rsid w:val="66383CCB"/>
    <w:rsid w:val="663C7C5F"/>
    <w:rsid w:val="66432D9C"/>
    <w:rsid w:val="66500A01"/>
    <w:rsid w:val="6650370B"/>
    <w:rsid w:val="66576847"/>
    <w:rsid w:val="665B6338"/>
    <w:rsid w:val="665C20B0"/>
    <w:rsid w:val="666B40A1"/>
    <w:rsid w:val="66800E54"/>
    <w:rsid w:val="66805D9E"/>
    <w:rsid w:val="668A2779"/>
    <w:rsid w:val="668E3AB2"/>
    <w:rsid w:val="6692162D"/>
    <w:rsid w:val="669435F8"/>
    <w:rsid w:val="66950875"/>
    <w:rsid w:val="66974E96"/>
    <w:rsid w:val="669B2BD8"/>
    <w:rsid w:val="669B2FA6"/>
    <w:rsid w:val="66A51361"/>
    <w:rsid w:val="66A575B3"/>
    <w:rsid w:val="66A82BFF"/>
    <w:rsid w:val="66AA2E1B"/>
    <w:rsid w:val="66AA4BC9"/>
    <w:rsid w:val="66B45A48"/>
    <w:rsid w:val="66B5531C"/>
    <w:rsid w:val="66B772E6"/>
    <w:rsid w:val="66C0263F"/>
    <w:rsid w:val="66C043ED"/>
    <w:rsid w:val="66C13CC1"/>
    <w:rsid w:val="66C8504F"/>
    <w:rsid w:val="66CA0DC7"/>
    <w:rsid w:val="66CD08B8"/>
    <w:rsid w:val="66D32372"/>
    <w:rsid w:val="66DA2CEF"/>
    <w:rsid w:val="66DB0439"/>
    <w:rsid w:val="66DC6D4D"/>
    <w:rsid w:val="66E75E1D"/>
    <w:rsid w:val="66EA1469"/>
    <w:rsid w:val="66EF2FFE"/>
    <w:rsid w:val="66F127F8"/>
    <w:rsid w:val="66F2031E"/>
    <w:rsid w:val="66F347C2"/>
    <w:rsid w:val="66F978FF"/>
    <w:rsid w:val="670047E9"/>
    <w:rsid w:val="67065B78"/>
    <w:rsid w:val="670B7518"/>
    <w:rsid w:val="671169F6"/>
    <w:rsid w:val="6712451C"/>
    <w:rsid w:val="67256946"/>
    <w:rsid w:val="67332E10"/>
    <w:rsid w:val="67380427"/>
    <w:rsid w:val="674476A9"/>
    <w:rsid w:val="6747066A"/>
    <w:rsid w:val="674A63AC"/>
    <w:rsid w:val="674D37A6"/>
    <w:rsid w:val="67513297"/>
    <w:rsid w:val="67542D87"/>
    <w:rsid w:val="67642FCA"/>
    <w:rsid w:val="67650AF0"/>
    <w:rsid w:val="67656D42"/>
    <w:rsid w:val="67670D0C"/>
    <w:rsid w:val="67674868"/>
    <w:rsid w:val="676870F4"/>
    <w:rsid w:val="676905E0"/>
    <w:rsid w:val="676A25AA"/>
    <w:rsid w:val="676C00D0"/>
    <w:rsid w:val="67717495"/>
    <w:rsid w:val="677376B1"/>
    <w:rsid w:val="677551D7"/>
    <w:rsid w:val="67786A75"/>
    <w:rsid w:val="677F6056"/>
    <w:rsid w:val="67803B7C"/>
    <w:rsid w:val="678056D4"/>
    <w:rsid w:val="678371C8"/>
    <w:rsid w:val="6784541A"/>
    <w:rsid w:val="67852F40"/>
    <w:rsid w:val="678673E4"/>
    <w:rsid w:val="6796339F"/>
    <w:rsid w:val="6796514D"/>
    <w:rsid w:val="679D472E"/>
    <w:rsid w:val="67A46585"/>
    <w:rsid w:val="67A50C5E"/>
    <w:rsid w:val="67A7735B"/>
    <w:rsid w:val="67AB6E4B"/>
    <w:rsid w:val="67AC671F"/>
    <w:rsid w:val="67AD361C"/>
    <w:rsid w:val="67AE693B"/>
    <w:rsid w:val="67B60119"/>
    <w:rsid w:val="67B6134C"/>
    <w:rsid w:val="67BC1058"/>
    <w:rsid w:val="67BF6452"/>
    <w:rsid w:val="67C1041C"/>
    <w:rsid w:val="67C3130F"/>
    <w:rsid w:val="67C51FCF"/>
    <w:rsid w:val="67C972D1"/>
    <w:rsid w:val="67CE0D8B"/>
    <w:rsid w:val="67D363A2"/>
    <w:rsid w:val="67D53EC8"/>
    <w:rsid w:val="67D85766"/>
    <w:rsid w:val="67E1461B"/>
    <w:rsid w:val="67EE0AE5"/>
    <w:rsid w:val="67F51E74"/>
    <w:rsid w:val="67F66781"/>
    <w:rsid w:val="67FF7197"/>
    <w:rsid w:val="68000819"/>
    <w:rsid w:val="680E1188"/>
    <w:rsid w:val="68120C78"/>
    <w:rsid w:val="6817003C"/>
    <w:rsid w:val="681744E0"/>
    <w:rsid w:val="681A18DB"/>
    <w:rsid w:val="682D7860"/>
    <w:rsid w:val="68356714"/>
    <w:rsid w:val="68386205"/>
    <w:rsid w:val="683E7CBF"/>
    <w:rsid w:val="6844104D"/>
    <w:rsid w:val="68476448"/>
    <w:rsid w:val="6849383D"/>
    <w:rsid w:val="684B3BC0"/>
    <w:rsid w:val="685968A7"/>
    <w:rsid w:val="685E3D08"/>
    <w:rsid w:val="6865349E"/>
    <w:rsid w:val="68667E50"/>
    <w:rsid w:val="68670295"/>
    <w:rsid w:val="686B65DA"/>
    <w:rsid w:val="68721717"/>
    <w:rsid w:val="6873723D"/>
    <w:rsid w:val="6881195A"/>
    <w:rsid w:val="68815DFE"/>
    <w:rsid w:val="688425B7"/>
    <w:rsid w:val="68882CE8"/>
    <w:rsid w:val="688B0A2A"/>
    <w:rsid w:val="688B27D8"/>
    <w:rsid w:val="688C0519"/>
    <w:rsid w:val="688F051A"/>
    <w:rsid w:val="68906041"/>
    <w:rsid w:val="68955405"/>
    <w:rsid w:val="689C2C37"/>
    <w:rsid w:val="689C49E5"/>
    <w:rsid w:val="689E075E"/>
    <w:rsid w:val="689F0032"/>
    <w:rsid w:val="68A1024E"/>
    <w:rsid w:val="68A33FC6"/>
    <w:rsid w:val="68B166E3"/>
    <w:rsid w:val="68B41D2F"/>
    <w:rsid w:val="68B91F19"/>
    <w:rsid w:val="68BA4E6C"/>
    <w:rsid w:val="68C1444C"/>
    <w:rsid w:val="68C21D29"/>
    <w:rsid w:val="68C77CB4"/>
    <w:rsid w:val="68C83A2C"/>
    <w:rsid w:val="68CB18F9"/>
    <w:rsid w:val="68CD4B9F"/>
    <w:rsid w:val="68CF6B69"/>
    <w:rsid w:val="68D0643D"/>
    <w:rsid w:val="68D91796"/>
    <w:rsid w:val="68DE65B8"/>
    <w:rsid w:val="68E87C2B"/>
    <w:rsid w:val="68EA0337"/>
    <w:rsid w:val="68EA74FF"/>
    <w:rsid w:val="68EF720B"/>
    <w:rsid w:val="68F14D31"/>
    <w:rsid w:val="68F20AA9"/>
    <w:rsid w:val="68F23E8E"/>
    <w:rsid w:val="68F35F86"/>
    <w:rsid w:val="68F55EA4"/>
    <w:rsid w:val="68F6059A"/>
    <w:rsid w:val="68FE2FAA"/>
    <w:rsid w:val="6903064C"/>
    <w:rsid w:val="690507DD"/>
    <w:rsid w:val="690F3409"/>
    <w:rsid w:val="69152A61"/>
    <w:rsid w:val="691722BE"/>
    <w:rsid w:val="69174443"/>
    <w:rsid w:val="69197DE4"/>
    <w:rsid w:val="69224EEB"/>
    <w:rsid w:val="69286279"/>
    <w:rsid w:val="692C5FB8"/>
    <w:rsid w:val="692F585A"/>
    <w:rsid w:val="69324B5A"/>
    <w:rsid w:val="693370F8"/>
    <w:rsid w:val="69392234"/>
    <w:rsid w:val="694223F7"/>
    <w:rsid w:val="69431F39"/>
    <w:rsid w:val="69450BD9"/>
    <w:rsid w:val="69470DF5"/>
    <w:rsid w:val="694806C9"/>
    <w:rsid w:val="694A4441"/>
    <w:rsid w:val="69531548"/>
    <w:rsid w:val="69556F7E"/>
    <w:rsid w:val="6958090C"/>
    <w:rsid w:val="69584DB0"/>
    <w:rsid w:val="69586B5E"/>
    <w:rsid w:val="69594684"/>
    <w:rsid w:val="695E7EED"/>
    <w:rsid w:val="695F613F"/>
    <w:rsid w:val="69635503"/>
    <w:rsid w:val="696848C8"/>
    <w:rsid w:val="696A6892"/>
    <w:rsid w:val="696C260A"/>
    <w:rsid w:val="69717C20"/>
    <w:rsid w:val="69733998"/>
    <w:rsid w:val="69780FAF"/>
    <w:rsid w:val="69782D5D"/>
    <w:rsid w:val="69796AD5"/>
    <w:rsid w:val="69827F32"/>
    <w:rsid w:val="69831701"/>
    <w:rsid w:val="69875790"/>
    <w:rsid w:val="698C05B6"/>
    <w:rsid w:val="698C6808"/>
    <w:rsid w:val="69926A05"/>
    <w:rsid w:val="699D5196"/>
    <w:rsid w:val="69A022B3"/>
    <w:rsid w:val="69A04061"/>
    <w:rsid w:val="69AC6EAA"/>
    <w:rsid w:val="69AF27B9"/>
    <w:rsid w:val="69B01F8E"/>
    <w:rsid w:val="69B67D29"/>
    <w:rsid w:val="69BB533F"/>
    <w:rsid w:val="69BD10B7"/>
    <w:rsid w:val="69C441F4"/>
    <w:rsid w:val="69C51D1A"/>
    <w:rsid w:val="69C62A73"/>
    <w:rsid w:val="69C67F6C"/>
    <w:rsid w:val="69C94295"/>
    <w:rsid w:val="69CE6E20"/>
    <w:rsid w:val="69D41F5D"/>
    <w:rsid w:val="69D63F27"/>
    <w:rsid w:val="69DE0CFA"/>
    <w:rsid w:val="69E77EE2"/>
    <w:rsid w:val="69F055C0"/>
    <w:rsid w:val="69F148BD"/>
    <w:rsid w:val="69F66CEC"/>
    <w:rsid w:val="69F745C9"/>
    <w:rsid w:val="69F83E9D"/>
    <w:rsid w:val="6A026ACA"/>
    <w:rsid w:val="6A0665BA"/>
    <w:rsid w:val="6A0740E0"/>
    <w:rsid w:val="6A0960AB"/>
    <w:rsid w:val="6A0A597F"/>
    <w:rsid w:val="6A1231B1"/>
    <w:rsid w:val="6A164324"/>
    <w:rsid w:val="6A184540"/>
    <w:rsid w:val="6A186435"/>
    <w:rsid w:val="6A1D3904"/>
    <w:rsid w:val="6A1F6BD7"/>
    <w:rsid w:val="6A220F1A"/>
    <w:rsid w:val="6A222CC8"/>
    <w:rsid w:val="6A260A0B"/>
    <w:rsid w:val="6A276531"/>
    <w:rsid w:val="6A3A7777"/>
    <w:rsid w:val="6A3B3D8A"/>
    <w:rsid w:val="6A440E91"/>
    <w:rsid w:val="6A462E5B"/>
    <w:rsid w:val="6A4B0471"/>
    <w:rsid w:val="6A4E3ABD"/>
    <w:rsid w:val="6A535578"/>
    <w:rsid w:val="6A5557B6"/>
    <w:rsid w:val="6A590DE0"/>
    <w:rsid w:val="6A5F216E"/>
    <w:rsid w:val="6A5F3F1C"/>
    <w:rsid w:val="6A627569"/>
    <w:rsid w:val="6A681023"/>
    <w:rsid w:val="6A687275"/>
    <w:rsid w:val="6A723C50"/>
    <w:rsid w:val="6A7259FE"/>
    <w:rsid w:val="6A745C1A"/>
    <w:rsid w:val="6A7554EE"/>
    <w:rsid w:val="6A772D37"/>
    <w:rsid w:val="6A7C687C"/>
    <w:rsid w:val="6A86594D"/>
    <w:rsid w:val="6A876FCF"/>
    <w:rsid w:val="6A892D47"/>
    <w:rsid w:val="6A8A71EB"/>
    <w:rsid w:val="6A8D6CDC"/>
    <w:rsid w:val="6A8E65B0"/>
    <w:rsid w:val="6A9040D6"/>
    <w:rsid w:val="6A906D98"/>
    <w:rsid w:val="6A911080"/>
    <w:rsid w:val="6A92631E"/>
    <w:rsid w:val="6A99612A"/>
    <w:rsid w:val="6A99742E"/>
    <w:rsid w:val="6A9A31A7"/>
    <w:rsid w:val="6A9F07BD"/>
    <w:rsid w:val="6AA33E09"/>
    <w:rsid w:val="6AA54025"/>
    <w:rsid w:val="6AA656A7"/>
    <w:rsid w:val="6AA858C3"/>
    <w:rsid w:val="6AAB7162"/>
    <w:rsid w:val="6AAD4C88"/>
    <w:rsid w:val="6AAD6A36"/>
    <w:rsid w:val="6AB97AD1"/>
    <w:rsid w:val="6ABA73A5"/>
    <w:rsid w:val="6ABB28B6"/>
    <w:rsid w:val="6ABC4ECB"/>
    <w:rsid w:val="6AC124E1"/>
    <w:rsid w:val="6AC16985"/>
    <w:rsid w:val="6AC67AF8"/>
    <w:rsid w:val="6AC83870"/>
    <w:rsid w:val="6ACB7804"/>
    <w:rsid w:val="6ACD532A"/>
    <w:rsid w:val="6ACE65A7"/>
    <w:rsid w:val="6AD00976"/>
    <w:rsid w:val="6AD14E1A"/>
    <w:rsid w:val="6ADB7A47"/>
    <w:rsid w:val="6AE12B83"/>
    <w:rsid w:val="6AE756D2"/>
    <w:rsid w:val="6AE85CC0"/>
    <w:rsid w:val="6AEF704E"/>
    <w:rsid w:val="6AF26B3F"/>
    <w:rsid w:val="6AF723A7"/>
    <w:rsid w:val="6AF74155"/>
    <w:rsid w:val="6B0A3E88"/>
    <w:rsid w:val="6B0F149F"/>
    <w:rsid w:val="6B142F59"/>
    <w:rsid w:val="6B19231D"/>
    <w:rsid w:val="6B1D005F"/>
    <w:rsid w:val="6B1D7377"/>
    <w:rsid w:val="6B1E7934"/>
    <w:rsid w:val="6B1E7B31"/>
    <w:rsid w:val="6B200811"/>
    <w:rsid w:val="6B2111D2"/>
    <w:rsid w:val="6B2506DA"/>
    <w:rsid w:val="6B252A70"/>
    <w:rsid w:val="6B295AA1"/>
    <w:rsid w:val="6B301415"/>
    <w:rsid w:val="6B32518D"/>
    <w:rsid w:val="6B39651C"/>
    <w:rsid w:val="6B3C7DBA"/>
    <w:rsid w:val="6B405AFC"/>
    <w:rsid w:val="6B417FFD"/>
    <w:rsid w:val="6B451364"/>
    <w:rsid w:val="6B4B624F"/>
    <w:rsid w:val="6B4C26F3"/>
    <w:rsid w:val="6B4F56D2"/>
    <w:rsid w:val="6B511AB7"/>
    <w:rsid w:val="6B543355"/>
    <w:rsid w:val="6B555575"/>
    <w:rsid w:val="6B582ECE"/>
    <w:rsid w:val="6B594E10"/>
    <w:rsid w:val="6B5C045C"/>
    <w:rsid w:val="6B6D2669"/>
    <w:rsid w:val="6B6F1F3D"/>
    <w:rsid w:val="6B72229B"/>
    <w:rsid w:val="6B735ED1"/>
    <w:rsid w:val="6B7D28AC"/>
    <w:rsid w:val="6B7F67E4"/>
    <w:rsid w:val="6B80239C"/>
    <w:rsid w:val="6B985938"/>
    <w:rsid w:val="6B9A16B0"/>
    <w:rsid w:val="6B9E5CFE"/>
    <w:rsid w:val="6BB32772"/>
    <w:rsid w:val="6BB513B4"/>
    <w:rsid w:val="6BB87D88"/>
    <w:rsid w:val="6BBB5183"/>
    <w:rsid w:val="6BBE4C73"/>
    <w:rsid w:val="6BC26511"/>
    <w:rsid w:val="6BC54253"/>
    <w:rsid w:val="6BC56001"/>
    <w:rsid w:val="6BC61404"/>
    <w:rsid w:val="6BC77FCB"/>
    <w:rsid w:val="6BC93D43"/>
    <w:rsid w:val="6BCC55E2"/>
    <w:rsid w:val="6BD12BF8"/>
    <w:rsid w:val="6BDB5825"/>
    <w:rsid w:val="6BDD334B"/>
    <w:rsid w:val="6BEC358E"/>
    <w:rsid w:val="6BEE7306"/>
    <w:rsid w:val="6BEF307E"/>
    <w:rsid w:val="6BF012D0"/>
    <w:rsid w:val="6BF61418"/>
    <w:rsid w:val="6BF6265F"/>
    <w:rsid w:val="6BF863D7"/>
    <w:rsid w:val="6BF95CAB"/>
    <w:rsid w:val="6BFD1C3F"/>
    <w:rsid w:val="6BFD579B"/>
    <w:rsid w:val="6BFF59B7"/>
    <w:rsid w:val="6BFF7765"/>
    <w:rsid w:val="6C0279BB"/>
    <w:rsid w:val="6C0528A2"/>
    <w:rsid w:val="6C0F6A72"/>
    <w:rsid w:val="6C103720"/>
    <w:rsid w:val="6C111246"/>
    <w:rsid w:val="6C1765A4"/>
    <w:rsid w:val="6C197B1D"/>
    <w:rsid w:val="6C1A634D"/>
    <w:rsid w:val="6C2216A6"/>
    <w:rsid w:val="6C2C42D2"/>
    <w:rsid w:val="6C2E004A"/>
    <w:rsid w:val="6C2E3BA6"/>
    <w:rsid w:val="6C3118E9"/>
    <w:rsid w:val="6C3311BD"/>
    <w:rsid w:val="6C33740F"/>
    <w:rsid w:val="6C375151"/>
    <w:rsid w:val="6C3C4515"/>
    <w:rsid w:val="6C3D278A"/>
    <w:rsid w:val="6C3F4006"/>
    <w:rsid w:val="6C427652"/>
    <w:rsid w:val="6C4433CA"/>
    <w:rsid w:val="6C4909E0"/>
    <w:rsid w:val="6C537AB1"/>
    <w:rsid w:val="6C564753"/>
    <w:rsid w:val="6C580C23"/>
    <w:rsid w:val="6C5E0930"/>
    <w:rsid w:val="6C5F58E7"/>
    <w:rsid w:val="6C627CF4"/>
    <w:rsid w:val="6C646D57"/>
    <w:rsid w:val="6C6D2921"/>
    <w:rsid w:val="6C700663"/>
    <w:rsid w:val="6C705F6D"/>
    <w:rsid w:val="6C7219B8"/>
    <w:rsid w:val="6C727F37"/>
    <w:rsid w:val="6C7517D5"/>
    <w:rsid w:val="6C7672FB"/>
    <w:rsid w:val="6C7A503E"/>
    <w:rsid w:val="6C830396"/>
    <w:rsid w:val="6C861C34"/>
    <w:rsid w:val="6C8B0FF9"/>
    <w:rsid w:val="6C9205D9"/>
    <w:rsid w:val="6C943714"/>
    <w:rsid w:val="6C951E77"/>
    <w:rsid w:val="6C9A56E0"/>
    <w:rsid w:val="6C9C1458"/>
    <w:rsid w:val="6C9F2CF6"/>
    <w:rsid w:val="6C9F43D9"/>
    <w:rsid w:val="6CA16A6E"/>
    <w:rsid w:val="6CA200F0"/>
    <w:rsid w:val="6CA420BB"/>
    <w:rsid w:val="6CAB169B"/>
    <w:rsid w:val="6CAB3449"/>
    <w:rsid w:val="6CB0280D"/>
    <w:rsid w:val="6CB82C29"/>
    <w:rsid w:val="6CC12C6C"/>
    <w:rsid w:val="6CC85DA9"/>
    <w:rsid w:val="6CCB7647"/>
    <w:rsid w:val="6CD04C5E"/>
    <w:rsid w:val="6CD84533"/>
    <w:rsid w:val="6CDA5ADC"/>
    <w:rsid w:val="6CDF1345"/>
    <w:rsid w:val="6CE16E6B"/>
    <w:rsid w:val="6CE93F71"/>
    <w:rsid w:val="6CEB7E0F"/>
    <w:rsid w:val="6CEF77DA"/>
    <w:rsid w:val="6CF03552"/>
    <w:rsid w:val="6CF3094C"/>
    <w:rsid w:val="6CF546C4"/>
    <w:rsid w:val="6CF92406"/>
    <w:rsid w:val="6D014E0B"/>
    <w:rsid w:val="6D055F72"/>
    <w:rsid w:val="6D0D2ECE"/>
    <w:rsid w:val="6D105AC9"/>
    <w:rsid w:val="6D176247"/>
    <w:rsid w:val="6D194A59"/>
    <w:rsid w:val="6D2232F1"/>
    <w:rsid w:val="6D350F65"/>
    <w:rsid w:val="6D394EF9"/>
    <w:rsid w:val="6D401DE3"/>
    <w:rsid w:val="6D415B5B"/>
    <w:rsid w:val="6D464F20"/>
    <w:rsid w:val="6D4A46CA"/>
    <w:rsid w:val="6D592EA5"/>
    <w:rsid w:val="6D5C2995"/>
    <w:rsid w:val="6D5C4743"/>
    <w:rsid w:val="6D5E04BB"/>
    <w:rsid w:val="6D605FE2"/>
    <w:rsid w:val="6D631F76"/>
    <w:rsid w:val="6D6535F8"/>
    <w:rsid w:val="6D6F14D9"/>
    <w:rsid w:val="6D702546"/>
    <w:rsid w:val="6D735232"/>
    <w:rsid w:val="6D77332B"/>
    <w:rsid w:val="6D7D4DE5"/>
    <w:rsid w:val="6D7E5FDA"/>
    <w:rsid w:val="6D8223FC"/>
    <w:rsid w:val="6D8668B7"/>
    <w:rsid w:val="6D8A7502"/>
    <w:rsid w:val="6D8C5028"/>
    <w:rsid w:val="6D8D2B4F"/>
    <w:rsid w:val="6D9E6B0A"/>
    <w:rsid w:val="6DA02882"/>
    <w:rsid w:val="6DA2484C"/>
    <w:rsid w:val="6DA57E98"/>
    <w:rsid w:val="6DB12CE1"/>
    <w:rsid w:val="6DB225B5"/>
    <w:rsid w:val="6DB3433B"/>
    <w:rsid w:val="6DBF7B29"/>
    <w:rsid w:val="6DC20A4A"/>
    <w:rsid w:val="6DC347C2"/>
    <w:rsid w:val="6DC5678C"/>
    <w:rsid w:val="6DCA78FF"/>
    <w:rsid w:val="6DCD73EF"/>
    <w:rsid w:val="6DCE67A0"/>
    <w:rsid w:val="6DD625D7"/>
    <w:rsid w:val="6DD62748"/>
    <w:rsid w:val="6DDF459D"/>
    <w:rsid w:val="6DE035C6"/>
    <w:rsid w:val="6DE05374"/>
    <w:rsid w:val="6DE55CC9"/>
    <w:rsid w:val="6DE9247B"/>
    <w:rsid w:val="6DEA61F3"/>
    <w:rsid w:val="6DEE7A91"/>
    <w:rsid w:val="6DEF7365"/>
    <w:rsid w:val="6DF350A8"/>
    <w:rsid w:val="6DF606F4"/>
    <w:rsid w:val="6DF66946"/>
    <w:rsid w:val="6DFB21AE"/>
    <w:rsid w:val="6E001573"/>
    <w:rsid w:val="6E02353D"/>
    <w:rsid w:val="6E0252EB"/>
    <w:rsid w:val="6E05302D"/>
    <w:rsid w:val="6E074015"/>
    <w:rsid w:val="6E0F17B6"/>
    <w:rsid w:val="6E1119D2"/>
    <w:rsid w:val="6E125634"/>
    <w:rsid w:val="6E1312A6"/>
    <w:rsid w:val="6E250FD9"/>
    <w:rsid w:val="6E2711F5"/>
    <w:rsid w:val="6E335F34"/>
    <w:rsid w:val="6E344E0D"/>
    <w:rsid w:val="6E3B3CE2"/>
    <w:rsid w:val="6E3D4575"/>
    <w:rsid w:val="6E4753F3"/>
    <w:rsid w:val="6E49116B"/>
    <w:rsid w:val="6E492F1A"/>
    <w:rsid w:val="6E4C0C5C"/>
    <w:rsid w:val="6E4C2A0A"/>
    <w:rsid w:val="6E4F6056"/>
    <w:rsid w:val="6E533D98"/>
    <w:rsid w:val="6E5813AF"/>
    <w:rsid w:val="6E58315D"/>
    <w:rsid w:val="6E587601"/>
    <w:rsid w:val="6E5A6ED5"/>
    <w:rsid w:val="6E645FA5"/>
    <w:rsid w:val="6E6724D5"/>
    <w:rsid w:val="6E693F43"/>
    <w:rsid w:val="6E6C4E5A"/>
    <w:rsid w:val="6E753D0F"/>
    <w:rsid w:val="6E7855AD"/>
    <w:rsid w:val="6E7A30D3"/>
    <w:rsid w:val="6E7C32EF"/>
    <w:rsid w:val="6E7F06E9"/>
    <w:rsid w:val="6E7F2DDF"/>
    <w:rsid w:val="6E82642B"/>
    <w:rsid w:val="6E851A78"/>
    <w:rsid w:val="6E891568"/>
    <w:rsid w:val="6E8B28BE"/>
    <w:rsid w:val="6E8B48D5"/>
    <w:rsid w:val="6E8B52E0"/>
    <w:rsid w:val="6E9F0D8B"/>
    <w:rsid w:val="6E9F6FDD"/>
    <w:rsid w:val="6EA14B04"/>
    <w:rsid w:val="6EA42846"/>
    <w:rsid w:val="6EA77C40"/>
    <w:rsid w:val="6EAB14DE"/>
    <w:rsid w:val="6EB32A89"/>
    <w:rsid w:val="6EB83BFB"/>
    <w:rsid w:val="6EBA3E17"/>
    <w:rsid w:val="6EBA5BC5"/>
    <w:rsid w:val="6EBA7973"/>
    <w:rsid w:val="6EBC193D"/>
    <w:rsid w:val="6EBD1212"/>
    <w:rsid w:val="6EBF4F8A"/>
    <w:rsid w:val="6EC03BD0"/>
    <w:rsid w:val="6EC24A7A"/>
    <w:rsid w:val="6EC407F2"/>
    <w:rsid w:val="6ECB32F9"/>
    <w:rsid w:val="6ECB7DD2"/>
    <w:rsid w:val="6ECE341F"/>
    <w:rsid w:val="6ED07197"/>
    <w:rsid w:val="6ED24CBD"/>
    <w:rsid w:val="6EDA6750"/>
    <w:rsid w:val="6EDC3D8E"/>
    <w:rsid w:val="6EE363DD"/>
    <w:rsid w:val="6EEA46FD"/>
    <w:rsid w:val="6EEB5D7F"/>
    <w:rsid w:val="6EF03395"/>
    <w:rsid w:val="6EF54E4F"/>
    <w:rsid w:val="6EF72976"/>
    <w:rsid w:val="6EF74724"/>
    <w:rsid w:val="6EFA2466"/>
    <w:rsid w:val="6EFB5A89"/>
    <w:rsid w:val="6EFB71CA"/>
    <w:rsid w:val="6EFE1F56"/>
    <w:rsid w:val="6F03756C"/>
    <w:rsid w:val="6F0532E4"/>
    <w:rsid w:val="6F0F5F11"/>
    <w:rsid w:val="6F1057E5"/>
    <w:rsid w:val="6F143527"/>
    <w:rsid w:val="6F17200D"/>
    <w:rsid w:val="6F1E7F02"/>
    <w:rsid w:val="6F23376B"/>
    <w:rsid w:val="6F2614AD"/>
    <w:rsid w:val="6F285225"/>
    <w:rsid w:val="6F2B6AC3"/>
    <w:rsid w:val="6F2F0361"/>
    <w:rsid w:val="6F3230FE"/>
    <w:rsid w:val="6F327E52"/>
    <w:rsid w:val="6F343BCA"/>
    <w:rsid w:val="6F3516F0"/>
    <w:rsid w:val="6F35524C"/>
    <w:rsid w:val="6F394D3C"/>
    <w:rsid w:val="6F40431D"/>
    <w:rsid w:val="6F435BBB"/>
    <w:rsid w:val="6F437969"/>
    <w:rsid w:val="6F4831D1"/>
    <w:rsid w:val="6F4E1A25"/>
    <w:rsid w:val="6F5002D8"/>
    <w:rsid w:val="6F524050"/>
    <w:rsid w:val="6F571666"/>
    <w:rsid w:val="6F573414"/>
    <w:rsid w:val="6F5A2F04"/>
    <w:rsid w:val="6F5B1156"/>
    <w:rsid w:val="6F5B73A8"/>
    <w:rsid w:val="6F5E0C47"/>
    <w:rsid w:val="6F6124E5"/>
    <w:rsid w:val="6F675D4D"/>
    <w:rsid w:val="6F683873"/>
    <w:rsid w:val="6F687E8A"/>
    <w:rsid w:val="6F6B5112"/>
    <w:rsid w:val="6F6F075E"/>
    <w:rsid w:val="6F72024E"/>
    <w:rsid w:val="6F7C03AE"/>
    <w:rsid w:val="6F7D7571"/>
    <w:rsid w:val="6F806E0F"/>
    <w:rsid w:val="6F814935"/>
    <w:rsid w:val="6F8D5088"/>
    <w:rsid w:val="6F8F0E00"/>
    <w:rsid w:val="6F963F3C"/>
    <w:rsid w:val="6F9C351D"/>
    <w:rsid w:val="6F9E1043"/>
    <w:rsid w:val="6FA0300D"/>
    <w:rsid w:val="6FA06B69"/>
    <w:rsid w:val="6FA50A4A"/>
    <w:rsid w:val="6FA83C70"/>
    <w:rsid w:val="6FAA3E8C"/>
    <w:rsid w:val="6FAC3760"/>
    <w:rsid w:val="6FAF3250"/>
    <w:rsid w:val="6FAF4FFE"/>
    <w:rsid w:val="6FB10D76"/>
    <w:rsid w:val="6FB2689C"/>
    <w:rsid w:val="6FB40867"/>
    <w:rsid w:val="6FB62831"/>
    <w:rsid w:val="6FB940CF"/>
    <w:rsid w:val="6FC54822"/>
    <w:rsid w:val="6FC77366"/>
    <w:rsid w:val="6FCC3E02"/>
    <w:rsid w:val="6FCC5BB0"/>
    <w:rsid w:val="6FCF56A0"/>
    <w:rsid w:val="6FD244C6"/>
    <w:rsid w:val="6FD26F3F"/>
    <w:rsid w:val="6FD42CB7"/>
    <w:rsid w:val="6FDB2297"/>
    <w:rsid w:val="6FDE58E3"/>
    <w:rsid w:val="6FDE7692"/>
    <w:rsid w:val="6FE27182"/>
    <w:rsid w:val="70001CFE"/>
    <w:rsid w:val="700A0487"/>
    <w:rsid w:val="700C06A3"/>
    <w:rsid w:val="70111815"/>
    <w:rsid w:val="70170310"/>
    <w:rsid w:val="701B08E6"/>
    <w:rsid w:val="701B139D"/>
    <w:rsid w:val="701E2184"/>
    <w:rsid w:val="7020414E"/>
    <w:rsid w:val="70205EFC"/>
    <w:rsid w:val="7027728A"/>
    <w:rsid w:val="70291255"/>
    <w:rsid w:val="70293003"/>
    <w:rsid w:val="70384FF4"/>
    <w:rsid w:val="70386C15"/>
    <w:rsid w:val="703A6FBE"/>
    <w:rsid w:val="703B2D36"/>
    <w:rsid w:val="703E6382"/>
    <w:rsid w:val="70422316"/>
    <w:rsid w:val="705067E1"/>
    <w:rsid w:val="705160B5"/>
    <w:rsid w:val="7053007F"/>
    <w:rsid w:val="7055204A"/>
    <w:rsid w:val="7056191E"/>
    <w:rsid w:val="705838E8"/>
    <w:rsid w:val="705F3336"/>
    <w:rsid w:val="705F4C76"/>
    <w:rsid w:val="706109EE"/>
    <w:rsid w:val="70657DB3"/>
    <w:rsid w:val="70673B2B"/>
    <w:rsid w:val="706B361B"/>
    <w:rsid w:val="70710506"/>
    <w:rsid w:val="70716758"/>
    <w:rsid w:val="707B1384"/>
    <w:rsid w:val="70814BED"/>
    <w:rsid w:val="708446DD"/>
    <w:rsid w:val="7084648B"/>
    <w:rsid w:val="70860EDC"/>
    <w:rsid w:val="708C533F"/>
    <w:rsid w:val="708E10B8"/>
    <w:rsid w:val="70915332"/>
    <w:rsid w:val="70934920"/>
    <w:rsid w:val="709541F4"/>
    <w:rsid w:val="70983692"/>
    <w:rsid w:val="709F32C5"/>
    <w:rsid w:val="70A00DEB"/>
    <w:rsid w:val="70A95EF1"/>
    <w:rsid w:val="70AB3A18"/>
    <w:rsid w:val="70B56644"/>
    <w:rsid w:val="70BA00FF"/>
    <w:rsid w:val="70BB15FC"/>
    <w:rsid w:val="70BC3E77"/>
    <w:rsid w:val="70C25205"/>
    <w:rsid w:val="70C429FC"/>
    <w:rsid w:val="70C60851"/>
    <w:rsid w:val="70C90342"/>
    <w:rsid w:val="70CA1D71"/>
    <w:rsid w:val="70D016D0"/>
    <w:rsid w:val="70D171F6"/>
    <w:rsid w:val="70D32F6E"/>
    <w:rsid w:val="70D72A5F"/>
    <w:rsid w:val="70DA6015"/>
    <w:rsid w:val="70DD5B9B"/>
    <w:rsid w:val="70E64A50"/>
    <w:rsid w:val="70F25AEA"/>
    <w:rsid w:val="70F56ADA"/>
    <w:rsid w:val="70F829D5"/>
    <w:rsid w:val="70FA04FB"/>
    <w:rsid w:val="70FE1851"/>
    <w:rsid w:val="70FE6A5E"/>
    <w:rsid w:val="70FF1FB5"/>
    <w:rsid w:val="70FF3D63"/>
    <w:rsid w:val="7101188A"/>
    <w:rsid w:val="710475CC"/>
    <w:rsid w:val="710870BC"/>
    <w:rsid w:val="710F044A"/>
    <w:rsid w:val="71145A61"/>
    <w:rsid w:val="71176A9D"/>
    <w:rsid w:val="71190E82"/>
    <w:rsid w:val="711C2B67"/>
    <w:rsid w:val="711F4406"/>
    <w:rsid w:val="712170AA"/>
    <w:rsid w:val="71235CA4"/>
    <w:rsid w:val="712D267F"/>
    <w:rsid w:val="713003C1"/>
    <w:rsid w:val="71306613"/>
    <w:rsid w:val="713C4FB8"/>
    <w:rsid w:val="713E1D34"/>
    <w:rsid w:val="7141437C"/>
    <w:rsid w:val="714300F4"/>
    <w:rsid w:val="71430F73"/>
    <w:rsid w:val="71431EA2"/>
    <w:rsid w:val="71445C1A"/>
    <w:rsid w:val="71500A63"/>
    <w:rsid w:val="71526589"/>
    <w:rsid w:val="71535E5D"/>
    <w:rsid w:val="715A543E"/>
    <w:rsid w:val="715C0F73"/>
    <w:rsid w:val="715E0A8A"/>
    <w:rsid w:val="715E6CDC"/>
    <w:rsid w:val="716167CC"/>
    <w:rsid w:val="716C160F"/>
    <w:rsid w:val="717007BD"/>
    <w:rsid w:val="71706A0F"/>
    <w:rsid w:val="717209D9"/>
    <w:rsid w:val="71796E6E"/>
    <w:rsid w:val="71804EA4"/>
    <w:rsid w:val="71864D87"/>
    <w:rsid w:val="718F0CAD"/>
    <w:rsid w:val="718F3339"/>
    <w:rsid w:val="71902C0D"/>
    <w:rsid w:val="719170B1"/>
    <w:rsid w:val="71997D14"/>
    <w:rsid w:val="719C15B2"/>
    <w:rsid w:val="719C7804"/>
    <w:rsid w:val="71A072F4"/>
    <w:rsid w:val="71A212BE"/>
    <w:rsid w:val="71A566B9"/>
    <w:rsid w:val="71A843FB"/>
    <w:rsid w:val="71AA1F21"/>
    <w:rsid w:val="71B46A0B"/>
    <w:rsid w:val="71B479B2"/>
    <w:rsid w:val="71B92164"/>
    <w:rsid w:val="71BC7EA6"/>
    <w:rsid w:val="71BE59CD"/>
    <w:rsid w:val="71C54FAD"/>
    <w:rsid w:val="71C64881"/>
    <w:rsid w:val="71C823A7"/>
    <w:rsid w:val="71CA611F"/>
    <w:rsid w:val="71CC34BB"/>
    <w:rsid w:val="71CF7BDA"/>
    <w:rsid w:val="71D773DD"/>
    <w:rsid w:val="71DB657E"/>
    <w:rsid w:val="71E511AB"/>
    <w:rsid w:val="71E73175"/>
    <w:rsid w:val="71EC253A"/>
    <w:rsid w:val="71EF3DD8"/>
    <w:rsid w:val="720554F1"/>
    <w:rsid w:val="720F447A"/>
    <w:rsid w:val="72121874"/>
    <w:rsid w:val="72127391"/>
    <w:rsid w:val="72146A6A"/>
    <w:rsid w:val="72165809"/>
    <w:rsid w:val="721750DD"/>
    <w:rsid w:val="722717C4"/>
    <w:rsid w:val="722A3062"/>
    <w:rsid w:val="72323CC5"/>
    <w:rsid w:val="72374A3F"/>
    <w:rsid w:val="7238577F"/>
    <w:rsid w:val="723932A5"/>
    <w:rsid w:val="72395053"/>
    <w:rsid w:val="724539F8"/>
    <w:rsid w:val="72487730"/>
    <w:rsid w:val="724B7521"/>
    <w:rsid w:val="724C122A"/>
    <w:rsid w:val="72516841"/>
    <w:rsid w:val="72531CC4"/>
    <w:rsid w:val="72541E8D"/>
    <w:rsid w:val="72565C05"/>
    <w:rsid w:val="7256750B"/>
    <w:rsid w:val="725B146D"/>
    <w:rsid w:val="725E2D0C"/>
    <w:rsid w:val="725F0F5E"/>
    <w:rsid w:val="72620A4E"/>
    <w:rsid w:val="726245AA"/>
    <w:rsid w:val="72646574"/>
    <w:rsid w:val="72683E78"/>
    <w:rsid w:val="72693B8A"/>
    <w:rsid w:val="72695938"/>
    <w:rsid w:val="726E11A1"/>
    <w:rsid w:val="727442DD"/>
    <w:rsid w:val="727D5888"/>
    <w:rsid w:val="727D7636"/>
    <w:rsid w:val="7289422C"/>
    <w:rsid w:val="72907369"/>
    <w:rsid w:val="72916C3D"/>
    <w:rsid w:val="729624A5"/>
    <w:rsid w:val="72972FDB"/>
    <w:rsid w:val="72987FCC"/>
    <w:rsid w:val="729D3834"/>
    <w:rsid w:val="729F57FE"/>
    <w:rsid w:val="72A2709C"/>
    <w:rsid w:val="72A526E9"/>
    <w:rsid w:val="72A72905"/>
    <w:rsid w:val="72B50B7E"/>
    <w:rsid w:val="72BA2638"/>
    <w:rsid w:val="72BB1F0C"/>
    <w:rsid w:val="72BB3CBA"/>
    <w:rsid w:val="72BC1E8C"/>
    <w:rsid w:val="72BC63B0"/>
    <w:rsid w:val="72C07522"/>
    <w:rsid w:val="72C214EC"/>
    <w:rsid w:val="72CA4821"/>
    <w:rsid w:val="72D1172F"/>
    <w:rsid w:val="72DA6836"/>
    <w:rsid w:val="72DB610A"/>
    <w:rsid w:val="72E01973"/>
    <w:rsid w:val="72E2292C"/>
    <w:rsid w:val="72E66F89"/>
    <w:rsid w:val="72E871A5"/>
    <w:rsid w:val="72EB1D41"/>
    <w:rsid w:val="72F13B80"/>
    <w:rsid w:val="72F316A6"/>
    <w:rsid w:val="72F378F8"/>
    <w:rsid w:val="72F71196"/>
    <w:rsid w:val="72F86CBC"/>
    <w:rsid w:val="72F9177F"/>
    <w:rsid w:val="73010267"/>
    <w:rsid w:val="7306587D"/>
    <w:rsid w:val="730B4C41"/>
    <w:rsid w:val="730E028E"/>
    <w:rsid w:val="730E64E0"/>
    <w:rsid w:val="73102258"/>
    <w:rsid w:val="7315161C"/>
    <w:rsid w:val="731955B0"/>
    <w:rsid w:val="731F693F"/>
    <w:rsid w:val="73223D39"/>
    <w:rsid w:val="732E0930"/>
    <w:rsid w:val="733046A8"/>
    <w:rsid w:val="73334198"/>
    <w:rsid w:val="733B7751"/>
    <w:rsid w:val="733C6AA5"/>
    <w:rsid w:val="73412411"/>
    <w:rsid w:val="73467A28"/>
    <w:rsid w:val="734819F2"/>
    <w:rsid w:val="734824D7"/>
    <w:rsid w:val="73497518"/>
    <w:rsid w:val="734E4B2E"/>
    <w:rsid w:val="73552361"/>
    <w:rsid w:val="73571C35"/>
    <w:rsid w:val="735760D9"/>
    <w:rsid w:val="735A30D2"/>
    <w:rsid w:val="73661E78"/>
    <w:rsid w:val="7367736B"/>
    <w:rsid w:val="73677AAD"/>
    <w:rsid w:val="73682094"/>
    <w:rsid w:val="73702CF6"/>
    <w:rsid w:val="73722F12"/>
    <w:rsid w:val="73774085"/>
    <w:rsid w:val="73791D2E"/>
    <w:rsid w:val="7379604F"/>
    <w:rsid w:val="73797DFD"/>
    <w:rsid w:val="737E3665"/>
    <w:rsid w:val="7386076C"/>
    <w:rsid w:val="738844E4"/>
    <w:rsid w:val="738C2323"/>
    <w:rsid w:val="73922C6D"/>
    <w:rsid w:val="739264C9"/>
    <w:rsid w:val="73A0182E"/>
    <w:rsid w:val="73A82490"/>
    <w:rsid w:val="73B07597"/>
    <w:rsid w:val="73B9469D"/>
    <w:rsid w:val="73BA21C4"/>
    <w:rsid w:val="73BB0416"/>
    <w:rsid w:val="73BC23E0"/>
    <w:rsid w:val="73BE1CB4"/>
    <w:rsid w:val="73BF77DA"/>
    <w:rsid w:val="73C05A2C"/>
    <w:rsid w:val="73C80D84"/>
    <w:rsid w:val="73C82B32"/>
    <w:rsid w:val="73CB617F"/>
    <w:rsid w:val="73D2575F"/>
    <w:rsid w:val="73D2750D"/>
    <w:rsid w:val="73D47729"/>
    <w:rsid w:val="73DB142D"/>
    <w:rsid w:val="73DE5EB2"/>
    <w:rsid w:val="73E07E7C"/>
    <w:rsid w:val="73EF1E6D"/>
    <w:rsid w:val="73EF6311"/>
    <w:rsid w:val="73F6144E"/>
    <w:rsid w:val="73F751C6"/>
    <w:rsid w:val="73F76F74"/>
    <w:rsid w:val="73F969C6"/>
    <w:rsid w:val="73FE47A6"/>
    <w:rsid w:val="73FE6554"/>
    <w:rsid w:val="74051691"/>
    <w:rsid w:val="740C0C71"/>
    <w:rsid w:val="740C6EC3"/>
    <w:rsid w:val="740D6797"/>
    <w:rsid w:val="740E3197"/>
    <w:rsid w:val="74147B26"/>
    <w:rsid w:val="7419513C"/>
    <w:rsid w:val="741B0EB4"/>
    <w:rsid w:val="741B47E9"/>
    <w:rsid w:val="742A559B"/>
    <w:rsid w:val="742C1313"/>
    <w:rsid w:val="742D51FC"/>
    <w:rsid w:val="742F670E"/>
    <w:rsid w:val="74341F76"/>
    <w:rsid w:val="743957DE"/>
    <w:rsid w:val="7439758C"/>
    <w:rsid w:val="743C0E2B"/>
    <w:rsid w:val="743E4BA3"/>
    <w:rsid w:val="744321B9"/>
    <w:rsid w:val="744523D5"/>
    <w:rsid w:val="74493C73"/>
    <w:rsid w:val="744B4216"/>
    <w:rsid w:val="744C72C0"/>
    <w:rsid w:val="744F0B5E"/>
    <w:rsid w:val="744F5002"/>
    <w:rsid w:val="745032CB"/>
    <w:rsid w:val="74510D7A"/>
    <w:rsid w:val="74546174"/>
    <w:rsid w:val="74566390"/>
    <w:rsid w:val="74597C2E"/>
    <w:rsid w:val="745E5245"/>
    <w:rsid w:val="74600FBD"/>
    <w:rsid w:val="74620891"/>
    <w:rsid w:val="746900C8"/>
    <w:rsid w:val="747131CA"/>
    <w:rsid w:val="74795BDB"/>
    <w:rsid w:val="7481790F"/>
    <w:rsid w:val="74881FC6"/>
    <w:rsid w:val="748A7DE8"/>
    <w:rsid w:val="748B6945"/>
    <w:rsid w:val="748C0004"/>
    <w:rsid w:val="74911176"/>
    <w:rsid w:val="74942A15"/>
    <w:rsid w:val="74944670"/>
    <w:rsid w:val="74956EB9"/>
    <w:rsid w:val="749B3DA3"/>
    <w:rsid w:val="74A40EAA"/>
    <w:rsid w:val="74A76BEC"/>
    <w:rsid w:val="74AE1D28"/>
    <w:rsid w:val="74AE3AD6"/>
    <w:rsid w:val="74AF5AA0"/>
    <w:rsid w:val="74B20186"/>
    <w:rsid w:val="74B310ED"/>
    <w:rsid w:val="74B94727"/>
    <w:rsid w:val="74BB2697"/>
    <w:rsid w:val="74BB4445"/>
    <w:rsid w:val="74BD01BD"/>
    <w:rsid w:val="74BD640F"/>
    <w:rsid w:val="74C57072"/>
    <w:rsid w:val="74C7103C"/>
    <w:rsid w:val="74C72DEA"/>
    <w:rsid w:val="74CA6436"/>
    <w:rsid w:val="74CF012E"/>
    <w:rsid w:val="74DC0A0F"/>
    <w:rsid w:val="74DD260E"/>
    <w:rsid w:val="74E8615B"/>
    <w:rsid w:val="74E90FB2"/>
    <w:rsid w:val="74EB5B7C"/>
    <w:rsid w:val="74F6547D"/>
    <w:rsid w:val="74FA6D1C"/>
    <w:rsid w:val="74FC0CE6"/>
    <w:rsid w:val="74FD0501"/>
    <w:rsid w:val="750615ED"/>
    <w:rsid w:val="750724A3"/>
    <w:rsid w:val="750D133A"/>
    <w:rsid w:val="750D20E7"/>
    <w:rsid w:val="750D68EF"/>
    <w:rsid w:val="75120509"/>
    <w:rsid w:val="75134281"/>
    <w:rsid w:val="75187803"/>
    <w:rsid w:val="75197A63"/>
    <w:rsid w:val="751D6EAE"/>
    <w:rsid w:val="751F6782"/>
    <w:rsid w:val="75232716"/>
    <w:rsid w:val="75257746"/>
    <w:rsid w:val="752E2E69"/>
    <w:rsid w:val="753366D1"/>
    <w:rsid w:val="75357D54"/>
    <w:rsid w:val="75361B5B"/>
    <w:rsid w:val="75387844"/>
    <w:rsid w:val="753D12FE"/>
    <w:rsid w:val="75422471"/>
    <w:rsid w:val="75466A7F"/>
    <w:rsid w:val="75475CD9"/>
    <w:rsid w:val="7548217D"/>
    <w:rsid w:val="75483F2B"/>
    <w:rsid w:val="75491A51"/>
    <w:rsid w:val="754B3A1B"/>
    <w:rsid w:val="754D5C67"/>
    <w:rsid w:val="75546B59"/>
    <w:rsid w:val="755503F6"/>
    <w:rsid w:val="75556648"/>
    <w:rsid w:val="75587EE6"/>
    <w:rsid w:val="75594EF5"/>
    <w:rsid w:val="75597548"/>
    <w:rsid w:val="755B7815"/>
    <w:rsid w:val="755E374E"/>
    <w:rsid w:val="755E5F8C"/>
    <w:rsid w:val="755F1275"/>
    <w:rsid w:val="75610B49"/>
    <w:rsid w:val="7561323F"/>
    <w:rsid w:val="75614083"/>
    <w:rsid w:val="756E3266"/>
    <w:rsid w:val="756F67BD"/>
    <w:rsid w:val="75742F72"/>
    <w:rsid w:val="758331B5"/>
    <w:rsid w:val="758C760A"/>
    <w:rsid w:val="758D193E"/>
    <w:rsid w:val="758D4034"/>
    <w:rsid w:val="758F6705"/>
    <w:rsid w:val="75956A44"/>
    <w:rsid w:val="75970A0E"/>
    <w:rsid w:val="75994786"/>
    <w:rsid w:val="759E7FEF"/>
    <w:rsid w:val="75A35605"/>
    <w:rsid w:val="75A373B3"/>
    <w:rsid w:val="75A60C51"/>
    <w:rsid w:val="75A86778"/>
    <w:rsid w:val="75B415C0"/>
    <w:rsid w:val="75BE243F"/>
    <w:rsid w:val="75BF7F65"/>
    <w:rsid w:val="75C335B1"/>
    <w:rsid w:val="75CA2B92"/>
    <w:rsid w:val="75CB06B8"/>
    <w:rsid w:val="75CB4B5C"/>
    <w:rsid w:val="75D51537"/>
    <w:rsid w:val="75D532E5"/>
    <w:rsid w:val="75D61A57"/>
    <w:rsid w:val="75D752AF"/>
    <w:rsid w:val="75D91BB6"/>
    <w:rsid w:val="75DA08FB"/>
    <w:rsid w:val="75E43528"/>
    <w:rsid w:val="75EA6D90"/>
    <w:rsid w:val="75ED6880"/>
    <w:rsid w:val="75EF60D3"/>
    <w:rsid w:val="75FB0F9D"/>
    <w:rsid w:val="75FB71EF"/>
    <w:rsid w:val="75FE0A8D"/>
    <w:rsid w:val="76065B94"/>
    <w:rsid w:val="76085468"/>
    <w:rsid w:val="760B4F58"/>
    <w:rsid w:val="760C31AA"/>
    <w:rsid w:val="76100D7A"/>
    <w:rsid w:val="76120095"/>
    <w:rsid w:val="76124AD8"/>
    <w:rsid w:val="76165DD7"/>
    <w:rsid w:val="761738FD"/>
    <w:rsid w:val="761B33ED"/>
    <w:rsid w:val="761E2EDE"/>
    <w:rsid w:val="761E4C8C"/>
    <w:rsid w:val="762322A2"/>
    <w:rsid w:val="7625601A"/>
    <w:rsid w:val="762A7AD4"/>
    <w:rsid w:val="762D4ECF"/>
    <w:rsid w:val="763444AF"/>
    <w:rsid w:val="76391AC6"/>
    <w:rsid w:val="76393874"/>
    <w:rsid w:val="76397D18"/>
    <w:rsid w:val="763C3364"/>
    <w:rsid w:val="76500BBD"/>
    <w:rsid w:val="76515061"/>
    <w:rsid w:val="76562678"/>
    <w:rsid w:val="76564426"/>
    <w:rsid w:val="76592168"/>
    <w:rsid w:val="765D0AC2"/>
    <w:rsid w:val="766052A4"/>
    <w:rsid w:val="76636B42"/>
    <w:rsid w:val="766C1E9B"/>
    <w:rsid w:val="766C3C49"/>
    <w:rsid w:val="76760624"/>
    <w:rsid w:val="7678122F"/>
    <w:rsid w:val="767E397C"/>
    <w:rsid w:val="768371E5"/>
    <w:rsid w:val="768A40CF"/>
    <w:rsid w:val="769136B0"/>
    <w:rsid w:val="769211D6"/>
    <w:rsid w:val="769A6A08"/>
    <w:rsid w:val="769C0634"/>
    <w:rsid w:val="769F401E"/>
    <w:rsid w:val="76AC2297"/>
    <w:rsid w:val="76AC673B"/>
    <w:rsid w:val="76B63116"/>
    <w:rsid w:val="76B94E2F"/>
    <w:rsid w:val="76C267F5"/>
    <w:rsid w:val="76C27D0D"/>
    <w:rsid w:val="76C577FD"/>
    <w:rsid w:val="76CF41D8"/>
    <w:rsid w:val="76D4359C"/>
    <w:rsid w:val="76D53514"/>
    <w:rsid w:val="76D8308D"/>
    <w:rsid w:val="76D90BB3"/>
    <w:rsid w:val="76DD06A3"/>
    <w:rsid w:val="76DF08BF"/>
    <w:rsid w:val="76E23F0B"/>
    <w:rsid w:val="76E45ED5"/>
    <w:rsid w:val="76E47C83"/>
    <w:rsid w:val="76E9198A"/>
    <w:rsid w:val="76EC08E6"/>
    <w:rsid w:val="76EC4D8A"/>
    <w:rsid w:val="76ED6B88"/>
    <w:rsid w:val="76EE0B02"/>
    <w:rsid w:val="76F36118"/>
    <w:rsid w:val="76F61765"/>
    <w:rsid w:val="76F854DD"/>
    <w:rsid w:val="770025E3"/>
    <w:rsid w:val="77005FD0"/>
    <w:rsid w:val="77084C62"/>
    <w:rsid w:val="77093EA9"/>
    <w:rsid w:val="770E2F52"/>
    <w:rsid w:val="77104B35"/>
    <w:rsid w:val="77133AE0"/>
    <w:rsid w:val="77163BB5"/>
    <w:rsid w:val="77183DD1"/>
    <w:rsid w:val="77286CB0"/>
    <w:rsid w:val="77291B3A"/>
    <w:rsid w:val="772A140E"/>
    <w:rsid w:val="772B2540"/>
    <w:rsid w:val="7730111A"/>
    <w:rsid w:val="773B0CCF"/>
    <w:rsid w:val="773C186D"/>
    <w:rsid w:val="773C1DDE"/>
    <w:rsid w:val="77465356"/>
    <w:rsid w:val="77512E3F"/>
    <w:rsid w:val="775A6197"/>
    <w:rsid w:val="775A7F45"/>
    <w:rsid w:val="775B5A6C"/>
    <w:rsid w:val="776E1C43"/>
    <w:rsid w:val="776E579F"/>
    <w:rsid w:val="778D20C9"/>
    <w:rsid w:val="778E7BEF"/>
    <w:rsid w:val="77905715"/>
    <w:rsid w:val="77976AA4"/>
    <w:rsid w:val="779A47E6"/>
    <w:rsid w:val="77A92C7B"/>
    <w:rsid w:val="77AE3DED"/>
    <w:rsid w:val="77B05DB7"/>
    <w:rsid w:val="77B425C1"/>
    <w:rsid w:val="77B533CE"/>
    <w:rsid w:val="77BA458F"/>
    <w:rsid w:val="77BA4E88"/>
    <w:rsid w:val="77BA6C36"/>
    <w:rsid w:val="77BC1F58"/>
    <w:rsid w:val="77BC650A"/>
    <w:rsid w:val="77C35AEB"/>
    <w:rsid w:val="77C67389"/>
    <w:rsid w:val="77CB2E7D"/>
    <w:rsid w:val="77CD4BBB"/>
    <w:rsid w:val="77CE4490"/>
    <w:rsid w:val="77CF26E1"/>
    <w:rsid w:val="77D00208"/>
    <w:rsid w:val="77D47CF8"/>
    <w:rsid w:val="77D9530E"/>
    <w:rsid w:val="77DA4BE2"/>
    <w:rsid w:val="77DA5DCD"/>
    <w:rsid w:val="77DC095A"/>
    <w:rsid w:val="77E141C3"/>
    <w:rsid w:val="77EE68C5"/>
    <w:rsid w:val="77F02658"/>
    <w:rsid w:val="77F04406"/>
    <w:rsid w:val="77F55179"/>
    <w:rsid w:val="77F9150C"/>
    <w:rsid w:val="77FA7033"/>
    <w:rsid w:val="77FE6B23"/>
    <w:rsid w:val="7803238B"/>
    <w:rsid w:val="7805196E"/>
    <w:rsid w:val="780554E7"/>
    <w:rsid w:val="780954C8"/>
    <w:rsid w:val="780E2ADE"/>
    <w:rsid w:val="781400F4"/>
    <w:rsid w:val="78164E03"/>
    <w:rsid w:val="7819395D"/>
    <w:rsid w:val="781A76D5"/>
    <w:rsid w:val="78227864"/>
    <w:rsid w:val="782B18E2"/>
    <w:rsid w:val="782C7E18"/>
    <w:rsid w:val="782D11B6"/>
    <w:rsid w:val="78320EC2"/>
    <w:rsid w:val="78340796"/>
    <w:rsid w:val="78342545"/>
    <w:rsid w:val="783E33C3"/>
    <w:rsid w:val="783E36BD"/>
    <w:rsid w:val="7840538D"/>
    <w:rsid w:val="784529A4"/>
    <w:rsid w:val="78454752"/>
    <w:rsid w:val="784604CA"/>
    <w:rsid w:val="784B52C6"/>
    <w:rsid w:val="784F737E"/>
    <w:rsid w:val="78516F62"/>
    <w:rsid w:val="785250C1"/>
    <w:rsid w:val="785B3F75"/>
    <w:rsid w:val="785B5D23"/>
    <w:rsid w:val="78623556"/>
    <w:rsid w:val="78650950"/>
    <w:rsid w:val="78654DF4"/>
    <w:rsid w:val="7866291A"/>
    <w:rsid w:val="78662D29"/>
    <w:rsid w:val="78694F99"/>
    <w:rsid w:val="786B1CDE"/>
    <w:rsid w:val="786C6182"/>
    <w:rsid w:val="786C7F30"/>
    <w:rsid w:val="786F480F"/>
    <w:rsid w:val="78746DE5"/>
    <w:rsid w:val="787943FB"/>
    <w:rsid w:val="787B63C5"/>
    <w:rsid w:val="787C451D"/>
    <w:rsid w:val="787E1A12"/>
    <w:rsid w:val="787E7C64"/>
    <w:rsid w:val="78801C2E"/>
    <w:rsid w:val="7883527A"/>
    <w:rsid w:val="788567E4"/>
    <w:rsid w:val="7892370F"/>
    <w:rsid w:val="78964FAD"/>
    <w:rsid w:val="78992CEF"/>
    <w:rsid w:val="789B25C4"/>
    <w:rsid w:val="789B6A68"/>
    <w:rsid w:val="78A143AA"/>
    <w:rsid w:val="78A21BA4"/>
    <w:rsid w:val="78A23952"/>
    <w:rsid w:val="78A41665"/>
    <w:rsid w:val="78A43B6E"/>
    <w:rsid w:val="78A53442"/>
    <w:rsid w:val="78A771BA"/>
    <w:rsid w:val="78A91184"/>
    <w:rsid w:val="78AA6CAB"/>
    <w:rsid w:val="78AD248D"/>
    <w:rsid w:val="78AF2513"/>
    <w:rsid w:val="78B33DB1"/>
    <w:rsid w:val="78B638A1"/>
    <w:rsid w:val="78BB0EB8"/>
    <w:rsid w:val="78BB385E"/>
    <w:rsid w:val="78BD078C"/>
    <w:rsid w:val="78BE4504"/>
    <w:rsid w:val="78C0202A"/>
    <w:rsid w:val="78C31B1A"/>
    <w:rsid w:val="78C37D6C"/>
    <w:rsid w:val="78CA12E9"/>
    <w:rsid w:val="78CA4C57"/>
    <w:rsid w:val="78CD0EAA"/>
    <w:rsid w:val="78CE2999"/>
    <w:rsid w:val="78D37FAF"/>
    <w:rsid w:val="78D45AD6"/>
    <w:rsid w:val="78E026CC"/>
    <w:rsid w:val="78E0447A"/>
    <w:rsid w:val="78E421BD"/>
    <w:rsid w:val="78FF0DA4"/>
    <w:rsid w:val="79002D6F"/>
    <w:rsid w:val="79046992"/>
    <w:rsid w:val="7908577F"/>
    <w:rsid w:val="79091C23"/>
    <w:rsid w:val="790939D1"/>
    <w:rsid w:val="790E548B"/>
    <w:rsid w:val="79112F30"/>
    <w:rsid w:val="79116D2A"/>
    <w:rsid w:val="79144124"/>
    <w:rsid w:val="791850AA"/>
    <w:rsid w:val="791B54B2"/>
    <w:rsid w:val="791D122B"/>
    <w:rsid w:val="791D747D"/>
    <w:rsid w:val="79224A93"/>
    <w:rsid w:val="79294073"/>
    <w:rsid w:val="792E3438"/>
    <w:rsid w:val="79330A4E"/>
    <w:rsid w:val="79426EE3"/>
    <w:rsid w:val="794744F9"/>
    <w:rsid w:val="794762A8"/>
    <w:rsid w:val="794B223C"/>
    <w:rsid w:val="79500F4C"/>
    <w:rsid w:val="79501600"/>
    <w:rsid w:val="79517126"/>
    <w:rsid w:val="79532E9E"/>
    <w:rsid w:val="795409C4"/>
    <w:rsid w:val="79565B55"/>
    <w:rsid w:val="795804B5"/>
    <w:rsid w:val="796223B5"/>
    <w:rsid w:val="796230E1"/>
    <w:rsid w:val="79654980"/>
    <w:rsid w:val="79666685"/>
    <w:rsid w:val="7967694A"/>
    <w:rsid w:val="796B38FC"/>
    <w:rsid w:val="796C21B2"/>
    <w:rsid w:val="796C5D0E"/>
    <w:rsid w:val="796E5F2A"/>
    <w:rsid w:val="79725A1A"/>
    <w:rsid w:val="797352EE"/>
    <w:rsid w:val="797A3DF4"/>
    <w:rsid w:val="797C0647"/>
    <w:rsid w:val="797F0137"/>
    <w:rsid w:val="797F3C93"/>
    <w:rsid w:val="797F5A41"/>
    <w:rsid w:val="797F7E64"/>
    <w:rsid w:val="79815C5D"/>
    <w:rsid w:val="79863274"/>
    <w:rsid w:val="79894B12"/>
    <w:rsid w:val="798B2638"/>
    <w:rsid w:val="798D4602"/>
    <w:rsid w:val="79905EA0"/>
    <w:rsid w:val="79922AD0"/>
    <w:rsid w:val="79927E6B"/>
    <w:rsid w:val="799314ED"/>
    <w:rsid w:val="79935991"/>
    <w:rsid w:val="7998068A"/>
    <w:rsid w:val="79986B03"/>
    <w:rsid w:val="799A6D1F"/>
    <w:rsid w:val="79A100AE"/>
    <w:rsid w:val="79A225C5"/>
    <w:rsid w:val="79A33A55"/>
    <w:rsid w:val="79A67270"/>
    <w:rsid w:val="79A8143C"/>
    <w:rsid w:val="79A851F6"/>
    <w:rsid w:val="79AA15E2"/>
    <w:rsid w:val="79AB6836"/>
    <w:rsid w:val="79AE27CB"/>
    <w:rsid w:val="79B06543"/>
    <w:rsid w:val="79B3393D"/>
    <w:rsid w:val="79B67BDC"/>
    <w:rsid w:val="79BF0534"/>
    <w:rsid w:val="79BF6786"/>
    <w:rsid w:val="79C92109"/>
    <w:rsid w:val="79CD0EA3"/>
    <w:rsid w:val="79D264B9"/>
    <w:rsid w:val="79D42231"/>
    <w:rsid w:val="79D51B05"/>
    <w:rsid w:val="79D57D57"/>
    <w:rsid w:val="79DA536E"/>
    <w:rsid w:val="79DA711C"/>
    <w:rsid w:val="79DE4E5E"/>
    <w:rsid w:val="79E263BE"/>
    <w:rsid w:val="79E955B1"/>
    <w:rsid w:val="79F006ED"/>
    <w:rsid w:val="79F20909"/>
    <w:rsid w:val="79F43A1E"/>
    <w:rsid w:val="79F857F4"/>
    <w:rsid w:val="79FD2E0A"/>
    <w:rsid w:val="79FF3026"/>
    <w:rsid w:val="79FF3C35"/>
    <w:rsid w:val="7A036672"/>
    <w:rsid w:val="7A066163"/>
    <w:rsid w:val="7A0D5743"/>
    <w:rsid w:val="7A15284A"/>
    <w:rsid w:val="7A1563A6"/>
    <w:rsid w:val="7A1C7734"/>
    <w:rsid w:val="7A1E081D"/>
    <w:rsid w:val="7A1E16FE"/>
    <w:rsid w:val="7A1E34AC"/>
    <w:rsid w:val="7A2111EE"/>
    <w:rsid w:val="7A266805"/>
    <w:rsid w:val="7A28257D"/>
    <w:rsid w:val="7A2844B3"/>
    <w:rsid w:val="7A287E87"/>
    <w:rsid w:val="7A2D1941"/>
    <w:rsid w:val="7A3507F6"/>
    <w:rsid w:val="7A3A401F"/>
    <w:rsid w:val="7A3C3932"/>
    <w:rsid w:val="7A434224"/>
    <w:rsid w:val="7A434CC1"/>
    <w:rsid w:val="7A456C8B"/>
    <w:rsid w:val="7A4A2C67"/>
    <w:rsid w:val="7A4D3D91"/>
    <w:rsid w:val="7A574C10"/>
    <w:rsid w:val="7A5C3FD5"/>
    <w:rsid w:val="7A5E1AFB"/>
    <w:rsid w:val="7A5E5F9F"/>
    <w:rsid w:val="7A6A4943"/>
    <w:rsid w:val="7A6D4434"/>
    <w:rsid w:val="7A7430CC"/>
    <w:rsid w:val="7A770E0E"/>
    <w:rsid w:val="7A792DD8"/>
    <w:rsid w:val="7A794B87"/>
    <w:rsid w:val="7A7E0416"/>
    <w:rsid w:val="7A8157E9"/>
    <w:rsid w:val="7A85352B"/>
    <w:rsid w:val="7A8552D9"/>
    <w:rsid w:val="7A886B78"/>
    <w:rsid w:val="7A8B6668"/>
    <w:rsid w:val="7A8E473B"/>
    <w:rsid w:val="7A9814B1"/>
    <w:rsid w:val="7AA15E8B"/>
    <w:rsid w:val="7AA66192"/>
    <w:rsid w:val="7AA716F4"/>
    <w:rsid w:val="7AA86A41"/>
    <w:rsid w:val="7AB14320"/>
    <w:rsid w:val="7AB83901"/>
    <w:rsid w:val="7ABC4A73"/>
    <w:rsid w:val="7ABE2599"/>
    <w:rsid w:val="7AC65415"/>
    <w:rsid w:val="7AC676A0"/>
    <w:rsid w:val="7ACD6C80"/>
    <w:rsid w:val="7ADB75EF"/>
    <w:rsid w:val="7ADE0E8D"/>
    <w:rsid w:val="7AEA15E0"/>
    <w:rsid w:val="7AEE7323"/>
    <w:rsid w:val="7AF72273"/>
    <w:rsid w:val="7AF83CFD"/>
    <w:rsid w:val="7AFE508C"/>
    <w:rsid w:val="7B095F0A"/>
    <w:rsid w:val="7B0E1E12"/>
    <w:rsid w:val="7B0E3521"/>
    <w:rsid w:val="7B0F7299"/>
    <w:rsid w:val="7B113011"/>
    <w:rsid w:val="7B113FDC"/>
    <w:rsid w:val="7B116B6D"/>
    <w:rsid w:val="7B137AB9"/>
    <w:rsid w:val="7B1623D5"/>
    <w:rsid w:val="7B164183"/>
    <w:rsid w:val="7B1A27DF"/>
    <w:rsid w:val="7B1D3764"/>
    <w:rsid w:val="7B1D5512"/>
    <w:rsid w:val="7B1D7C08"/>
    <w:rsid w:val="7B2014A6"/>
    <w:rsid w:val="7B22169F"/>
    <w:rsid w:val="7B226FCC"/>
    <w:rsid w:val="7B2368A0"/>
    <w:rsid w:val="7B354F51"/>
    <w:rsid w:val="7B355439"/>
    <w:rsid w:val="7B38059E"/>
    <w:rsid w:val="7B3C159C"/>
    <w:rsid w:val="7B3E75BC"/>
    <w:rsid w:val="7B4038F6"/>
    <w:rsid w:val="7B430CF1"/>
    <w:rsid w:val="7B450F0D"/>
    <w:rsid w:val="7B454A69"/>
    <w:rsid w:val="7B4A207F"/>
    <w:rsid w:val="7B4C4049"/>
    <w:rsid w:val="7B4E49E1"/>
    <w:rsid w:val="7B51165F"/>
    <w:rsid w:val="7B534407"/>
    <w:rsid w:val="7B5573A2"/>
    <w:rsid w:val="7B5D1DB2"/>
    <w:rsid w:val="7B5F3D7C"/>
    <w:rsid w:val="7B5F6077"/>
    <w:rsid w:val="7B607AF4"/>
    <w:rsid w:val="7B62561B"/>
    <w:rsid w:val="7B670E83"/>
    <w:rsid w:val="7B6A44CF"/>
    <w:rsid w:val="7B6E3FBF"/>
    <w:rsid w:val="7B7470FC"/>
    <w:rsid w:val="7B762E74"/>
    <w:rsid w:val="7B892BA7"/>
    <w:rsid w:val="7B8C08E9"/>
    <w:rsid w:val="7B8C2698"/>
    <w:rsid w:val="7B8E01BE"/>
    <w:rsid w:val="7B8E4662"/>
    <w:rsid w:val="7B95154C"/>
    <w:rsid w:val="7B963516"/>
    <w:rsid w:val="7B964105"/>
    <w:rsid w:val="7B9B0B2D"/>
    <w:rsid w:val="7B9B28DB"/>
    <w:rsid w:val="7B9F686F"/>
    <w:rsid w:val="7BA23C69"/>
    <w:rsid w:val="7BA46FB8"/>
    <w:rsid w:val="7BA9149B"/>
    <w:rsid w:val="7BA94FF8"/>
    <w:rsid w:val="7BAB6FC2"/>
    <w:rsid w:val="7BAE60BC"/>
    <w:rsid w:val="7BB0099E"/>
    <w:rsid w:val="7BB0282A"/>
    <w:rsid w:val="7BB045D8"/>
    <w:rsid w:val="7BB35E76"/>
    <w:rsid w:val="7BB816DF"/>
    <w:rsid w:val="7BB86445"/>
    <w:rsid w:val="7BB87930"/>
    <w:rsid w:val="7BBA5457"/>
    <w:rsid w:val="7BBF0CBF"/>
    <w:rsid w:val="7BCB7664"/>
    <w:rsid w:val="7BCC0CE6"/>
    <w:rsid w:val="7BCE0F02"/>
    <w:rsid w:val="7BCE4A5E"/>
    <w:rsid w:val="7BD52290"/>
    <w:rsid w:val="7BD858DD"/>
    <w:rsid w:val="7BDA3403"/>
    <w:rsid w:val="7BDF310F"/>
    <w:rsid w:val="7BE14791"/>
    <w:rsid w:val="7BE44282"/>
    <w:rsid w:val="7BE67FFA"/>
    <w:rsid w:val="7BE73D72"/>
    <w:rsid w:val="7BE97AEA"/>
    <w:rsid w:val="7BEE5100"/>
    <w:rsid w:val="7BF30969"/>
    <w:rsid w:val="7BF36B62"/>
    <w:rsid w:val="7BF9193F"/>
    <w:rsid w:val="7C0641F8"/>
    <w:rsid w:val="7C0B3F04"/>
    <w:rsid w:val="7C0E12FE"/>
    <w:rsid w:val="7C0E57A2"/>
    <w:rsid w:val="7C105077"/>
    <w:rsid w:val="7C1728A9"/>
    <w:rsid w:val="7C18217D"/>
    <w:rsid w:val="7C1D1542"/>
    <w:rsid w:val="7C1E3C37"/>
    <w:rsid w:val="7C2823C0"/>
    <w:rsid w:val="7C29438A"/>
    <w:rsid w:val="7C3074C7"/>
    <w:rsid w:val="7C324FED"/>
    <w:rsid w:val="7C38637B"/>
    <w:rsid w:val="7C3C2310"/>
    <w:rsid w:val="7C3F3BAE"/>
    <w:rsid w:val="7C4116D4"/>
    <w:rsid w:val="7C413482"/>
    <w:rsid w:val="7C440E4A"/>
    <w:rsid w:val="7C442F72"/>
    <w:rsid w:val="7C4B2553"/>
    <w:rsid w:val="7C4C3713"/>
    <w:rsid w:val="7C4D0079"/>
    <w:rsid w:val="7C4D62CB"/>
    <w:rsid w:val="7C520A0E"/>
    <w:rsid w:val="7C52568F"/>
    <w:rsid w:val="7C52777D"/>
    <w:rsid w:val="7C5E5DE2"/>
    <w:rsid w:val="7C6333F8"/>
    <w:rsid w:val="7C684EB3"/>
    <w:rsid w:val="7C6B6751"/>
    <w:rsid w:val="7C703D67"/>
    <w:rsid w:val="7C705B15"/>
    <w:rsid w:val="7C7278F9"/>
    <w:rsid w:val="7C75137E"/>
    <w:rsid w:val="7C773348"/>
    <w:rsid w:val="7C7750F6"/>
    <w:rsid w:val="7C7C44BA"/>
    <w:rsid w:val="7C7E6484"/>
    <w:rsid w:val="7C833A9B"/>
    <w:rsid w:val="7C8A4E29"/>
    <w:rsid w:val="7C8B6DF3"/>
    <w:rsid w:val="7C921F30"/>
    <w:rsid w:val="7C923CDE"/>
    <w:rsid w:val="7C943EFA"/>
    <w:rsid w:val="7C945CA8"/>
    <w:rsid w:val="7C9C4B5C"/>
    <w:rsid w:val="7C9E2682"/>
    <w:rsid w:val="7C9F702B"/>
    <w:rsid w:val="7CA0289E"/>
    <w:rsid w:val="7CA12173"/>
    <w:rsid w:val="7CA419F6"/>
    <w:rsid w:val="7CA67789"/>
    <w:rsid w:val="7CA92C97"/>
    <w:rsid w:val="7CAE2BAE"/>
    <w:rsid w:val="7CB4634A"/>
    <w:rsid w:val="7CC0265F"/>
    <w:rsid w:val="7CC12815"/>
    <w:rsid w:val="7CC3658D"/>
    <w:rsid w:val="7CC83BA3"/>
    <w:rsid w:val="7CCB2C8D"/>
    <w:rsid w:val="7CCC5441"/>
    <w:rsid w:val="7CCD4D16"/>
    <w:rsid w:val="7CD04806"/>
    <w:rsid w:val="7CD442F6"/>
    <w:rsid w:val="7CD95DB0"/>
    <w:rsid w:val="7CE107C1"/>
    <w:rsid w:val="7CE4229A"/>
    <w:rsid w:val="7CEC7892"/>
    <w:rsid w:val="7CF20C20"/>
    <w:rsid w:val="7CF404F4"/>
    <w:rsid w:val="7CF46746"/>
    <w:rsid w:val="7CF60710"/>
    <w:rsid w:val="7CF624BE"/>
    <w:rsid w:val="7CF76237"/>
    <w:rsid w:val="7CFB5D27"/>
    <w:rsid w:val="7CFC55FB"/>
    <w:rsid w:val="7CFE5817"/>
    <w:rsid w:val="7CFE75C5"/>
    <w:rsid w:val="7CFF2350"/>
    <w:rsid w:val="7D012C11"/>
    <w:rsid w:val="7D060228"/>
    <w:rsid w:val="7D080444"/>
    <w:rsid w:val="7D083FA0"/>
    <w:rsid w:val="7D0A5F6A"/>
    <w:rsid w:val="7D0D7808"/>
    <w:rsid w:val="7D1172F8"/>
    <w:rsid w:val="7D142945"/>
    <w:rsid w:val="7D144827"/>
    <w:rsid w:val="7D24527D"/>
    <w:rsid w:val="7D252DA4"/>
    <w:rsid w:val="7D272678"/>
    <w:rsid w:val="7D28412D"/>
    <w:rsid w:val="7D2B7277"/>
    <w:rsid w:val="7D31799A"/>
    <w:rsid w:val="7D344D95"/>
    <w:rsid w:val="7D3A6542"/>
    <w:rsid w:val="7D407BDD"/>
    <w:rsid w:val="7D45285A"/>
    <w:rsid w:val="7D4D5E56"/>
    <w:rsid w:val="7D511DEB"/>
    <w:rsid w:val="7D561C10"/>
    <w:rsid w:val="7D584F27"/>
    <w:rsid w:val="7D592A4D"/>
    <w:rsid w:val="7D594473"/>
    <w:rsid w:val="7D623AC3"/>
    <w:rsid w:val="7D6514FE"/>
    <w:rsid w:val="7D6531A0"/>
    <w:rsid w:val="7D6733BC"/>
    <w:rsid w:val="7D692C90"/>
    <w:rsid w:val="7D6A4C5A"/>
    <w:rsid w:val="7D734D87"/>
    <w:rsid w:val="7D752025"/>
    <w:rsid w:val="7D7D04EA"/>
    <w:rsid w:val="7D7D673C"/>
    <w:rsid w:val="7D80622C"/>
    <w:rsid w:val="7D807FDA"/>
    <w:rsid w:val="7D893333"/>
    <w:rsid w:val="7D8A0E59"/>
    <w:rsid w:val="7D8A2C07"/>
    <w:rsid w:val="7D8D727A"/>
    <w:rsid w:val="7D902089"/>
    <w:rsid w:val="7D99109C"/>
    <w:rsid w:val="7D9A72EE"/>
    <w:rsid w:val="7D9E45FE"/>
    <w:rsid w:val="7DA22646"/>
    <w:rsid w:val="7DA243F4"/>
    <w:rsid w:val="7DA261A2"/>
    <w:rsid w:val="7DA43CC8"/>
    <w:rsid w:val="7DA55C93"/>
    <w:rsid w:val="7DA63EE4"/>
    <w:rsid w:val="7DA8079E"/>
    <w:rsid w:val="7DA939D5"/>
    <w:rsid w:val="7DAB47A6"/>
    <w:rsid w:val="7DAC69B0"/>
    <w:rsid w:val="7DAE3DC6"/>
    <w:rsid w:val="7DB008BF"/>
    <w:rsid w:val="7DB52379"/>
    <w:rsid w:val="7DB54128"/>
    <w:rsid w:val="7DB859C6"/>
    <w:rsid w:val="7DC66335"/>
    <w:rsid w:val="7DCB56F9"/>
    <w:rsid w:val="7DCD470D"/>
    <w:rsid w:val="7DCF4ABD"/>
    <w:rsid w:val="7DD445E0"/>
    <w:rsid w:val="7DD56578"/>
    <w:rsid w:val="7DE21C6E"/>
    <w:rsid w:val="7DE62533"/>
    <w:rsid w:val="7DEB1119"/>
    <w:rsid w:val="7DEC2867"/>
    <w:rsid w:val="7DED1B13"/>
    <w:rsid w:val="7DF436EC"/>
    <w:rsid w:val="7DF54524"/>
    <w:rsid w:val="7DF6029C"/>
    <w:rsid w:val="7DFC1D56"/>
    <w:rsid w:val="7DFD5ACF"/>
    <w:rsid w:val="7DFF35F5"/>
    <w:rsid w:val="7E024E93"/>
    <w:rsid w:val="7E0B1F99"/>
    <w:rsid w:val="7E0C7AC0"/>
    <w:rsid w:val="7E154BC6"/>
    <w:rsid w:val="7E192908"/>
    <w:rsid w:val="7E1A2770"/>
    <w:rsid w:val="7E1C5F55"/>
    <w:rsid w:val="7E221091"/>
    <w:rsid w:val="7E235506"/>
    <w:rsid w:val="7E2867A7"/>
    <w:rsid w:val="7E2D1F10"/>
    <w:rsid w:val="7E301A00"/>
    <w:rsid w:val="7E34648B"/>
    <w:rsid w:val="7E3808B5"/>
    <w:rsid w:val="7E394D59"/>
    <w:rsid w:val="7E3A63DB"/>
    <w:rsid w:val="7E417769"/>
    <w:rsid w:val="7E464D80"/>
    <w:rsid w:val="7E484F9C"/>
    <w:rsid w:val="7E5356EF"/>
    <w:rsid w:val="7E5576B9"/>
    <w:rsid w:val="7E5A4CCF"/>
    <w:rsid w:val="7E617E0B"/>
    <w:rsid w:val="7E633B84"/>
    <w:rsid w:val="7E68119A"/>
    <w:rsid w:val="7E6E0173"/>
    <w:rsid w:val="7E7023CC"/>
    <w:rsid w:val="7E7713DD"/>
    <w:rsid w:val="7E8104AE"/>
    <w:rsid w:val="7E877E1C"/>
    <w:rsid w:val="7E892F73"/>
    <w:rsid w:val="7E8B30DA"/>
    <w:rsid w:val="7E8B4E88"/>
    <w:rsid w:val="7E975577"/>
    <w:rsid w:val="7E9815D8"/>
    <w:rsid w:val="7E9C52E7"/>
    <w:rsid w:val="7E9C7095"/>
    <w:rsid w:val="7EA01A8C"/>
    <w:rsid w:val="7EA61CC2"/>
    <w:rsid w:val="7EAE4002"/>
    <w:rsid w:val="7EAF6C27"/>
    <w:rsid w:val="7EB0669D"/>
    <w:rsid w:val="7EB24D50"/>
    <w:rsid w:val="7EC00FD6"/>
    <w:rsid w:val="7EC02D84"/>
    <w:rsid w:val="7EC363D0"/>
    <w:rsid w:val="7ECA59B1"/>
    <w:rsid w:val="7ECB797B"/>
    <w:rsid w:val="7ED2433A"/>
    <w:rsid w:val="7ED4682F"/>
    <w:rsid w:val="7ED54355"/>
    <w:rsid w:val="7ED71E7C"/>
    <w:rsid w:val="7EDB5991"/>
    <w:rsid w:val="7EDB5E10"/>
    <w:rsid w:val="7EDC7492"/>
    <w:rsid w:val="7EDE14B7"/>
    <w:rsid w:val="7EE03426"/>
    <w:rsid w:val="7EE06F82"/>
    <w:rsid w:val="7EE30820"/>
    <w:rsid w:val="7EE50A3C"/>
    <w:rsid w:val="7EE767C9"/>
    <w:rsid w:val="7EEA1BAF"/>
    <w:rsid w:val="7EF0118F"/>
    <w:rsid w:val="7EF46ED2"/>
    <w:rsid w:val="7EF50554"/>
    <w:rsid w:val="7EF649F8"/>
    <w:rsid w:val="7EF84BBE"/>
    <w:rsid w:val="7EF90044"/>
    <w:rsid w:val="7EFC18E2"/>
    <w:rsid w:val="7F030EC3"/>
    <w:rsid w:val="7F062761"/>
    <w:rsid w:val="7F0709B3"/>
    <w:rsid w:val="7F0B0898"/>
    <w:rsid w:val="7F0D7F93"/>
    <w:rsid w:val="7F141322"/>
    <w:rsid w:val="7F160BF6"/>
    <w:rsid w:val="7F17496E"/>
    <w:rsid w:val="7F17671C"/>
    <w:rsid w:val="7F182BC0"/>
    <w:rsid w:val="7F211349"/>
    <w:rsid w:val="7F2A46A1"/>
    <w:rsid w:val="7F2E23E3"/>
    <w:rsid w:val="7F323556"/>
    <w:rsid w:val="7F370B6C"/>
    <w:rsid w:val="7F3E639F"/>
    <w:rsid w:val="7F484B27"/>
    <w:rsid w:val="7F4D213E"/>
    <w:rsid w:val="7F4E65E2"/>
    <w:rsid w:val="7F5434CC"/>
    <w:rsid w:val="7F567244"/>
    <w:rsid w:val="7F5931D8"/>
    <w:rsid w:val="7F5B0CFF"/>
    <w:rsid w:val="7F5B5141"/>
    <w:rsid w:val="7F5D4A77"/>
    <w:rsid w:val="7F5D6825"/>
    <w:rsid w:val="7F5E259D"/>
    <w:rsid w:val="7F5F07EF"/>
    <w:rsid w:val="7F61042A"/>
    <w:rsid w:val="7F671451"/>
    <w:rsid w:val="7F687334"/>
    <w:rsid w:val="7F6A2CF0"/>
    <w:rsid w:val="7F6F6558"/>
    <w:rsid w:val="7F7122D0"/>
    <w:rsid w:val="7F7335B4"/>
    <w:rsid w:val="7F7678E7"/>
    <w:rsid w:val="7F875650"/>
    <w:rsid w:val="7F89761A"/>
    <w:rsid w:val="7F8D69DE"/>
    <w:rsid w:val="7F910091"/>
    <w:rsid w:val="7F932247"/>
    <w:rsid w:val="7F9935D5"/>
    <w:rsid w:val="7F9E2999"/>
    <w:rsid w:val="7FAE52D2"/>
    <w:rsid w:val="7FAE7080"/>
    <w:rsid w:val="7FB36445"/>
    <w:rsid w:val="7FBB1BD1"/>
    <w:rsid w:val="7FBD5515"/>
    <w:rsid w:val="7FC56178"/>
    <w:rsid w:val="7FCC39AA"/>
    <w:rsid w:val="7FCC7507"/>
    <w:rsid w:val="7FCE14D1"/>
    <w:rsid w:val="7FD60385"/>
    <w:rsid w:val="7FDF36DE"/>
    <w:rsid w:val="7FE01204"/>
    <w:rsid w:val="7FE02FB2"/>
    <w:rsid w:val="7FE72592"/>
    <w:rsid w:val="7FEA3E31"/>
    <w:rsid w:val="7FF058EB"/>
    <w:rsid w:val="7FF52F01"/>
    <w:rsid w:val="7FF54CAF"/>
    <w:rsid w:val="7FF64AAB"/>
    <w:rsid w:val="7FFA0518"/>
    <w:rsid w:val="7FFB60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ocked="1"/>
    <w:lsdException w:qFormat="1" w:unhideWhenUsed="0" w:uiPriority="0" w:semiHidden="0" w:name="heading 2" w:locked="1"/>
    <w:lsdException w:qFormat="1" w:uiPriority="9" w:semiHidden="0" w:name="heading 3" w:locked="1"/>
    <w:lsdException w:qFormat="1" w:unhideWhenUsed="0" w:uiPriority="0" w:semiHidden="0" w:name="heading 4" w:locked="1"/>
    <w:lsdException w:qFormat="1" w:unhideWhenUsed="0" w:uiPriority="0" w:semiHidden="0" w:name="heading 5" w:locked="1"/>
    <w:lsdException w:qFormat="1" w:unhideWhenUsed="0" w:uiPriority="0" w:semiHidden="0" w:name="heading 6" w:locked="1"/>
    <w:lsdException w:qFormat="1" w:unhideWhenUsed="0" w:uiPriority="0" w:semiHidden="0" w:name="heading 7" w:locked="1"/>
    <w:lsdException w:qFormat="1" w:unhideWhenUsed="0" w:uiPriority="0" w:semiHidden="0" w:name="heading 8" w:locked="1"/>
    <w:lsdException w:qFormat="1" w:unhideWhenUsed="0" w:uiPriority="0" w:semiHidden="0" w:name="heading 9" w:locked="1"/>
    <w:lsdException w:qFormat="1" w:uiPriority="0" w:semiHidden="0" w:name="index 1" w:locked="1"/>
    <w:lsdException w:qFormat="1" w:unhideWhenUsed="0" w:uiPriority="0" w:semiHidden="0" w:name="index 2" w:locked="1"/>
    <w:lsdException w:qFormat="1" w:unhideWhenUsed="0" w:uiPriority="0" w:semiHidden="0" w:name="index 3" w:locked="1"/>
    <w:lsdException w:qFormat="1" w:unhideWhenUsed="0" w:uiPriority="0" w:semiHidden="0" w:name="index 4" w:locked="1"/>
    <w:lsdException w:qFormat="1" w:unhideWhenUsed="0" w:uiPriority="0" w:semiHidden="0" w:name="index 5" w:locked="1"/>
    <w:lsdException w:qFormat="1" w:unhideWhenUsed="0" w:uiPriority="0" w:semiHidden="0" w:name="index 6" w:locked="1"/>
    <w:lsdException w:qFormat="1" w:unhideWhenUsed="0" w:uiPriority="0" w:semiHidden="0" w:name="index 7" w:locked="1"/>
    <w:lsdException w:qFormat="1" w:unhideWhenUsed="0" w:uiPriority="0" w:semiHidden="0" w:name="index 8" w:locked="1"/>
    <w:lsdException w:qFormat="1" w:unhideWhenUsed="0" w:uiPriority="0" w:semiHidden="0" w:name="index 9" w:locked="1"/>
    <w:lsdException w:qFormat="1" w:unhideWhenUsed="0" w:uiPriority="39" w:semiHidden="0" w:name="toc 1" w:locked="1"/>
    <w:lsdException w:qFormat="1" w:uiPriority="39" w:semiHidden="0" w:name="toc 2" w:locked="1"/>
    <w:lsdException w:qFormat="1" w:uiPriority="39" w:semiHidden="0" w:name="toc 3" w:locked="1"/>
    <w:lsdException w:qFormat="1" w:uiPriority="39" w:semiHidden="0" w:name="toc 4" w:locked="1"/>
    <w:lsdException w:qFormat="1" w:uiPriority="39" w:semiHidden="0" w:name="toc 5" w:locked="1"/>
    <w:lsdException w:qFormat="1" w:uiPriority="39" w:semiHidden="0" w:name="toc 6" w:locked="1"/>
    <w:lsdException w:qFormat="1" w:uiPriority="39" w:semiHidden="0" w:name="toc 7" w:locked="1"/>
    <w:lsdException w:qFormat="1" w:uiPriority="39" w:semiHidden="0" w:name="toc 8" w:locked="1"/>
    <w:lsdException w:qFormat="1" w:unhideWhenUsed="0" w:uiPriority="39" w:semiHidden="0" w:name="toc 9" w:locked="1"/>
    <w:lsdException w:qFormat="1" w:unhideWhenUsed="0" w:uiPriority="99" w:semiHidden="0" w:name="Normal Indent" w:locked="1"/>
    <w:lsdException w:qFormat="1" w:unhideWhenUsed="0" w:uiPriority="0" w:semiHidden="0" w:name="footnote text" w:locked="1"/>
    <w:lsdException w:qFormat="1" w:unhideWhenUsed="0" w:uiPriority="0" w:semiHidden="0" w:name="annotation text"/>
    <w:lsdException w:qFormat="1" w:unhideWhenUsed="0" w:uiPriority="0" w:semiHidden="0" w:name="header"/>
    <w:lsdException w:qFormat="1" w:unhideWhenUsed="0" w:uiPriority="99" w:semiHidden="0" w:name="footer"/>
    <w:lsdException w:qFormat="1" w:unhideWhenUsed="0" w:uiPriority="0" w:semiHidden="0" w:name="index heading" w:locked="1"/>
    <w:lsdException w:qFormat="1" w:unhideWhenUsed="0" w:uiPriority="0" w:semiHidden="0" w:name="caption" w:locked="1"/>
    <w:lsdException w:qFormat="1" w:unhideWhenUsed="0" w:uiPriority="0" w:semiHidden="0" w:name="table of figures" w:locked="1"/>
    <w:lsdException w:qFormat="1" w:unhideWhenUsed="0" w:uiPriority="0" w:semiHidden="0" w:name="envelope address" w:locked="1"/>
    <w:lsdException w:qFormat="1" w:unhideWhenUsed="0" w:uiPriority="0" w:semiHidden="0" w:name="envelope return" w:locked="1"/>
    <w:lsdException w:qFormat="1" w:uiPriority="0" w:semiHidden="0" w:name="footnote reference" w:locked="1"/>
    <w:lsdException w:qFormat="1" w:unhideWhenUsed="0" w:uiPriority="0" w:semiHidden="0" w:name="annotation reference"/>
    <w:lsdException w:qFormat="1" w:unhideWhenUsed="0" w:uiPriority="0" w:semiHidden="0" w:name="line number" w:locked="1"/>
    <w:lsdException w:qFormat="1" w:unhideWhenUsed="0" w:uiPriority="0" w:semiHidden="0" w:name="page number" w:locked="1"/>
    <w:lsdException w:uiPriority="0" w:name="endnote reference" w:locked="1"/>
    <w:lsdException w:qFormat="1" w:unhideWhenUsed="0" w:uiPriority="0" w:semiHidden="0" w:name="endnote text" w:locked="1"/>
    <w:lsdException w:qFormat="1" w:unhideWhenUsed="0" w:uiPriority="0" w:semiHidden="0" w:name="table of authorities" w:locked="1"/>
    <w:lsdException w:qFormat="1" w:unhideWhenUsed="0" w:uiPriority="0" w:semiHidden="0" w:name="macro" w:locked="1"/>
    <w:lsdException w:qFormat="1" w:unhideWhenUsed="0" w:uiPriority="0" w:semiHidden="0" w:name="toa heading" w:locked="1"/>
    <w:lsdException w:qFormat="1" w:unhideWhenUsed="0" w:uiPriority="0" w:semiHidden="0" w:name="List" w:locked="1"/>
    <w:lsdException w:qFormat="1" w:uiPriority="0" w:semiHidden="0" w:name="List Bullet" w:locked="1"/>
    <w:lsdException w:qFormat="1" w:unhideWhenUsed="0" w:uiPriority="0" w:semiHidden="0" w:name="List Number" w:locked="1"/>
    <w:lsdException w:qFormat="1" w:unhideWhenUsed="0" w:uiPriority="0" w:semiHidden="0" w:name="List 2" w:locked="1"/>
    <w:lsdException w:qFormat="1" w:unhideWhenUsed="0" w:uiPriority="0" w:semiHidden="0" w:name="List 3" w:locked="1"/>
    <w:lsdException w:qFormat="1" w:unhideWhenUsed="0" w:uiPriority="0" w:semiHidden="0" w:name="List 4" w:locked="1"/>
    <w:lsdException w:qFormat="1" w:unhideWhenUsed="0" w:uiPriority="0" w:semiHidden="0" w:name="List 5" w:locked="1"/>
    <w:lsdException w:qFormat="1" w:unhideWhenUsed="0" w:uiPriority="0" w:semiHidden="0" w:name="List Bullet 2" w:locked="1"/>
    <w:lsdException w:qFormat="1" w:unhideWhenUsed="0" w:uiPriority="0" w:semiHidden="0" w:name="List Bullet 3" w:locked="1"/>
    <w:lsdException w:qFormat="1" w:unhideWhenUsed="0" w:uiPriority="0" w:semiHidden="0" w:name="List Bullet 4" w:locked="1"/>
    <w:lsdException w:qFormat="1" w:unhideWhenUsed="0" w:uiPriority="0" w:semiHidden="0" w:name="List Bullet 5" w:locked="1"/>
    <w:lsdException w:qFormat="1" w:unhideWhenUsed="0" w:uiPriority="0" w:semiHidden="0" w:name="List Number 2" w:locked="1"/>
    <w:lsdException w:qFormat="1" w:unhideWhenUsed="0" w:uiPriority="0" w:semiHidden="0" w:name="List Number 3" w:locked="1"/>
    <w:lsdException w:qFormat="1" w:unhideWhenUsed="0" w:uiPriority="0" w:semiHidden="0" w:name="List Number 4" w:locked="1"/>
    <w:lsdException w:qFormat="1" w:unhideWhenUsed="0" w:uiPriority="0" w:semiHidden="0" w:name="List Number 5" w:locked="1"/>
    <w:lsdException w:qFormat="1" w:unhideWhenUsed="0" w:uiPriority="0" w:semiHidden="0" w:name="Title" w:locked="1"/>
    <w:lsdException w:qFormat="1" w:unhideWhenUsed="0" w:uiPriority="0" w:semiHidden="0" w:name="Closing" w:locked="1"/>
    <w:lsdException w:qFormat="1" w:unhideWhenUsed="0" w:uiPriority="0" w:semiHidden="0" w:name="Signature" w:locked="1"/>
    <w:lsdException w:qFormat="1" w:uiPriority="1" w:name="Default Paragraph Font"/>
    <w:lsdException w:qFormat="1" w:unhideWhenUsed="0" w:uiPriority="0" w:semiHidden="0" w:name="Body Text"/>
    <w:lsdException w:qFormat="1" w:unhideWhenUsed="0" w:uiPriority="99" w:semiHidden="0" w:name="Body Text Indent"/>
    <w:lsdException w:qFormat="1" w:unhideWhenUsed="0" w:uiPriority="0" w:semiHidden="0" w:name="List Continue" w:locked="1"/>
    <w:lsdException w:qFormat="1" w:unhideWhenUsed="0" w:uiPriority="0" w:semiHidden="0" w:name="List Continue 2" w:locked="1"/>
    <w:lsdException w:qFormat="1" w:unhideWhenUsed="0" w:uiPriority="0" w:semiHidden="0" w:name="List Continue 3" w:locked="1"/>
    <w:lsdException w:qFormat="1" w:unhideWhenUsed="0" w:uiPriority="0" w:semiHidden="0" w:name="List Continue 4" w:locked="1"/>
    <w:lsdException w:qFormat="1" w:unhideWhenUsed="0" w:uiPriority="0" w:semiHidden="0" w:name="List Continue 5" w:locked="1"/>
    <w:lsdException w:qFormat="1" w:unhideWhenUsed="0" w:uiPriority="0" w:semiHidden="0" w:name="Message Header" w:locked="1"/>
    <w:lsdException w:qFormat="1" w:unhideWhenUsed="0" w:uiPriority="0" w:semiHidden="0" w:name="Subtitle" w:locked="1"/>
    <w:lsdException w:qFormat="1" w:unhideWhenUsed="0" w:uiPriority="0" w:semiHidden="0" w:name="Salutation" w:locked="1"/>
    <w:lsdException w:qFormat="1" w:unhideWhenUsed="0" w:uiPriority="0" w:semiHidden="0" w:name="Date"/>
    <w:lsdException w:qFormat="1" w:unhideWhenUsed="0" w:uiPriority="0" w:semiHidden="0" w:name="Body Text First Indent" w:locked="1"/>
    <w:lsdException w:qFormat="1" w:unhideWhenUsed="0" w:uiPriority="0" w:semiHidden="0" w:name="Body Text First Indent 2" w:locked="1"/>
    <w:lsdException w:qFormat="1" w:unhideWhenUsed="0" w:uiPriority="0" w:semiHidden="0" w:name="Note Heading" w:locked="1"/>
    <w:lsdException w:qFormat="1" w:unhideWhenUsed="0" w:uiPriority="0" w:semiHidden="0" w:name="Body Text 2" w:locked="1"/>
    <w:lsdException w:qFormat="1" w:unhideWhenUsed="0" w:uiPriority="0" w:semiHidden="0" w:name="Body Text 3" w:locked="1"/>
    <w:lsdException w:qFormat="1" w:unhideWhenUsed="0" w:uiPriority="0" w:semiHidden="0" w:name="Body Text Indent 2" w:locked="1"/>
    <w:lsdException w:qFormat="1" w:unhideWhenUsed="0" w:uiPriority="0" w:semiHidden="0" w:name="Body Text Indent 3" w:locked="1"/>
    <w:lsdException w:qFormat="1" w:unhideWhenUsed="0" w:uiPriority="0" w:semiHidden="0" w:name="Block Text" w:locked="1"/>
    <w:lsdException w:qFormat="1" w:uiPriority="99" w:semiHidden="0" w:name="Hyperlink" w:locked="1"/>
    <w:lsdException w:qFormat="1" w:uiPriority="99" w:semiHidden="0" w:name="FollowedHyperlink" w:locked="1"/>
    <w:lsdException w:qFormat="1" w:unhideWhenUsed="0" w:uiPriority="22" w:semiHidden="0" w:name="Strong" w:locked="1"/>
    <w:lsdException w:qFormat="1" w:unhideWhenUsed="0" w:uiPriority="20" w:semiHidden="0" w:name="Emphasis" w:locked="1"/>
    <w:lsdException w:qFormat="1" w:unhideWhenUsed="0" w:uiPriority="99" w:semiHidden="0" w:name="Document Map" w:locked="1"/>
    <w:lsdException w:qFormat="1" w:unhideWhenUsed="0" w:uiPriority="0" w:semiHidden="0" w:name="Plain Text" w:locked="1"/>
    <w:lsdException w:qFormat="1" w:unhideWhenUsed="0" w:uiPriority="0" w:semiHidden="0" w:name="E-mail Signature" w:locked="1"/>
    <w:lsdException w:qFormat="1" w:unhideWhenUsed="0" w:uiPriority="99" w:semiHidden="0" w:name="Normal (Web)"/>
    <w:lsdException w:qFormat="1" w:unhideWhenUsed="0" w:uiPriority="0" w:semiHidden="0" w:name="HTML Acronym" w:locked="1"/>
    <w:lsdException w:qFormat="1" w:unhideWhenUsed="0" w:uiPriority="0" w:semiHidden="0" w:name="HTML Address" w:locked="1"/>
    <w:lsdException w:qFormat="1" w:unhideWhenUsed="0" w:uiPriority="0" w:semiHidden="0" w:name="HTML Cite" w:locked="1"/>
    <w:lsdException w:qFormat="1" w:unhideWhenUsed="0" w:uiPriority="0" w:semiHidden="0" w:name="HTML Code" w:locked="1"/>
    <w:lsdException w:qFormat="1" w:unhideWhenUsed="0" w:uiPriority="0" w:semiHidden="0" w:name="HTML Definition" w:locked="1"/>
    <w:lsdException w:qFormat="1" w:unhideWhenUsed="0" w:uiPriority="0" w:semiHidden="0" w:name="HTML Keyboard" w:locked="1"/>
    <w:lsdException w:qFormat="1" w:unhideWhenUsed="0" w:uiPriority="99" w:semiHidden="0" w:name="HTML Preformatted" w:locked="1"/>
    <w:lsdException w:qFormat="1" w:unhideWhenUsed="0" w:uiPriority="0" w:semiHidden="0" w:name="HTML Sample" w:locked="1"/>
    <w:lsdException w:qFormat="1" w:unhideWhenUsed="0" w:uiPriority="0" w:semiHidden="0" w:name="HTML Typewriter" w:locked="1"/>
    <w:lsdException w:qFormat="1" w:unhideWhenUsed="0" w:uiPriority="0" w:semiHidden="0" w:name="HTML Variable" w:locked="1"/>
    <w:lsdException w:qFormat="1" w:uiPriority="99" w:name="Normal Table"/>
    <w:lsdException w:qFormat="1" w:unhideWhenUsed="0" w:uiPriority="0" w:semiHidden="0" w:name="annotation subject"/>
    <w:lsdException w:qFormat="1" w:uiPriority="0" w:name="Table Simple 1" w:locked="1"/>
    <w:lsdException w:qFormat="1" w:uiPriority="0" w:name="Table Simple 2" w:locked="1"/>
    <w:lsdException w:qFormat="1" w:uiPriority="0" w:name="Table Simple 3" w:locked="1"/>
    <w:lsdException w:qFormat="1" w:uiPriority="0" w:name="Table Classic 1" w:locked="1"/>
    <w:lsdException w:qFormat="1" w:uiPriority="0" w:name="Table Classic 2" w:locked="1"/>
    <w:lsdException w:qFormat="1" w:uiPriority="0" w:name="Table Classic 3" w:locked="1"/>
    <w:lsdException w:qFormat="1" w:uiPriority="0" w:name="Table Classic 4" w:locked="1"/>
    <w:lsdException w:qFormat="1" w:uiPriority="0" w:name="Table Colorful 1" w:locked="1"/>
    <w:lsdException w:qFormat="1" w:uiPriority="0" w:name="Table Colorful 2" w:locked="1"/>
    <w:lsdException w:qFormat="1" w:uiPriority="0" w:name="Table Colorful 3" w:locked="1"/>
    <w:lsdException w:qFormat="1" w:uiPriority="0" w:name="Table Columns 1" w:locked="1"/>
    <w:lsdException w:uiPriority="0" w:name="Table Columns 2" w:locked="1"/>
    <w:lsdException w:uiPriority="0" w:name="Table Columns 3" w:locked="1"/>
    <w:lsdException w:uiPriority="0" w:name="Table Columns 4" w:locked="1"/>
    <w:lsdException w:uiPriority="0" w:name="Table Columns 5" w:locked="1"/>
    <w:lsdException w:uiPriority="0" w:name="Table Grid 1" w:locked="1"/>
    <w:lsdException w:uiPriority="0" w:name="Table Grid 2" w:locked="1"/>
    <w:lsdException w:uiPriority="0" w:name="Table Grid 3" w:locked="1"/>
    <w:lsdException w:uiPriority="0" w:name="Table Grid 4" w:locked="1"/>
    <w:lsdException w:uiPriority="0" w:name="Table Grid 5" w:locked="1"/>
    <w:lsdException w:uiPriority="0" w:name="Table Grid 6" w:locked="1"/>
    <w:lsdException w:uiPriority="0" w:name="Table Grid 7" w:locked="1"/>
    <w:lsdException w:uiPriority="0" w:name="Table Grid 8" w:locked="1"/>
    <w:lsdException w:qFormat="1" w:uiPriority="0" w:name="Table List 1" w:locked="1"/>
    <w:lsdException w:qFormat="1" w:uiPriority="0" w:name="Table List 2" w:locked="1"/>
    <w:lsdException w:qFormat="1" w:uiPriority="0" w:name="Table List 3" w:locked="1"/>
    <w:lsdException w:qFormat="1" w:uiPriority="0" w:name="Table List 4" w:locked="1"/>
    <w:lsdException w:qFormat="1" w:uiPriority="0" w:name="Table List 5" w:locked="1"/>
    <w:lsdException w:qFormat="1" w:uiPriority="0" w:name="Table List 6" w:locked="1"/>
    <w:lsdException w:qFormat="1" w:uiPriority="0" w:name="Table List 7" w:locked="1"/>
    <w:lsdException w:qFormat="1" w:uiPriority="0" w:name="Table List 8" w:locked="1"/>
    <w:lsdException w:qFormat="1" w:uiPriority="0" w:name="Table 3D effects 1" w:locked="1"/>
    <w:lsdException w:qFormat="1" w:uiPriority="0" w:name="Table 3D effects 2" w:locked="1"/>
    <w:lsdException w:qFormat="1" w:uiPriority="0" w:name="Table 3D effects 3" w:locked="1"/>
    <w:lsdException w:qFormat="1" w:uiPriority="0" w:name="Table Contemporary" w:locked="1"/>
    <w:lsdException w:qFormat="1" w:uiPriority="0" w:name="Table Elegant" w:locked="1"/>
    <w:lsdException w:uiPriority="0" w:name="Table Professional" w:locked="1"/>
    <w:lsdException w:qFormat="1" w:uiPriority="0" w:name="Table Subtle 1" w:locked="1"/>
    <w:lsdException w:qFormat="1" w:uiPriority="0" w:name="Table Subtle 2" w:locked="1"/>
    <w:lsdException w:uiPriority="0" w:name="Table Web 1" w:locked="1"/>
    <w:lsdException w:uiPriority="0" w:name="Table Web 2" w:locked="1"/>
    <w:lsdException w:uiPriority="0" w:name="Table Web 3" w:locked="1"/>
    <w:lsdException w:qFormat="1" w:unhideWhenUsed="0" w:uiPriority="99" w:semiHidden="0" w:name="Balloon Text"/>
    <w:lsdException w:qFormat="1" w:unhideWhenUsed="0" w:uiPriority="0" w:semiHidden="0" w:name="Table Grid"/>
    <w:lsdException w:qFormat="1" w:uiPriority="0" w:name="Table Theme" w:locked="1"/>
    <w:lsdException w:qFormat="1" w:unhideWhenUsed="0" w:uiPriority="0" w:semiHidden="0" w:name="Placeholder Text"/>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link w:val="113"/>
    <w:autoRedefine/>
    <w:qFormat/>
    <w:locked/>
    <w:uiPriority w:val="0"/>
    <w:pPr>
      <w:keepNext/>
      <w:overflowPunct w:val="0"/>
      <w:snapToGrid w:val="0"/>
      <w:spacing w:before="120" w:after="160" w:line="259" w:lineRule="auto"/>
      <w:ind w:left="432" w:hanging="432"/>
      <w:outlineLvl w:val="0"/>
    </w:pPr>
    <w:rPr>
      <w:rFonts w:eastAsia="黑体"/>
      <w:b/>
      <w:bCs/>
      <w:color w:val="000000"/>
      <w:kern w:val="44"/>
      <w:sz w:val="30"/>
      <w:szCs w:val="30"/>
      <w:lang w:val="zh-CN"/>
    </w:rPr>
  </w:style>
  <w:style w:type="paragraph" w:styleId="4">
    <w:name w:val="heading 2"/>
    <w:basedOn w:val="1"/>
    <w:next w:val="1"/>
    <w:link w:val="114"/>
    <w:autoRedefine/>
    <w:qFormat/>
    <w:locked/>
    <w:uiPriority w:val="0"/>
    <w:pPr>
      <w:keepNext/>
      <w:keepLines/>
      <w:spacing w:before="260" w:after="260" w:line="416" w:lineRule="auto"/>
      <w:outlineLvl w:val="1"/>
    </w:pPr>
    <w:rPr>
      <w:rFonts w:ascii="Cambria" w:hAnsi="Cambria"/>
      <w:b/>
      <w:bCs/>
      <w:kern w:val="0"/>
      <w:sz w:val="32"/>
      <w:szCs w:val="32"/>
      <w:lang w:val="zh-CN"/>
    </w:rPr>
  </w:style>
  <w:style w:type="paragraph" w:styleId="5">
    <w:name w:val="heading 3"/>
    <w:basedOn w:val="1"/>
    <w:next w:val="1"/>
    <w:link w:val="115"/>
    <w:autoRedefine/>
    <w:unhideWhenUsed/>
    <w:qFormat/>
    <w:locked/>
    <w:uiPriority w:val="9"/>
    <w:pPr>
      <w:keepNext/>
      <w:keepLines/>
      <w:spacing w:before="260" w:after="260" w:line="416" w:lineRule="auto"/>
      <w:outlineLvl w:val="2"/>
    </w:pPr>
    <w:rPr>
      <w:b/>
      <w:bCs/>
      <w:sz w:val="32"/>
      <w:szCs w:val="32"/>
      <w:lang w:val="zh-CN"/>
    </w:rPr>
  </w:style>
  <w:style w:type="paragraph" w:styleId="6">
    <w:name w:val="heading 4"/>
    <w:basedOn w:val="1"/>
    <w:next w:val="1"/>
    <w:link w:val="116"/>
    <w:autoRedefine/>
    <w:qFormat/>
    <w:locked/>
    <w:uiPriority w:val="0"/>
    <w:pPr>
      <w:keepNext/>
      <w:keepLines/>
      <w:spacing w:before="280" w:after="290" w:line="376" w:lineRule="auto"/>
      <w:ind w:left="864" w:hanging="144"/>
      <w:outlineLvl w:val="3"/>
    </w:pPr>
    <w:rPr>
      <w:rFonts w:ascii="Arial" w:hAnsi="Arial" w:eastAsia="黑体"/>
      <w:b/>
      <w:bCs/>
      <w:kern w:val="0"/>
      <w:sz w:val="28"/>
      <w:szCs w:val="28"/>
      <w:lang w:val="zh-CN"/>
    </w:rPr>
  </w:style>
  <w:style w:type="paragraph" w:styleId="7">
    <w:name w:val="heading 5"/>
    <w:basedOn w:val="1"/>
    <w:next w:val="1"/>
    <w:link w:val="117"/>
    <w:autoRedefine/>
    <w:qFormat/>
    <w:locked/>
    <w:uiPriority w:val="0"/>
    <w:pPr>
      <w:keepNext/>
      <w:keepLines/>
      <w:spacing w:before="280" w:after="290" w:line="372" w:lineRule="auto"/>
      <w:ind w:left="1008" w:hanging="432"/>
      <w:outlineLvl w:val="4"/>
    </w:pPr>
    <w:rPr>
      <w:b/>
      <w:kern w:val="0"/>
      <w:sz w:val="28"/>
      <w:szCs w:val="20"/>
      <w:lang w:val="zh-CN"/>
    </w:rPr>
  </w:style>
  <w:style w:type="paragraph" w:styleId="8">
    <w:name w:val="heading 6"/>
    <w:basedOn w:val="1"/>
    <w:next w:val="9"/>
    <w:link w:val="119"/>
    <w:autoRedefine/>
    <w:qFormat/>
    <w:locked/>
    <w:uiPriority w:val="0"/>
    <w:pPr>
      <w:tabs>
        <w:tab w:val="left" w:pos="592"/>
      </w:tabs>
      <w:spacing w:line="360" w:lineRule="auto"/>
      <w:ind w:left="1152" w:hanging="432"/>
      <w:outlineLvl w:val="5"/>
    </w:pPr>
    <w:rPr>
      <w:kern w:val="0"/>
      <w:sz w:val="28"/>
      <w:szCs w:val="20"/>
      <w:lang w:val="zh-CN"/>
    </w:rPr>
  </w:style>
  <w:style w:type="paragraph" w:styleId="10">
    <w:name w:val="heading 7"/>
    <w:basedOn w:val="1"/>
    <w:next w:val="1"/>
    <w:link w:val="120"/>
    <w:autoRedefine/>
    <w:qFormat/>
    <w:locked/>
    <w:uiPriority w:val="0"/>
    <w:pPr>
      <w:keepNext/>
      <w:keepLines/>
      <w:tabs>
        <w:tab w:val="left" w:pos="736"/>
      </w:tabs>
      <w:spacing w:before="240" w:after="64" w:line="317" w:lineRule="auto"/>
      <w:ind w:left="1296" w:hanging="288"/>
      <w:outlineLvl w:val="6"/>
    </w:pPr>
    <w:rPr>
      <w:b/>
      <w:kern w:val="0"/>
      <w:sz w:val="24"/>
      <w:szCs w:val="20"/>
      <w:lang w:val="zh-CN"/>
    </w:rPr>
  </w:style>
  <w:style w:type="paragraph" w:styleId="11">
    <w:name w:val="heading 8"/>
    <w:basedOn w:val="1"/>
    <w:next w:val="1"/>
    <w:link w:val="121"/>
    <w:autoRedefine/>
    <w:qFormat/>
    <w:locked/>
    <w:uiPriority w:val="0"/>
    <w:pPr>
      <w:keepNext/>
      <w:keepLines/>
      <w:tabs>
        <w:tab w:val="left" w:pos="880"/>
      </w:tabs>
      <w:spacing w:before="240" w:after="64" w:line="317" w:lineRule="auto"/>
      <w:ind w:left="1440" w:hanging="432"/>
      <w:outlineLvl w:val="7"/>
    </w:pPr>
    <w:rPr>
      <w:rFonts w:ascii="Arial" w:hAnsi="Arial" w:eastAsia="黑体"/>
      <w:kern w:val="0"/>
      <w:sz w:val="24"/>
      <w:szCs w:val="20"/>
      <w:lang w:val="zh-CN"/>
    </w:rPr>
  </w:style>
  <w:style w:type="paragraph" w:styleId="12">
    <w:name w:val="heading 9"/>
    <w:basedOn w:val="1"/>
    <w:next w:val="1"/>
    <w:link w:val="122"/>
    <w:autoRedefine/>
    <w:qFormat/>
    <w:locked/>
    <w:uiPriority w:val="0"/>
    <w:pPr>
      <w:keepNext/>
      <w:keepLines/>
      <w:tabs>
        <w:tab w:val="left" w:pos="1024"/>
      </w:tabs>
      <w:spacing w:before="240" w:after="64" w:line="317" w:lineRule="auto"/>
      <w:ind w:left="1584" w:hanging="144"/>
      <w:outlineLvl w:val="8"/>
    </w:pPr>
    <w:rPr>
      <w:rFonts w:ascii="Arial" w:hAnsi="Arial" w:eastAsia="黑体"/>
      <w:kern w:val="0"/>
      <w:sz w:val="20"/>
      <w:szCs w:val="20"/>
      <w:lang w:val="zh-CN"/>
    </w:rPr>
  </w:style>
  <w:style w:type="character" w:default="1" w:styleId="90">
    <w:name w:val="Default Paragraph Font"/>
    <w:semiHidden/>
    <w:unhideWhenUsed/>
    <w:qFormat/>
    <w:uiPriority w:val="1"/>
  </w:style>
  <w:style w:type="table" w:default="1" w:styleId="88">
    <w:name w:val="Normal Table"/>
    <w:semiHidden/>
    <w:unhideWhenUsed/>
    <w:qFormat/>
    <w:uiPriority w:val="99"/>
    <w:tblPr>
      <w:tblCellMar>
        <w:top w:w="0" w:type="dxa"/>
        <w:left w:w="108" w:type="dxa"/>
        <w:bottom w:w="0" w:type="dxa"/>
        <w:right w:w="108" w:type="dxa"/>
      </w:tblCellMar>
    </w:tblPr>
  </w:style>
  <w:style w:type="paragraph" w:styleId="2">
    <w:name w:val="macro"/>
    <w:link w:val="156"/>
    <w:autoRedefine/>
    <w:qFormat/>
    <w:locked/>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adjustRightInd w:val="0"/>
      <w:snapToGrid w:val="0"/>
    </w:pPr>
    <w:rPr>
      <w:rFonts w:ascii="Courier New" w:hAnsi="Courier New" w:eastAsia="宋体" w:cs="Times New Roman"/>
      <w:kern w:val="2"/>
      <w:sz w:val="24"/>
      <w:szCs w:val="24"/>
      <w:lang w:val="en-US" w:eastAsia="zh-CN" w:bidi="ar-SA"/>
    </w:rPr>
  </w:style>
  <w:style w:type="paragraph" w:styleId="9">
    <w:name w:val="Normal Indent"/>
    <w:basedOn w:val="1"/>
    <w:next w:val="1"/>
    <w:link w:val="118"/>
    <w:autoRedefine/>
    <w:qFormat/>
    <w:locked/>
    <w:uiPriority w:val="99"/>
    <w:pPr>
      <w:ind w:firstLine="420" w:firstLineChars="200"/>
    </w:pPr>
    <w:rPr>
      <w:lang w:val="zh-CN"/>
    </w:rPr>
  </w:style>
  <w:style w:type="paragraph" w:styleId="13">
    <w:name w:val="List 3"/>
    <w:basedOn w:val="1"/>
    <w:autoRedefine/>
    <w:qFormat/>
    <w:locked/>
    <w:uiPriority w:val="0"/>
    <w:pPr>
      <w:spacing w:before="60"/>
      <w:ind w:left="1260" w:hanging="420"/>
    </w:pPr>
    <w:rPr>
      <w:rFonts w:ascii="Arial" w:hAnsi="Arial" w:eastAsia="仿宋_GB2312"/>
      <w:kern w:val="0"/>
      <w:sz w:val="24"/>
      <w:szCs w:val="20"/>
    </w:rPr>
  </w:style>
  <w:style w:type="paragraph" w:styleId="14">
    <w:name w:val="toc 7"/>
    <w:basedOn w:val="1"/>
    <w:next w:val="1"/>
    <w:autoRedefine/>
    <w:unhideWhenUsed/>
    <w:qFormat/>
    <w:locked/>
    <w:uiPriority w:val="39"/>
    <w:pPr>
      <w:ind w:left="1260"/>
      <w:jc w:val="left"/>
    </w:pPr>
    <w:rPr>
      <w:rFonts w:cs="Calibri"/>
      <w:sz w:val="18"/>
      <w:szCs w:val="18"/>
    </w:rPr>
  </w:style>
  <w:style w:type="paragraph" w:styleId="15">
    <w:name w:val="List Number 2"/>
    <w:basedOn w:val="1"/>
    <w:autoRedefine/>
    <w:qFormat/>
    <w:locked/>
    <w:uiPriority w:val="0"/>
    <w:pPr>
      <w:tabs>
        <w:tab w:val="left" w:pos="780"/>
      </w:tabs>
      <w:spacing w:before="60"/>
      <w:ind w:left="780" w:hanging="360"/>
    </w:pPr>
    <w:rPr>
      <w:rFonts w:ascii="Arial" w:hAnsi="Arial" w:eastAsia="仿宋_GB2312"/>
      <w:kern w:val="0"/>
      <w:sz w:val="24"/>
      <w:szCs w:val="20"/>
    </w:rPr>
  </w:style>
  <w:style w:type="paragraph" w:styleId="16">
    <w:name w:val="table of authorities"/>
    <w:basedOn w:val="1"/>
    <w:next w:val="1"/>
    <w:autoRedefine/>
    <w:qFormat/>
    <w:locked/>
    <w:uiPriority w:val="0"/>
    <w:pPr>
      <w:adjustRightInd w:val="0"/>
      <w:snapToGrid w:val="0"/>
      <w:spacing w:line="300" w:lineRule="auto"/>
      <w:ind w:left="420" w:leftChars="200"/>
    </w:pPr>
    <w:rPr>
      <w:rFonts w:ascii="仿宋_GB2312" w:eastAsia="仿宋_GB2312"/>
      <w:sz w:val="28"/>
    </w:rPr>
  </w:style>
  <w:style w:type="paragraph" w:styleId="17">
    <w:name w:val="Note Heading"/>
    <w:basedOn w:val="1"/>
    <w:next w:val="1"/>
    <w:link w:val="157"/>
    <w:autoRedefine/>
    <w:qFormat/>
    <w:locked/>
    <w:uiPriority w:val="0"/>
    <w:pPr>
      <w:jc w:val="center"/>
    </w:pPr>
    <w:rPr>
      <w:rFonts w:ascii="新宋体" w:hAnsi="新宋体"/>
      <w:kern w:val="0"/>
      <w:sz w:val="20"/>
      <w:szCs w:val="20"/>
      <w:lang w:val="zh-CN"/>
    </w:rPr>
  </w:style>
  <w:style w:type="paragraph" w:styleId="18">
    <w:name w:val="List Bullet 4"/>
    <w:basedOn w:val="1"/>
    <w:autoRedefine/>
    <w:qFormat/>
    <w:locked/>
    <w:uiPriority w:val="0"/>
    <w:pPr>
      <w:tabs>
        <w:tab w:val="left" w:pos="1620"/>
      </w:tabs>
      <w:spacing w:before="60"/>
      <w:ind w:left="1620" w:leftChars="600" w:hanging="360" w:hangingChars="200"/>
    </w:pPr>
    <w:rPr>
      <w:rFonts w:ascii="Arial" w:hAnsi="Arial" w:eastAsia="仿宋_GB2312"/>
      <w:kern w:val="0"/>
      <w:sz w:val="24"/>
      <w:szCs w:val="20"/>
    </w:rPr>
  </w:style>
  <w:style w:type="paragraph" w:styleId="19">
    <w:name w:val="index 8"/>
    <w:basedOn w:val="1"/>
    <w:next w:val="1"/>
    <w:autoRedefine/>
    <w:qFormat/>
    <w:locked/>
    <w:uiPriority w:val="0"/>
    <w:pPr>
      <w:adjustRightInd w:val="0"/>
      <w:snapToGrid w:val="0"/>
      <w:spacing w:line="300" w:lineRule="auto"/>
      <w:ind w:left="1400" w:leftChars="1400"/>
    </w:pPr>
    <w:rPr>
      <w:rFonts w:ascii="仿宋_GB2312" w:eastAsia="仿宋_GB2312"/>
      <w:sz w:val="28"/>
    </w:rPr>
  </w:style>
  <w:style w:type="paragraph" w:styleId="20">
    <w:name w:val="E-mail Signature"/>
    <w:basedOn w:val="1"/>
    <w:link w:val="158"/>
    <w:autoRedefine/>
    <w:qFormat/>
    <w:locked/>
    <w:uiPriority w:val="0"/>
    <w:pPr>
      <w:spacing w:before="60"/>
      <w:ind w:firstLine="482"/>
    </w:pPr>
    <w:rPr>
      <w:rFonts w:ascii="Arial" w:hAnsi="Arial" w:eastAsia="仿宋_GB2312"/>
      <w:kern w:val="0"/>
      <w:sz w:val="24"/>
      <w:szCs w:val="20"/>
      <w:lang w:val="zh-CN"/>
    </w:rPr>
  </w:style>
  <w:style w:type="paragraph" w:styleId="21">
    <w:name w:val="List Number"/>
    <w:basedOn w:val="1"/>
    <w:autoRedefine/>
    <w:qFormat/>
    <w:locked/>
    <w:uiPriority w:val="0"/>
    <w:pPr>
      <w:tabs>
        <w:tab w:val="left" w:pos="360"/>
      </w:tabs>
      <w:ind w:left="360" w:hanging="360"/>
    </w:pPr>
    <w:rPr>
      <w:rFonts w:ascii="楷体_GB2312" w:eastAsia="楷体_GB2312"/>
      <w:sz w:val="28"/>
      <w:szCs w:val="20"/>
    </w:rPr>
  </w:style>
  <w:style w:type="paragraph" w:styleId="22">
    <w:name w:val="caption"/>
    <w:basedOn w:val="1"/>
    <w:next w:val="1"/>
    <w:link w:val="159"/>
    <w:autoRedefine/>
    <w:qFormat/>
    <w:locked/>
    <w:uiPriority w:val="0"/>
    <w:pPr>
      <w:widowControl/>
      <w:spacing w:after="124" w:line="264" w:lineRule="auto"/>
      <w:ind w:left="5" w:right="142" w:hanging="5"/>
      <w:jc w:val="left"/>
    </w:pPr>
    <w:rPr>
      <w:rFonts w:ascii="Cambria" w:hAnsi="Cambria" w:eastAsia="黑体"/>
      <w:color w:val="000000"/>
      <w:kern w:val="0"/>
      <w:sz w:val="20"/>
      <w:szCs w:val="20"/>
      <w:lang w:val="zh-CN"/>
    </w:rPr>
  </w:style>
  <w:style w:type="paragraph" w:styleId="23">
    <w:name w:val="index 5"/>
    <w:basedOn w:val="1"/>
    <w:next w:val="1"/>
    <w:autoRedefine/>
    <w:qFormat/>
    <w:locked/>
    <w:uiPriority w:val="0"/>
    <w:pPr>
      <w:adjustRightInd w:val="0"/>
      <w:snapToGrid w:val="0"/>
      <w:spacing w:line="300" w:lineRule="auto"/>
      <w:ind w:left="800" w:leftChars="800"/>
    </w:pPr>
    <w:rPr>
      <w:rFonts w:ascii="仿宋_GB2312" w:eastAsia="仿宋_GB2312"/>
      <w:sz w:val="28"/>
    </w:rPr>
  </w:style>
  <w:style w:type="paragraph" w:styleId="24">
    <w:name w:val="List Bullet"/>
    <w:basedOn w:val="1"/>
    <w:autoRedefine/>
    <w:unhideWhenUsed/>
    <w:qFormat/>
    <w:locked/>
    <w:uiPriority w:val="0"/>
    <w:pPr>
      <w:widowControl/>
      <w:numPr>
        <w:ilvl w:val="0"/>
        <w:numId w:val="1"/>
      </w:numPr>
      <w:spacing w:line="240" w:lineRule="exact"/>
      <w:contextualSpacing/>
      <w:jc w:val="left"/>
    </w:pPr>
    <w:rPr>
      <w:kern w:val="0"/>
      <w:sz w:val="20"/>
      <w:szCs w:val="20"/>
    </w:rPr>
  </w:style>
  <w:style w:type="paragraph" w:styleId="25">
    <w:name w:val="envelope address"/>
    <w:basedOn w:val="1"/>
    <w:autoRedefine/>
    <w:qFormat/>
    <w:locked/>
    <w:uiPriority w:val="0"/>
    <w:pPr>
      <w:framePr w:w="7920" w:h="1980" w:hRule="exact" w:hSpace="180" w:wrap="around" w:vAnchor="margin" w:hAnchor="page" w:xAlign="center" w:yAlign="bottom"/>
      <w:snapToGrid w:val="0"/>
      <w:spacing w:before="60"/>
      <w:ind w:left="2880" w:firstLine="482"/>
    </w:pPr>
    <w:rPr>
      <w:rFonts w:ascii="Arial" w:hAnsi="Arial" w:eastAsia="仿宋_GB2312" w:cs="Arial"/>
      <w:kern w:val="0"/>
      <w:sz w:val="24"/>
      <w:szCs w:val="20"/>
    </w:rPr>
  </w:style>
  <w:style w:type="paragraph" w:styleId="26">
    <w:name w:val="Document Map"/>
    <w:basedOn w:val="1"/>
    <w:link w:val="160"/>
    <w:autoRedefine/>
    <w:qFormat/>
    <w:locked/>
    <w:uiPriority w:val="99"/>
    <w:pPr>
      <w:shd w:val="clear" w:color="auto" w:fill="000080"/>
    </w:pPr>
    <w:rPr>
      <w:rFonts w:ascii="宋体"/>
      <w:kern w:val="0"/>
      <w:sz w:val="18"/>
      <w:szCs w:val="18"/>
      <w:lang w:val="zh-CN"/>
    </w:rPr>
  </w:style>
  <w:style w:type="paragraph" w:styleId="27">
    <w:name w:val="toa heading"/>
    <w:basedOn w:val="1"/>
    <w:next w:val="1"/>
    <w:autoRedefine/>
    <w:qFormat/>
    <w:locked/>
    <w:uiPriority w:val="0"/>
    <w:pPr>
      <w:adjustRightInd w:val="0"/>
      <w:snapToGrid w:val="0"/>
      <w:spacing w:before="120" w:line="300" w:lineRule="auto"/>
    </w:pPr>
    <w:rPr>
      <w:rFonts w:ascii="Arial" w:hAnsi="Arial" w:cs="Arial"/>
      <w:sz w:val="24"/>
    </w:rPr>
  </w:style>
  <w:style w:type="paragraph" w:styleId="28">
    <w:name w:val="annotation text"/>
    <w:basedOn w:val="1"/>
    <w:link w:val="123"/>
    <w:autoRedefine/>
    <w:qFormat/>
    <w:uiPriority w:val="0"/>
    <w:pPr>
      <w:jc w:val="left"/>
    </w:pPr>
    <w:rPr>
      <w:kern w:val="0"/>
      <w:sz w:val="24"/>
      <w:szCs w:val="20"/>
      <w:lang w:val="zh-CN"/>
    </w:rPr>
  </w:style>
  <w:style w:type="paragraph" w:styleId="29">
    <w:name w:val="index 6"/>
    <w:basedOn w:val="1"/>
    <w:next w:val="1"/>
    <w:autoRedefine/>
    <w:qFormat/>
    <w:locked/>
    <w:uiPriority w:val="0"/>
    <w:pPr>
      <w:adjustRightInd w:val="0"/>
      <w:snapToGrid w:val="0"/>
      <w:spacing w:line="300" w:lineRule="auto"/>
      <w:ind w:left="1000" w:leftChars="1000"/>
    </w:pPr>
    <w:rPr>
      <w:rFonts w:ascii="仿宋_GB2312" w:eastAsia="仿宋_GB2312"/>
      <w:sz w:val="28"/>
    </w:rPr>
  </w:style>
  <w:style w:type="paragraph" w:styleId="30">
    <w:name w:val="Salutation"/>
    <w:basedOn w:val="1"/>
    <w:next w:val="1"/>
    <w:link w:val="161"/>
    <w:autoRedefine/>
    <w:qFormat/>
    <w:locked/>
    <w:uiPriority w:val="0"/>
    <w:pPr>
      <w:spacing w:before="60"/>
      <w:ind w:firstLine="482"/>
    </w:pPr>
    <w:rPr>
      <w:rFonts w:ascii="Arial" w:hAnsi="Arial" w:eastAsia="仿宋_GB2312"/>
      <w:kern w:val="0"/>
      <w:sz w:val="24"/>
      <w:szCs w:val="20"/>
      <w:lang w:val="zh-CN"/>
    </w:rPr>
  </w:style>
  <w:style w:type="paragraph" w:styleId="31">
    <w:name w:val="Body Text 3"/>
    <w:basedOn w:val="1"/>
    <w:link w:val="162"/>
    <w:autoRedefine/>
    <w:qFormat/>
    <w:locked/>
    <w:uiPriority w:val="0"/>
    <w:pPr>
      <w:jc w:val="center"/>
    </w:pPr>
    <w:rPr>
      <w:rFonts w:ascii="宋体"/>
      <w:caps/>
      <w:kern w:val="0"/>
      <w:sz w:val="20"/>
      <w:lang w:val="zh-CN"/>
    </w:rPr>
  </w:style>
  <w:style w:type="paragraph" w:styleId="32">
    <w:name w:val="Closing"/>
    <w:basedOn w:val="1"/>
    <w:link w:val="163"/>
    <w:autoRedefine/>
    <w:qFormat/>
    <w:locked/>
    <w:uiPriority w:val="0"/>
    <w:pPr>
      <w:spacing w:before="60"/>
      <w:ind w:left="4320" w:firstLine="482"/>
    </w:pPr>
    <w:rPr>
      <w:rFonts w:ascii="Arial" w:hAnsi="Arial" w:eastAsia="仿宋_GB2312"/>
      <w:kern w:val="0"/>
      <w:sz w:val="24"/>
      <w:szCs w:val="20"/>
      <w:lang w:val="zh-CN"/>
    </w:rPr>
  </w:style>
  <w:style w:type="paragraph" w:styleId="33">
    <w:name w:val="List Bullet 3"/>
    <w:basedOn w:val="1"/>
    <w:autoRedefine/>
    <w:qFormat/>
    <w:locked/>
    <w:uiPriority w:val="0"/>
    <w:pPr>
      <w:tabs>
        <w:tab w:val="left" w:pos="1200"/>
      </w:tabs>
      <w:spacing w:before="60"/>
      <w:ind w:left="1200" w:hanging="360"/>
    </w:pPr>
    <w:rPr>
      <w:rFonts w:ascii="Arial" w:hAnsi="Arial" w:eastAsia="仿宋_GB2312"/>
      <w:kern w:val="0"/>
      <w:sz w:val="24"/>
      <w:szCs w:val="20"/>
    </w:rPr>
  </w:style>
  <w:style w:type="paragraph" w:styleId="34">
    <w:name w:val="Body Text"/>
    <w:basedOn w:val="1"/>
    <w:next w:val="1"/>
    <w:link w:val="124"/>
    <w:autoRedefine/>
    <w:qFormat/>
    <w:uiPriority w:val="0"/>
    <w:pPr>
      <w:widowControl/>
      <w:snapToGrid w:val="0"/>
      <w:spacing w:before="60" w:after="160" w:line="259" w:lineRule="auto"/>
      <w:ind w:right="113"/>
    </w:pPr>
    <w:rPr>
      <w:kern w:val="0"/>
      <w:sz w:val="18"/>
      <w:szCs w:val="20"/>
      <w:lang w:val="zh-CN"/>
    </w:rPr>
  </w:style>
  <w:style w:type="paragraph" w:styleId="35">
    <w:name w:val="Body Text Indent"/>
    <w:basedOn w:val="1"/>
    <w:next w:val="1"/>
    <w:link w:val="125"/>
    <w:autoRedefine/>
    <w:qFormat/>
    <w:uiPriority w:val="99"/>
    <w:pPr>
      <w:spacing w:after="120"/>
      <w:ind w:left="420" w:leftChars="200"/>
    </w:pPr>
    <w:rPr>
      <w:kern w:val="0"/>
      <w:sz w:val="24"/>
      <w:szCs w:val="20"/>
      <w:lang w:val="zh-CN"/>
    </w:rPr>
  </w:style>
  <w:style w:type="paragraph" w:styleId="36">
    <w:name w:val="List Number 3"/>
    <w:basedOn w:val="1"/>
    <w:autoRedefine/>
    <w:qFormat/>
    <w:locked/>
    <w:uiPriority w:val="0"/>
    <w:pPr>
      <w:tabs>
        <w:tab w:val="left" w:pos="1200"/>
      </w:tabs>
      <w:spacing w:before="60"/>
      <w:ind w:left="1200" w:hanging="360"/>
    </w:pPr>
    <w:rPr>
      <w:rFonts w:ascii="Arial" w:hAnsi="Arial" w:eastAsia="仿宋_GB2312"/>
      <w:kern w:val="0"/>
      <w:sz w:val="24"/>
      <w:szCs w:val="20"/>
    </w:rPr>
  </w:style>
  <w:style w:type="paragraph" w:styleId="37">
    <w:name w:val="List 2"/>
    <w:basedOn w:val="1"/>
    <w:autoRedefine/>
    <w:qFormat/>
    <w:locked/>
    <w:uiPriority w:val="0"/>
    <w:pPr>
      <w:ind w:left="100" w:leftChars="200" w:hanging="200" w:hangingChars="200"/>
    </w:pPr>
    <w:rPr>
      <w:szCs w:val="20"/>
    </w:rPr>
  </w:style>
  <w:style w:type="paragraph" w:styleId="38">
    <w:name w:val="List Continue"/>
    <w:basedOn w:val="1"/>
    <w:autoRedefine/>
    <w:qFormat/>
    <w:locked/>
    <w:uiPriority w:val="0"/>
    <w:pPr>
      <w:spacing w:before="60" w:after="120"/>
      <w:ind w:left="420" w:firstLine="482"/>
    </w:pPr>
    <w:rPr>
      <w:rFonts w:ascii="Arial" w:hAnsi="Arial" w:eastAsia="仿宋_GB2312"/>
      <w:kern w:val="0"/>
      <w:sz w:val="24"/>
      <w:szCs w:val="20"/>
    </w:rPr>
  </w:style>
  <w:style w:type="paragraph" w:styleId="39">
    <w:name w:val="Block Text"/>
    <w:basedOn w:val="1"/>
    <w:autoRedefine/>
    <w:qFormat/>
    <w:locked/>
    <w:uiPriority w:val="0"/>
    <w:pPr>
      <w:ind w:left="-109" w:leftChars="-52" w:right="-46" w:rightChars="-46" w:firstLine="1"/>
      <w:jc w:val="center"/>
    </w:pPr>
    <w:rPr>
      <w:rFonts w:ascii="楷体_GB2312" w:hAnsi="宋体" w:eastAsia="楷体_GB2312"/>
      <w:szCs w:val="20"/>
    </w:rPr>
  </w:style>
  <w:style w:type="paragraph" w:styleId="40">
    <w:name w:val="List Bullet 2"/>
    <w:basedOn w:val="1"/>
    <w:autoRedefine/>
    <w:qFormat/>
    <w:locked/>
    <w:uiPriority w:val="0"/>
    <w:pPr>
      <w:tabs>
        <w:tab w:val="left" w:pos="780"/>
      </w:tabs>
      <w:spacing w:before="60"/>
      <w:ind w:left="780" w:leftChars="200" w:hanging="360" w:hangingChars="200"/>
    </w:pPr>
    <w:rPr>
      <w:rFonts w:ascii="Arial" w:hAnsi="Arial" w:eastAsia="仿宋_GB2312"/>
      <w:kern w:val="0"/>
      <w:sz w:val="24"/>
      <w:szCs w:val="20"/>
    </w:rPr>
  </w:style>
  <w:style w:type="paragraph" w:styleId="41">
    <w:name w:val="HTML Address"/>
    <w:basedOn w:val="1"/>
    <w:link w:val="164"/>
    <w:autoRedefine/>
    <w:qFormat/>
    <w:locked/>
    <w:uiPriority w:val="0"/>
    <w:pPr>
      <w:spacing w:before="60"/>
      <w:ind w:firstLine="482"/>
    </w:pPr>
    <w:rPr>
      <w:rFonts w:ascii="Arial" w:hAnsi="Arial" w:eastAsia="仿宋_GB2312"/>
      <w:i/>
      <w:iCs/>
      <w:kern w:val="0"/>
      <w:sz w:val="24"/>
      <w:szCs w:val="20"/>
      <w:lang w:val="zh-CN"/>
    </w:rPr>
  </w:style>
  <w:style w:type="paragraph" w:styleId="42">
    <w:name w:val="index 4"/>
    <w:basedOn w:val="1"/>
    <w:next w:val="1"/>
    <w:autoRedefine/>
    <w:qFormat/>
    <w:locked/>
    <w:uiPriority w:val="0"/>
    <w:pPr>
      <w:adjustRightInd w:val="0"/>
      <w:snapToGrid w:val="0"/>
      <w:spacing w:line="300" w:lineRule="auto"/>
      <w:ind w:left="600" w:leftChars="600"/>
    </w:pPr>
    <w:rPr>
      <w:rFonts w:ascii="仿宋_GB2312" w:eastAsia="仿宋_GB2312"/>
      <w:sz w:val="28"/>
    </w:rPr>
  </w:style>
  <w:style w:type="paragraph" w:styleId="43">
    <w:name w:val="toc 5"/>
    <w:basedOn w:val="1"/>
    <w:next w:val="1"/>
    <w:autoRedefine/>
    <w:unhideWhenUsed/>
    <w:qFormat/>
    <w:locked/>
    <w:uiPriority w:val="39"/>
    <w:pPr>
      <w:ind w:left="840"/>
      <w:jc w:val="left"/>
    </w:pPr>
    <w:rPr>
      <w:rFonts w:cs="Calibri"/>
      <w:sz w:val="18"/>
      <w:szCs w:val="18"/>
    </w:rPr>
  </w:style>
  <w:style w:type="paragraph" w:styleId="44">
    <w:name w:val="toc 3"/>
    <w:basedOn w:val="1"/>
    <w:next w:val="1"/>
    <w:autoRedefine/>
    <w:unhideWhenUsed/>
    <w:qFormat/>
    <w:locked/>
    <w:uiPriority w:val="39"/>
    <w:pPr>
      <w:ind w:left="420"/>
      <w:jc w:val="left"/>
    </w:pPr>
    <w:rPr>
      <w:rFonts w:cs="Calibri"/>
      <w:i/>
      <w:iCs/>
      <w:sz w:val="20"/>
      <w:szCs w:val="20"/>
    </w:rPr>
  </w:style>
  <w:style w:type="paragraph" w:styleId="45">
    <w:name w:val="Plain Text"/>
    <w:basedOn w:val="1"/>
    <w:link w:val="165"/>
    <w:autoRedefine/>
    <w:qFormat/>
    <w:locked/>
    <w:uiPriority w:val="0"/>
    <w:rPr>
      <w:rFonts w:ascii="宋体" w:hAnsi="Courier New"/>
      <w:kern w:val="0"/>
      <w:sz w:val="20"/>
      <w:szCs w:val="21"/>
      <w:lang w:val="zh-CN"/>
    </w:rPr>
  </w:style>
  <w:style w:type="paragraph" w:styleId="46">
    <w:name w:val="List Bullet 5"/>
    <w:basedOn w:val="1"/>
    <w:autoRedefine/>
    <w:qFormat/>
    <w:locked/>
    <w:uiPriority w:val="0"/>
    <w:pPr>
      <w:tabs>
        <w:tab w:val="left" w:pos="2040"/>
      </w:tabs>
      <w:spacing w:before="60"/>
      <w:ind w:left="2040" w:hanging="360"/>
    </w:pPr>
    <w:rPr>
      <w:rFonts w:ascii="Arial" w:hAnsi="Arial" w:eastAsia="仿宋_GB2312"/>
      <w:kern w:val="0"/>
      <w:sz w:val="24"/>
      <w:szCs w:val="20"/>
    </w:rPr>
  </w:style>
  <w:style w:type="paragraph" w:styleId="47">
    <w:name w:val="List Number 4"/>
    <w:basedOn w:val="1"/>
    <w:autoRedefine/>
    <w:qFormat/>
    <w:locked/>
    <w:uiPriority w:val="0"/>
    <w:pPr>
      <w:tabs>
        <w:tab w:val="left" w:pos="1620"/>
      </w:tabs>
      <w:spacing w:before="60"/>
      <w:ind w:left="1620" w:hanging="360"/>
    </w:pPr>
    <w:rPr>
      <w:rFonts w:ascii="Arial" w:hAnsi="Arial" w:eastAsia="仿宋_GB2312"/>
      <w:kern w:val="0"/>
      <w:sz w:val="24"/>
      <w:szCs w:val="20"/>
    </w:rPr>
  </w:style>
  <w:style w:type="paragraph" w:styleId="48">
    <w:name w:val="toc 8"/>
    <w:basedOn w:val="1"/>
    <w:next w:val="1"/>
    <w:autoRedefine/>
    <w:unhideWhenUsed/>
    <w:qFormat/>
    <w:locked/>
    <w:uiPriority w:val="39"/>
    <w:pPr>
      <w:ind w:left="1470"/>
      <w:jc w:val="left"/>
    </w:pPr>
    <w:rPr>
      <w:rFonts w:cs="Calibri"/>
      <w:sz w:val="18"/>
      <w:szCs w:val="18"/>
    </w:rPr>
  </w:style>
  <w:style w:type="paragraph" w:styleId="49">
    <w:name w:val="index 3"/>
    <w:basedOn w:val="1"/>
    <w:next w:val="1"/>
    <w:autoRedefine/>
    <w:qFormat/>
    <w:locked/>
    <w:uiPriority w:val="0"/>
    <w:pPr>
      <w:adjustRightInd w:val="0"/>
      <w:snapToGrid w:val="0"/>
      <w:spacing w:line="300" w:lineRule="auto"/>
      <w:ind w:left="400" w:leftChars="400"/>
    </w:pPr>
    <w:rPr>
      <w:rFonts w:ascii="仿宋_GB2312" w:eastAsia="仿宋_GB2312"/>
      <w:sz w:val="28"/>
    </w:rPr>
  </w:style>
  <w:style w:type="paragraph" w:styleId="50">
    <w:name w:val="Date"/>
    <w:basedOn w:val="1"/>
    <w:next w:val="1"/>
    <w:link w:val="126"/>
    <w:autoRedefine/>
    <w:qFormat/>
    <w:uiPriority w:val="0"/>
    <w:pPr>
      <w:ind w:left="100" w:leftChars="2500"/>
    </w:pPr>
    <w:rPr>
      <w:kern w:val="0"/>
      <w:sz w:val="24"/>
      <w:szCs w:val="20"/>
      <w:lang w:val="zh-CN"/>
    </w:rPr>
  </w:style>
  <w:style w:type="paragraph" w:styleId="51">
    <w:name w:val="Body Text Indent 2"/>
    <w:basedOn w:val="1"/>
    <w:link w:val="127"/>
    <w:autoRedefine/>
    <w:qFormat/>
    <w:locked/>
    <w:uiPriority w:val="0"/>
    <w:pPr>
      <w:spacing w:after="120" w:line="480" w:lineRule="auto"/>
      <w:ind w:left="420" w:leftChars="200"/>
    </w:pPr>
    <w:rPr>
      <w:lang w:val="zh-CN"/>
    </w:rPr>
  </w:style>
  <w:style w:type="paragraph" w:styleId="52">
    <w:name w:val="endnote text"/>
    <w:basedOn w:val="1"/>
    <w:link w:val="166"/>
    <w:autoRedefine/>
    <w:qFormat/>
    <w:locked/>
    <w:uiPriority w:val="0"/>
    <w:pPr>
      <w:adjustRightInd w:val="0"/>
      <w:snapToGrid w:val="0"/>
      <w:spacing w:line="300" w:lineRule="auto"/>
      <w:jc w:val="left"/>
    </w:pPr>
    <w:rPr>
      <w:rFonts w:ascii="仿宋_GB2312" w:eastAsia="仿宋_GB2312"/>
      <w:kern w:val="0"/>
      <w:sz w:val="28"/>
      <w:lang w:val="zh-CN"/>
    </w:rPr>
  </w:style>
  <w:style w:type="paragraph" w:styleId="53">
    <w:name w:val="List Continue 5"/>
    <w:basedOn w:val="1"/>
    <w:autoRedefine/>
    <w:qFormat/>
    <w:locked/>
    <w:uiPriority w:val="0"/>
    <w:pPr>
      <w:adjustRightInd w:val="0"/>
      <w:snapToGrid w:val="0"/>
      <w:spacing w:after="120" w:line="300" w:lineRule="auto"/>
      <w:ind w:left="2100" w:leftChars="1000"/>
    </w:pPr>
    <w:rPr>
      <w:rFonts w:ascii="仿宋_GB2312" w:eastAsia="仿宋_GB2312"/>
      <w:sz w:val="28"/>
      <w:szCs w:val="20"/>
    </w:rPr>
  </w:style>
  <w:style w:type="paragraph" w:styleId="54">
    <w:name w:val="Balloon Text"/>
    <w:basedOn w:val="1"/>
    <w:link w:val="128"/>
    <w:autoRedefine/>
    <w:qFormat/>
    <w:uiPriority w:val="99"/>
    <w:rPr>
      <w:kern w:val="0"/>
      <w:sz w:val="18"/>
      <w:szCs w:val="20"/>
      <w:lang w:val="zh-CN"/>
    </w:rPr>
  </w:style>
  <w:style w:type="paragraph" w:styleId="55">
    <w:name w:val="footer"/>
    <w:basedOn w:val="1"/>
    <w:next w:val="1"/>
    <w:link w:val="112"/>
    <w:autoRedefine/>
    <w:qFormat/>
    <w:uiPriority w:val="99"/>
    <w:pPr>
      <w:tabs>
        <w:tab w:val="center" w:pos="4153"/>
        <w:tab w:val="right" w:pos="8306"/>
      </w:tabs>
      <w:snapToGrid w:val="0"/>
      <w:jc w:val="left"/>
    </w:pPr>
    <w:rPr>
      <w:kern w:val="0"/>
      <w:sz w:val="18"/>
      <w:szCs w:val="20"/>
      <w:lang w:val="zh-CN"/>
    </w:rPr>
  </w:style>
  <w:style w:type="paragraph" w:styleId="56">
    <w:name w:val="envelope return"/>
    <w:basedOn w:val="1"/>
    <w:autoRedefine/>
    <w:qFormat/>
    <w:locked/>
    <w:uiPriority w:val="0"/>
    <w:pPr>
      <w:snapToGrid w:val="0"/>
      <w:spacing w:before="60"/>
      <w:ind w:firstLine="482"/>
    </w:pPr>
    <w:rPr>
      <w:rFonts w:ascii="Arial" w:hAnsi="Arial" w:eastAsia="仿宋_GB2312" w:cs="Arial"/>
      <w:kern w:val="0"/>
      <w:sz w:val="24"/>
      <w:szCs w:val="20"/>
    </w:rPr>
  </w:style>
  <w:style w:type="paragraph" w:styleId="57">
    <w:name w:val="header"/>
    <w:basedOn w:val="1"/>
    <w:link w:val="129"/>
    <w:autoRedefine/>
    <w:qFormat/>
    <w:uiPriority w:val="0"/>
    <w:pPr>
      <w:pBdr>
        <w:bottom w:val="single" w:color="auto" w:sz="6" w:space="1"/>
      </w:pBdr>
      <w:tabs>
        <w:tab w:val="center" w:pos="4153"/>
        <w:tab w:val="right" w:pos="8306"/>
      </w:tabs>
      <w:snapToGrid w:val="0"/>
      <w:jc w:val="center"/>
    </w:pPr>
    <w:rPr>
      <w:kern w:val="0"/>
      <w:sz w:val="18"/>
      <w:szCs w:val="20"/>
      <w:lang w:val="zh-CN"/>
    </w:rPr>
  </w:style>
  <w:style w:type="paragraph" w:styleId="58">
    <w:name w:val="Signature"/>
    <w:basedOn w:val="1"/>
    <w:link w:val="167"/>
    <w:autoRedefine/>
    <w:qFormat/>
    <w:locked/>
    <w:uiPriority w:val="0"/>
    <w:pPr>
      <w:spacing w:before="60"/>
      <w:ind w:left="4320" w:firstLine="482"/>
    </w:pPr>
    <w:rPr>
      <w:rFonts w:ascii="Arial" w:hAnsi="Arial" w:eastAsia="仿宋_GB2312"/>
      <w:kern w:val="0"/>
      <w:sz w:val="24"/>
      <w:szCs w:val="20"/>
      <w:lang w:val="zh-CN"/>
    </w:rPr>
  </w:style>
  <w:style w:type="paragraph" w:styleId="59">
    <w:name w:val="toc 1"/>
    <w:basedOn w:val="1"/>
    <w:next w:val="1"/>
    <w:link w:val="168"/>
    <w:autoRedefine/>
    <w:qFormat/>
    <w:locked/>
    <w:uiPriority w:val="39"/>
    <w:pPr>
      <w:spacing w:before="120" w:after="120"/>
      <w:jc w:val="left"/>
    </w:pPr>
    <w:rPr>
      <w:rFonts w:ascii="Calibri" w:hAnsi="Calibri"/>
      <w:b/>
      <w:bCs/>
      <w:caps/>
      <w:kern w:val="0"/>
      <w:sz w:val="20"/>
      <w:szCs w:val="20"/>
      <w:lang w:val="zh-CN"/>
    </w:rPr>
  </w:style>
  <w:style w:type="paragraph" w:styleId="60">
    <w:name w:val="List Continue 4"/>
    <w:basedOn w:val="1"/>
    <w:autoRedefine/>
    <w:qFormat/>
    <w:locked/>
    <w:uiPriority w:val="0"/>
    <w:pPr>
      <w:spacing w:before="60" w:after="120"/>
      <w:ind w:left="1680" w:firstLine="482"/>
    </w:pPr>
    <w:rPr>
      <w:rFonts w:ascii="Arial" w:hAnsi="Arial" w:eastAsia="仿宋_GB2312"/>
      <w:kern w:val="0"/>
      <w:sz w:val="24"/>
      <w:szCs w:val="20"/>
    </w:rPr>
  </w:style>
  <w:style w:type="paragraph" w:styleId="61">
    <w:name w:val="toc 4"/>
    <w:basedOn w:val="1"/>
    <w:next w:val="1"/>
    <w:autoRedefine/>
    <w:unhideWhenUsed/>
    <w:qFormat/>
    <w:locked/>
    <w:uiPriority w:val="39"/>
    <w:pPr>
      <w:ind w:left="630"/>
      <w:jc w:val="left"/>
    </w:pPr>
    <w:rPr>
      <w:rFonts w:cs="Calibri"/>
      <w:sz w:val="18"/>
      <w:szCs w:val="18"/>
    </w:rPr>
  </w:style>
  <w:style w:type="paragraph" w:styleId="62">
    <w:name w:val="index heading"/>
    <w:basedOn w:val="1"/>
    <w:next w:val="63"/>
    <w:autoRedefine/>
    <w:qFormat/>
    <w:locked/>
    <w:uiPriority w:val="0"/>
    <w:pPr>
      <w:spacing w:line="500" w:lineRule="atLeast"/>
    </w:pPr>
    <w:rPr>
      <w:rFonts w:hint="eastAsia" w:ascii="仿宋_GB2312" w:eastAsia="仿宋_GB2312"/>
      <w:sz w:val="28"/>
      <w:szCs w:val="20"/>
    </w:rPr>
  </w:style>
  <w:style w:type="paragraph" w:styleId="63">
    <w:name w:val="index 1"/>
    <w:basedOn w:val="1"/>
    <w:next w:val="1"/>
    <w:autoRedefine/>
    <w:unhideWhenUsed/>
    <w:qFormat/>
    <w:locked/>
    <w:uiPriority w:val="0"/>
  </w:style>
  <w:style w:type="paragraph" w:styleId="64">
    <w:name w:val="Subtitle"/>
    <w:basedOn w:val="1"/>
    <w:link w:val="169"/>
    <w:autoRedefine/>
    <w:qFormat/>
    <w:locked/>
    <w:uiPriority w:val="0"/>
    <w:pPr>
      <w:spacing w:before="240" w:after="60" w:line="312" w:lineRule="auto"/>
      <w:ind w:firstLine="482"/>
      <w:jc w:val="center"/>
      <w:outlineLvl w:val="1"/>
    </w:pPr>
    <w:rPr>
      <w:rFonts w:ascii="Arial" w:hAnsi="Arial" w:eastAsia="仿宋_GB2312"/>
      <w:b/>
      <w:bCs/>
      <w:kern w:val="28"/>
      <w:sz w:val="32"/>
      <w:szCs w:val="32"/>
      <w:lang w:val="zh-CN"/>
    </w:rPr>
  </w:style>
  <w:style w:type="paragraph" w:styleId="65">
    <w:name w:val="List Number 5"/>
    <w:basedOn w:val="1"/>
    <w:autoRedefine/>
    <w:qFormat/>
    <w:locked/>
    <w:uiPriority w:val="0"/>
    <w:pPr>
      <w:tabs>
        <w:tab w:val="left" w:pos="420"/>
      </w:tabs>
      <w:spacing w:before="60"/>
      <w:ind w:left="420" w:hanging="420"/>
    </w:pPr>
    <w:rPr>
      <w:rFonts w:ascii="Arial" w:hAnsi="Arial" w:eastAsia="仿宋_GB2312"/>
      <w:kern w:val="0"/>
      <w:sz w:val="24"/>
      <w:szCs w:val="20"/>
    </w:rPr>
  </w:style>
  <w:style w:type="paragraph" w:styleId="66">
    <w:name w:val="List"/>
    <w:basedOn w:val="1"/>
    <w:autoRedefine/>
    <w:qFormat/>
    <w:locked/>
    <w:uiPriority w:val="0"/>
    <w:pPr>
      <w:spacing w:line="300" w:lineRule="exact"/>
      <w:ind w:left="403" w:right="-132" w:rightChars="-63" w:hanging="403"/>
      <w:jc w:val="center"/>
    </w:pPr>
    <w:rPr>
      <w:rFonts w:ascii="仿宋_GB2312" w:eastAsia="仿宋_GB2312"/>
      <w:szCs w:val="21"/>
    </w:rPr>
  </w:style>
  <w:style w:type="paragraph" w:styleId="67">
    <w:name w:val="footnote text"/>
    <w:basedOn w:val="1"/>
    <w:link w:val="170"/>
    <w:autoRedefine/>
    <w:qFormat/>
    <w:locked/>
    <w:uiPriority w:val="0"/>
    <w:pPr>
      <w:snapToGrid w:val="0"/>
      <w:spacing w:before="60"/>
      <w:ind w:firstLine="482"/>
      <w:jc w:val="left"/>
    </w:pPr>
    <w:rPr>
      <w:rFonts w:ascii="Arial" w:hAnsi="Arial" w:eastAsia="仿宋_GB2312"/>
      <w:kern w:val="0"/>
      <w:sz w:val="18"/>
      <w:szCs w:val="18"/>
      <w:lang w:val="zh-CN"/>
    </w:rPr>
  </w:style>
  <w:style w:type="paragraph" w:styleId="68">
    <w:name w:val="toc 6"/>
    <w:basedOn w:val="1"/>
    <w:next w:val="1"/>
    <w:autoRedefine/>
    <w:unhideWhenUsed/>
    <w:qFormat/>
    <w:locked/>
    <w:uiPriority w:val="39"/>
    <w:pPr>
      <w:ind w:left="1050"/>
      <w:jc w:val="left"/>
    </w:pPr>
    <w:rPr>
      <w:rFonts w:cs="Calibri"/>
      <w:sz w:val="18"/>
      <w:szCs w:val="18"/>
    </w:rPr>
  </w:style>
  <w:style w:type="paragraph" w:styleId="69">
    <w:name w:val="List 5"/>
    <w:basedOn w:val="1"/>
    <w:autoRedefine/>
    <w:qFormat/>
    <w:locked/>
    <w:uiPriority w:val="0"/>
    <w:pPr>
      <w:spacing w:before="60"/>
      <w:ind w:left="2100" w:hanging="420"/>
    </w:pPr>
    <w:rPr>
      <w:rFonts w:ascii="Arial" w:hAnsi="Arial" w:eastAsia="仿宋_GB2312"/>
      <w:kern w:val="0"/>
      <w:sz w:val="24"/>
      <w:szCs w:val="20"/>
    </w:rPr>
  </w:style>
  <w:style w:type="paragraph" w:styleId="70">
    <w:name w:val="Body Text Indent 3"/>
    <w:basedOn w:val="1"/>
    <w:link w:val="130"/>
    <w:autoRedefine/>
    <w:qFormat/>
    <w:locked/>
    <w:uiPriority w:val="0"/>
    <w:pPr>
      <w:spacing w:after="120"/>
      <w:ind w:left="420" w:leftChars="200"/>
    </w:pPr>
    <w:rPr>
      <w:sz w:val="16"/>
      <w:szCs w:val="16"/>
      <w:lang w:val="zh-CN"/>
    </w:rPr>
  </w:style>
  <w:style w:type="paragraph" w:styleId="71">
    <w:name w:val="index 7"/>
    <w:basedOn w:val="1"/>
    <w:next w:val="1"/>
    <w:autoRedefine/>
    <w:qFormat/>
    <w:locked/>
    <w:uiPriority w:val="0"/>
    <w:pPr>
      <w:adjustRightInd w:val="0"/>
      <w:snapToGrid w:val="0"/>
      <w:spacing w:line="300" w:lineRule="auto"/>
      <w:ind w:left="1200" w:leftChars="1200"/>
    </w:pPr>
    <w:rPr>
      <w:rFonts w:ascii="仿宋_GB2312" w:eastAsia="仿宋_GB2312"/>
      <w:sz w:val="28"/>
    </w:rPr>
  </w:style>
  <w:style w:type="paragraph" w:styleId="72">
    <w:name w:val="index 9"/>
    <w:basedOn w:val="1"/>
    <w:next w:val="1"/>
    <w:autoRedefine/>
    <w:qFormat/>
    <w:locked/>
    <w:uiPriority w:val="0"/>
    <w:pPr>
      <w:adjustRightInd w:val="0"/>
      <w:snapToGrid w:val="0"/>
      <w:spacing w:line="300" w:lineRule="auto"/>
      <w:ind w:left="1600" w:leftChars="1600"/>
    </w:pPr>
    <w:rPr>
      <w:rFonts w:ascii="仿宋_GB2312" w:eastAsia="仿宋_GB2312"/>
      <w:sz w:val="28"/>
    </w:rPr>
  </w:style>
  <w:style w:type="paragraph" w:styleId="73">
    <w:name w:val="table of figures"/>
    <w:basedOn w:val="1"/>
    <w:next w:val="1"/>
    <w:autoRedefine/>
    <w:qFormat/>
    <w:locked/>
    <w:uiPriority w:val="0"/>
    <w:pPr>
      <w:spacing w:line="500" w:lineRule="exact"/>
      <w:jc w:val="center"/>
    </w:pPr>
    <w:rPr>
      <w:rFonts w:ascii="仿宋_GB2312" w:eastAsia="仿宋_GB2312"/>
      <w:sz w:val="28"/>
    </w:rPr>
  </w:style>
  <w:style w:type="paragraph" w:styleId="74">
    <w:name w:val="toc 2"/>
    <w:basedOn w:val="1"/>
    <w:next w:val="1"/>
    <w:autoRedefine/>
    <w:unhideWhenUsed/>
    <w:qFormat/>
    <w:locked/>
    <w:uiPriority w:val="39"/>
    <w:pPr>
      <w:ind w:left="210"/>
      <w:jc w:val="left"/>
    </w:pPr>
    <w:rPr>
      <w:rFonts w:cs="Calibri"/>
      <w:smallCaps/>
      <w:sz w:val="20"/>
      <w:szCs w:val="20"/>
    </w:rPr>
  </w:style>
  <w:style w:type="paragraph" w:styleId="75">
    <w:name w:val="toc 9"/>
    <w:next w:val="1"/>
    <w:autoRedefine/>
    <w:qFormat/>
    <w:locked/>
    <w:uiPriority w:val="39"/>
    <w:pPr>
      <w:wordWrap w:val="0"/>
      <w:ind w:left="2975"/>
      <w:jc w:val="both"/>
    </w:pPr>
    <w:rPr>
      <w:rFonts w:ascii="Times New Roman" w:hAnsi="Times New Roman" w:eastAsia="宋体" w:cs="Times New Roman"/>
      <w:sz w:val="21"/>
      <w:szCs w:val="22"/>
      <w:lang w:val="en-US" w:eastAsia="zh-CN" w:bidi="ar-SA"/>
    </w:rPr>
  </w:style>
  <w:style w:type="paragraph" w:styleId="76">
    <w:name w:val="Body Text 2"/>
    <w:basedOn w:val="1"/>
    <w:link w:val="171"/>
    <w:autoRedefine/>
    <w:qFormat/>
    <w:locked/>
    <w:uiPriority w:val="0"/>
    <w:rPr>
      <w:b/>
      <w:bCs/>
      <w:kern w:val="0"/>
      <w:sz w:val="28"/>
      <w:szCs w:val="20"/>
      <w:lang w:val="zh-CN"/>
    </w:rPr>
  </w:style>
  <w:style w:type="paragraph" w:styleId="77">
    <w:name w:val="List 4"/>
    <w:basedOn w:val="1"/>
    <w:autoRedefine/>
    <w:qFormat/>
    <w:locked/>
    <w:uiPriority w:val="0"/>
    <w:pPr>
      <w:spacing w:before="60"/>
      <w:ind w:left="1680" w:hanging="420"/>
    </w:pPr>
    <w:rPr>
      <w:rFonts w:ascii="Arial" w:hAnsi="Arial" w:eastAsia="仿宋_GB2312"/>
      <w:kern w:val="0"/>
      <w:sz w:val="24"/>
      <w:szCs w:val="20"/>
    </w:rPr>
  </w:style>
  <w:style w:type="paragraph" w:styleId="78">
    <w:name w:val="List Continue 2"/>
    <w:basedOn w:val="1"/>
    <w:autoRedefine/>
    <w:qFormat/>
    <w:locked/>
    <w:uiPriority w:val="0"/>
    <w:pPr>
      <w:spacing w:before="60" w:after="120"/>
      <w:ind w:left="840" w:firstLine="482"/>
    </w:pPr>
    <w:rPr>
      <w:rFonts w:ascii="Arial" w:hAnsi="Arial" w:eastAsia="仿宋_GB2312"/>
      <w:kern w:val="0"/>
      <w:sz w:val="24"/>
      <w:szCs w:val="20"/>
    </w:rPr>
  </w:style>
  <w:style w:type="paragraph" w:styleId="79">
    <w:name w:val="Message Header"/>
    <w:basedOn w:val="1"/>
    <w:link w:val="172"/>
    <w:autoRedefine/>
    <w:qFormat/>
    <w:locked/>
    <w:uiPriority w:val="0"/>
    <w:pPr>
      <w:pBdr>
        <w:top w:val="single" w:color="auto" w:sz="6" w:space="1"/>
        <w:left w:val="single" w:color="auto" w:sz="6" w:space="1"/>
        <w:bottom w:val="single" w:color="auto" w:sz="6" w:space="1"/>
        <w:right w:val="single" w:color="auto" w:sz="6" w:space="1"/>
      </w:pBdr>
      <w:shd w:val="pct20" w:color="auto" w:fill="auto"/>
      <w:spacing w:before="60"/>
      <w:ind w:left="1080" w:hanging="1080"/>
    </w:pPr>
    <w:rPr>
      <w:rFonts w:ascii="Arial" w:hAnsi="Arial" w:eastAsia="仿宋_GB2312"/>
      <w:kern w:val="0"/>
      <w:sz w:val="24"/>
      <w:szCs w:val="20"/>
      <w:lang w:val="zh-CN"/>
    </w:rPr>
  </w:style>
  <w:style w:type="paragraph" w:styleId="80">
    <w:name w:val="HTML Preformatted"/>
    <w:basedOn w:val="1"/>
    <w:link w:val="173"/>
    <w:autoRedefine/>
    <w:qFormat/>
    <w:locked/>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kern w:val="0"/>
      <w:sz w:val="24"/>
      <w:lang w:val="zh-CN"/>
    </w:rPr>
  </w:style>
  <w:style w:type="paragraph" w:styleId="81">
    <w:name w:val="Normal (Web)"/>
    <w:basedOn w:val="1"/>
    <w:link w:val="131"/>
    <w:autoRedefine/>
    <w:qFormat/>
    <w:uiPriority w:val="99"/>
    <w:pPr>
      <w:widowControl/>
      <w:spacing w:before="100" w:beforeAutospacing="1" w:after="100" w:afterAutospacing="1"/>
      <w:jc w:val="left"/>
    </w:pPr>
    <w:rPr>
      <w:rFonts w:ascii="宋体" w:hAnsi="宋体"/>
      <w:kern w:val="0"/>
      <w:sz w:val="24"/>
      <w:szCs w:val="20"/>
      <w:lang w:val="zh-CN"/>
    </w:rPr>
  </w:style>
  <w:style w:type="paragraph" w:styleId="82">
    <w:name w:val="List Continue 3"/>
    <w:basedOn w:val="1"/>
    <w:autoRedefine/>
    <w:qFormat/>
    <w:locked/>
    <w:uiPriority w:val="0"/>
    <w:pPr>
      <w:spacing w:before="60" w:after="120"/>
      <w:ind w:left="1260" w:firstLine="482"/>
    </w:pPr>
    <w:rPr>
      <w:rFonts w:ascii="Arial" w:hAnsi="Arial" w:eastAsia="仿宋_GB2312"/>
      <w:kern w:val="0"/>
      <w:sz w:val="24"/>
      <w:szCs w:val="20"/>
    </w:rPr>
  </w:style>
  <w:style w:type="paragraph" w:styleId="83">
    <w:name w:val="index 2"/>
    <w:basedOn w:val="1"/>
    <w:next w:val="1"/>
    <w:autoRedefine/>
    <w:qFormat/>
    <w:locked/>
    <w:uiPriority w:val="0"/>
    <w:pPr>
      <w:adjustRightInd w:val="0"/>
      <w:snapToGrid w:val="0"/>
      <w:spacing w:line="300" w:lineRule="auto"/>
      <w:ind w:left="200" w:leftChars="200"/>
    </w:pPr>
    <w:rPr>
      <w:rFonts w:ascii="仿宋_GB2312" w:eastAsia="仿宋_GB2312"/>
      <w:sz w:val="28"/>
    </w:rPr>
  </w:style>
  <w:style w:type="paragraph" w:styleId="84">
    <w:name w:val="Title"/>
    <w:basedOn w:val="1"/>
    <w:next w:val="1"/>
    <w:link w:val="174"/>
    <w:autoRedefine/>
    <w:qFormat/>
    <w:locked/>
    <w:uiPriority w:val="0"/>
    <w:pPr>
      <w:widowControl/>
      <w:spacing w:before="240" w:after="60" w:line="264" w:lineRule="auto"/>
      <w:ind w:left="5" w:right="142" w:hanging="5"/>
      <w:jc w:val="center"/>
      <w:outlineLvl w:val="0"/>
    </w:pPr>
    <w:rPr>
      <w:rFonts w:ascii="Cambria" w:hAnsi="Cambria"/>
      <w:b/>
      <w:bCs/>
      <w:color w:val="000000"/>
      <w:kern w:val="0"/>
      <w:sz w:val="32"/>
      <w:szCs w:val="32"/>
      <w:lang w:val="zh-CN"/>
    </w:rPr>
  </w:style>
  <w:style w:type="paragraph" w:styleId="85">
    <w:name w:val="annotation subject"/>
    <w:basedOn w:val="28"/>
    <w:next w:val="28"/>
    <w:link w:val="132"/>
    <w:autoRedefine/>
    <w:qFormat/>
    <w:uiPriority w:val="0"/>
    <w:rPr>
      <w:b/>
      <w:kern w:val="2"/>
    </w:rPr>
  </w:style>
  <w:style w:type="paragraph" w:styleId="86">
    <w:name w:val="Body Text First Indent"/>
    <w:basedOn w:val="34"/>
    <w:next w:val="87"/>
    <w:link w:val="175"/>
    <w:autoRedefine/>
    <w:qFormat/>
    <w:locked/>
    <w:uiPriority w:val="0"/>
    <w:pPr>
      <w:widowControl w:val="0"/>
      <w:snapToGrid/>
      <w:spacing w:before="0" w:after="120" w:line="240" w:lineRule="auto"/>
      <w:ind w:right="0" w:firstLine="420" w:firstLineChars="100"/>
    </w:pPr>
  </w:style>
  <w:style w:type="paragraph" w:styleId="87">
    <w:name w:val="Body Text First Indent 2"/>
    <w:basedOn w:val="35"/>
    <w:next w:val="1"/>
    <w:link w:val="176"/>
    <w:autoRedefine/>
    <w:qFormat/>
    <w:locked/>
    <w:uiPriority w:val="0"/>
    <w:pPr>
      <w:ind w:firstLine="420" w:firstLineChars="200"/>
    </w:pPr>
  </w:style>
  <w:style w:type="table" w:styleId="89">
    <w:name w:val="Table Grid"/>
    <w:basedOn w:val="88"/>
    <w:autoRedefine/>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1">
    <w:name w:val="Strong"/>
    <w:autoRedefine/>
    <w:qFormat/>
    <w:locked/>
    <w:uiPriority w:val="22"/>
    <w:rPr>
      <w:b/>
      <w:bCs/>
    </w:rPr>
  </w:style>
  <w:style w:type="character" w:styleId="92">
    <w:name w:val="page number"/>
    <w:basedOn w:val="90"/>
    <w:autoRedefine/>
    <w:qFormat/>
    <w:locked/>
    <w:uiPriority w:val="0"/>
  </w:style>
  <w:style w:type="character" w:styleId="93">
    <w:name w:val="FollowedHyperlink"/>
    <w:autoRedefine/>
    <w:unhideWhenUsed/>
    <w:qFormat/>
    <w:locked/>
    <w:uiPriority w:val="99"/>
    <w:rPr>
      <w:color w:val="800080"/>
      <w:u w:val="single"/>
    </w:rPr>
  </w:style>
  <w:style w:type="character" w:styleId="94">
    <w:name w:val="Emphasis"/>
    <w:autoRedefine/>
    <w:qFormat/>
    <w:locked/>
    <w:uiPriority w:val="20"/>
    <w:rPr>
      <w:color w:val="CC0033"/>
    </w:rPr>
  </w:style>
  <w:style w:type="character" w:styleId="95">
    <w:name w:val="line number"/>
    <w:autoRedefine/>
    <w:qFormat/>
    <w:locked/>
    <w:uiPriority w:val="0"/>
    <w:rPr>
      <w:rFonts w:ascii="宋体" w:hAnsi="宋体" w:eastAsia="宋体"/>
      <w:b/>
      <w:spacing w:val="10"/>
      <w:kern w:val="2"/>
      <w:sz w:val="18"/>
      <w:szCs w:val="18"/>
      <w:lang w:val="en-US" w:eastAsia="zh-CN" w:bidi="ar-SA"/>
    </w:rPr>
  </w:style>
  <w:style w:type="character" w:styleId="96">
    <w:name w:val="HTML Definition"/>
    <w:autoRedefine/>
    <w:qFormat/>
    <w:locked/>
    <w:uiPriority w:val="0"/>
    <w:rPr>
      <w:rFonts w:ascii="黑体" w:hAnsi="Arial" w:eastAsia="华文中宋" w:cs="宋体"/>
      <w:i/>
      <w:iCs/>
      <w:kern w:val="2"/>
      <w:sz w:val="44"/>
      <w:szCs w:val="44"/>
      <w:lang w:val="en-US" w:eastAsia="zh-CN" w:bidi="ar-SA"/>
    </w:rPr>
  </w:style>
  <w:style w:type="character" w:styleId="97">
    <w:name w:val="HTML Typewriter"/>
    <w:autoRedefine/>
    <w:qFormat/>
    <w:locked/>
    <w:uiPriority w:val="0"/>
    <w:rPr>
      <w:rFonts w:ascii="宋体" w:hAnsi="宋体" w:eastAsia="宋体" w:cs="宋体"/>
      <w:sz w:val="24"/>
      <w:szCs w:val="24"/>
    </w:rPr>
  </w:style>
  <w:style w:type="character" w:styleId="98">
    <w:name w:val="HTML Acronym"/>
    <w:autoRedefine/>
    <w:qFormat/>
    <w:locked/>
    <w:uiPriority w:val="0"/>
    <w:rPr>
      <w:rFonts w:ascii="宋体" w:hAnsi="宋体" w:eastAsia="宋体"/>
      <w:b/>
      <w:spacing w:val="10"/>
      <w:kern w:val="2"/>
      <w:sz w:val="18"/>
      <w:szCs w:val="18"/>
      <w:lang w:val="en-US" w:eastAsia="zh-CN" w:bidi="ar-SA"/>
    </w:rPr>
  </w:style>
  <w:style w:type="character" w:styleId="99">
    <w:name w:val="HTML Variable"/>
    <w:autoRedefine/>
    <w:qFormat/>
    <w:locked/>
    <w:uiPriority w:val="0"/>
    <w:rPr>
      <w:rFonts w:ascii="宋体" w:hAnsi="宋体" w:eastAsia="宋体"/>
      <w:b/>
      <w:i/>
      <w:iCs/>
      <w:spacing w:val="10"/>
      <w:kern w:val="2"/>
      <w:sz w:val="18"/>
      <w:szCs w:val="18"/>
      <w:lang w:val="en-US" w:eastAsia="zh-CN" w:bidi="ar-SA"/>
    </w:rPr>
  </w:style>
  <w:style w:type="character" w:styleId="100">
    <w:name w:val="Hyperlink"/>
    <w:autoRedefine/>
    <w:unhideWhenUsed/>
    <w:qFormat/>
    <w:locked/>
    <w:uiPriority w:val="99"/>
    <w:rPr>
      <w:color w:val="0563C1"/>
      <w:u w:val="single"/>
    </w:rPr>
  </w:style>
  <w:style w:type="character" w:styleId="101">
    <w:name w:val="HTML Code"/>
    <w:autoRedefine/>
    <w:qFormat/>
    <w:locked/>
    <w:uiPriority w:val="0"/>
    <w:rPr>
      <w:rFonts w:ascii="黑体" w:hAnsi="Courier New" w:eastAsia="黑体" w:cs="Courier New"/>
      <w:sz w:val="24"/>
      <w:szCs w:val="24"/>
    </w:rPr>
  </w:style>
  <w:style w:type="character" w:styleId="102">
    <w:name w:val="annotation reference"/>
    <w:autoRedefine/>
    <w:qFormat/>
    <w:uiPriority w:val="0"/>
    <w:rPr>
      <w:sz w:val="21"/>
    </w:rPr>
  </w:style>
  <w:style w:type="character" w:styleId="103">
    <w:name w:val="HTML Cite"/>
    <w:autoRedefine/>
    <w:qFormat/>
    <w:locked/>
    <w:uiPriority w:val="0"/>
    <w:rPr>
      <w:rFonts w:ascii="宋体" w:hAnsi="宋体" w:eastAsia="宋体"/>
      <w:b/>
      <w:i/>
      <w:iCs/>
      <w:spacing w:val="10"/>
      <w:kern w:val="2"/>
      <w:sz w:val="18"/>
      <w:szCs w:val="18"/>
      <w:lang w:val="en-US" w:eastAsia="zh-CN" w:bidi="ar-SA"/>
    </w:rPr>
  </w:style>
  <w:style w:type="character" w:styleId="104">
    <w:name w:val="footnote reference"/>
    <w:autoRedefine/>
    <w:unhideWhenUsed/>
    <w:qFormat/>
    <w:locked/>
    <w:uiPriority w:val="0"/>
    <w:rPr>
      <w:vertAlign w:val="superscript"/>
    </w:rPr>
  </w:style>
  <w:style w:type="character" w:styleId="105">
    <w:name w:val="HTML Keyboard"/>
    <w:autoRedefine/>
    <w:qFormat/>
    <w:locked/>
    <w:uiPriority w:val="0"/>
    <w:rPr>
      <w:rFonts w:ascii="Courier New" w:hAnsi="Courier New" w:cs="Courier New"/>
      <w:sz w:val="20"/>
      <w:szCs w:val="20"/>
    </w:rPr>
  </w:style>
  <w:style w:type="character" w:styleId="106">
    <w:name w:val="HTML Sample"/>
    <w:autoRedefine/>
    <w:qFormat/>
    <w:locked/>
    <w:uiPriority w:val="0"/>
    <w:rPr>
      <w:rFonts w:ascii="Courier New" w:hAnsi="Courier New" w:eastAsia="宋体" w:cs="Courier New"/>
      <w:b/>
      <w:spacing w:val="10"/>
      <w:kern w:val="2"/>
      <w:sz w:val="18"/>
      <w:szCs w:val="18"/>
      <w:lang w:val="en-US" w:eastAsia="zh-CN" w:bidi="ar-SA"/>
    </w:rPr>
  </w:style>
  <w:style w:type="paragraph" w:customStyle="1" w:styleId="107">
    <w:name w:val="Default"/>
    <w:basedOn w:val="108"/>
    <w:autoRedefine/>
    <w:qFormat/>
    <w:uiPriority w:val="0"/>
    <w:pPr>
      <w:autoSpaceDE w:val="0"/>
      <w:autoSpaceDN w:val="0"/>
      <w:adjustRightInd w:val="0"/>
      <w:spacing w:line="240" w:lineRule="exact"/>
    </w:pPr>
    <w:rPr>
      <w:rFonts w:ascii="宋体" w:hAnsi="宋体" w:eastAsia="宋体" w:cs="宋体"/>
      <w:color w:val="000000"/>
      <w:sz w:val="24"/>
    </w:rPr>
  </w:style>
  <w:style w:type="paragraph" w:customStyle="1" w:styleId="108">
    <w:name w:val="纯文本1"/>
    <w:basedOn w:val="1"/>
    <w:unhideWhenUsed/>
    <w:qFormat/>
    <w:uiPriority w:val="0"/>
    <w:pPr>
      <w:adjustRightInd w:val="0"/>
    </w:pPr>
    <w:rPr>
      <w:rFonts w:hint="eastAsia" w:ascii="宋体" w:hAnsi="Courier New"/>
      <w:sz w:val="24"/>
    </w:rPr>
  </w:style>
  <w:style w:type="paragraph" w:customStyle="1" w:styleId="109">
    <w:name w:val="标题 段落4级"/>
    <w:basedOn w:val="110"/>
    <w:next w:val="28"/>
    <w:autoRedefine/>
    <w:qFormat/>
    <w:uiPriority w:val="0"/>
    <w:pPr>
      <w:outlineLvl w:val="3"/>
    </w:pPr>
    <w:rPr>
      <w:rFonts w:cs="Calibri"/>
      <w:b/>
    </w:rPr>
  </w:style>
  <w:style w:type="paragraph" w:customStyle="1" w:styleId="110">
    <w:name w:val="正文 文本"/>
    <w:qFormat/>
    <w:uiPriority w:val="0"/>
    <w:pPr>
      <w:widowControl w:val="0"/>
      <w:snapToGrid w:val="0"/>
      <w:spacing w:line="500" w:lineRule="exact"/>
      <w:ind w:firstLine="200" w:firstLineChars="200"/>
      <w:jc w:val="both"/>
    </w:pPr>
    <w:rPr>
      <w:rFonts w:ascii="Times New Roman" w:hAnsi="Times New Roman" w:eastAsia="仿宋_GB2312" w:cs="Times New Roman"/>
      <w:kern w:val="2"/>
      <w:sz w:val="28"/>
      <w:szCs w:val="24"/>
      <w:lang w:val="en-US" w:eastAsia="zh-CN" w:bidi="ar-SA"/>
    </w:rPr>
  </w:style>
  <w:style w:type="paragraph" w:customStyle="1" w:styleId="111">
    <w:name w:val="UserStyle_0"/>
    <w:basedOn w:val="1"/>
    <w:qFormat/>
    <w:uiPriority w:val="0"/>
    <w:pPr>
      <w:snapToGrid w:val="0"/>
      <w:spacing w:line="480" w:lineRule="exact"/>
    </w:pPr>
    <w:rPr>
      <w:sz w:val="24"/>
      <w:szCs w:val="22"/>
    </w:rPr>
  </w:style>
  <w:style w:type="character" w:customStyle="1" w:styleId="112">
    <w:name w:val="页脚 字符1"/>
    <w:link w:val="55"/>
    <w:autoRedefine/>
    <w:qFormat/>
    <w:locked/>
    <w:uiPriority w:val="99"/>
    <w:rPr>
      <w:sz w:val="18"/>
    </w:rPr>
  </w:style>
  <w:style w:type="character" w:customStyle="1" w:styleId="113">
    <w:name w:val="标题 1 字符"/>
    <w:link w:val="3"/>
    <w:autoRedefine/>
    <w:qFormat/>
    <w:uiPriority w:val="0"/>
    <w:rPr>
      <w:rFonts w:eastAsia="黑体"/>
      <w:b/>
      <w:bCs/>
      <w:color w:val="000000"/>
      <w:kern w:val="44"/>
      <w:sz w:val="30"/>
      <w:szCs w:val="30"/>
    </w:rPr>
  </w:style>
  <w:style w:type="character" w:customStyle="1" w:styleId="114">
    <w:name w:val="标题 2 字符"/>
    <w:link w:val="4"/>
    <w:autoRedefine/>
    <w:qFormat/>
    <w:uiPriority w:val="0"/>
    <w:rPr>
      <w:rFonts w:ascii="Cambria" w:hAnsi="Cambria"/>
      <w:b/>
      <w:bCs/>
      <w:sz w:val="32"/>
      <w:szCs w:val="32"/>
    </w:rPr>
  </w:style>
  <w:style w:type="character" w:customStyle="1" w:styleId="115">
    <w:name w:val="标题 3 字符"/>
    <w:link w:val="5"/>
    <w:autoRedefine/>
    <w:qFormat/>
    <w:uiPriority w:val="9"/>
    <w:rPr>
      <w:b/>
      <w:bCs/>
      <w:kern w:val="2"/>
      <w:sz w:val="32"/>
      <w:szCs w:val="32"/>
    </w:rPr>
  </w:style>
  <w:style w:type="character" w:customStyle="1" w:styleId="116">
    <w:name w:val="标题 4 字符"/>
    <w:link w:val="6"/>
    <w:autoRedefine/>
    <w:qFormat/>
    <w:uiPriority w:val="0"/>
    <w:rPr>
      <w:rFonts w:ascii="Arial" w:hAnsi="Arial" w:eastAsia="黑体"/>
      <w:b/>
      <w:bCs/>
      <w:sz w:val="28"/>
      <w:szCs w:val="28"/>
    </w:rPr>
  </w:style>
  <w:style w:type="character" w:customStyle="1" w:styleId="117">
    <w:name w:val="标题 5 字符"/>
    <w:link w:val="7"/>
    <w:autoRedefine/>
    <w:qFormat/>
    <w:uiPriority w:val="0"/>
    <w:rPr>
      <w:b/>
      <w:sz w:val="28"/>
    </w:rPr>
  </w:style>
  <w:style w:type="character" w:customStyle="1" w:styleId="118">
    <w:name w:val="正文缩进 字符"/>
    <w:link w:val="9"/>
    <w:autoRedefine/>
    <w:qFormat/>
    <w:uiPriority w:val="99"/>
    <w:rPr>
      <w:kern w:val="2"/>
      <w:sz w:val="21"/>
      <w:szCs w:val="24"/>
    </w:rPr>
  </w:style>
  <w:style w:type="character" w:customStyle="1" w:styleId="119">
    <w:name w:val="标题 6 字符"/>
    <w:link w:val="8"/>
    <w:autoRedefine/>
    <w:qFormat/>
    <w:uiPriority w:val="0"/>
    <w:rPr>
      <w:sz w:val="28"/>
    </w:rPr>
  </w:style>
  <w:style w:type="character" w:customStyle="1" w:styleId="120">
    <w:name w:val="标题 7 字符"/>
    <w:link w:val="10"/>
    <w:autoRedefine/>
    <w:qFormat/>
    <w:uiPriority w:val="0"/>
    <w:rPr>
      <w:b/>
      <w:sz w:val="24"/>
    </w:rPr>
  </w:style>
  <w:style w:type="character" w:customStyle="1" w:styleId="121">
    <w:name w:val="标题 8 字符"/>
    <w:link w:val="11"/>
    <w:autoRedefine/>
    <w:qFormat/>
    <w:uiPriority w:val="0"/>
    <w:rPr>
      <w:rFonts w:ascii="Arial" w:hAnsi="Arial" w:eastAsia="黑体"/>
      <w:sz w:val="24"/>
    </w:rPr>
  </w:style>
  <w:style w:type="character" w:customStyle="1" w:styleId="122">
    <w:name w:val="标题 9 字符"/>
    <w:link w:val="12"/>
    <w:autoRedefine/>
    <w:qFormat/>
    <w:uiPriority w:val="0"/>
    <w:rPr>
      <w:rFonts w:ascii="Arial" w:hAnsi="Arial" w:eastAsia="黑体"/>
    </w:rPr>
  </w:style>
  <w:style w:type="character" w:customStyle="1" w:styleId="123">
    <w:name w:val="批注文字 字符"/>
    <w:link w:val="28"/>
    <w:autoRedefine/>
    <w:qFormat/>
    <w:locked/>
    <w:uiPriority w:val="0"/>
    <w:rPr>
      <w:rFonts w:ascii="Times New Roman" w:hAnsi="Times New Roman" w:eastAsia="宋体"/>
      <w:sz w:val="24"/>
    </w:rPr>
  </w:style>
  <w:style w:type="character" w:customStyle="1" w:styleId="124">
    <w:name w:val="正文文本 字符"/>
    <w:link w:val="34"/>
    <w:autoRedefine/>
    <w:qFormat/>
    <w:locked/>
    <w:uiPriority w:val="0"/>
    <w:rPr>
      <w:sz w:val="18"/>
    </w:rPr>
  </w:style>
  <w:style w:type="character" w:customStyle="1" w:styleId="125">
    <w:name w:val="正文文本缩进 字符"/>
    <w:link w:val="35"/>
    <w:autoRedefine/>
    <w:qFormat/>
    <w:locked/>
    <w:uiPriority w:val="99"/>
    <w:rPr>
      <w:rFonts w:ascii="Times New Roman" w:hAnsi="Times New Roman" w:eastAsia="宋体"/>
      <w:sz w:val="24"/>
    </w:rPr>
  </w:style>
  <w:style w:type="character" w:customStyle="1" w:styleId="126">
    <w:name w:val="日期 字符1"/>
    <w:link w:val="50"/>
    <w:autoRedefine/>
    <w:qFormat/>
    <w:locked/>
    <w:uiPriority w:val="0"/>
    <w:rPr>
      <w:rFonts w:ascii="Times New Roman" w:hAnsi="Times New Roman" w:eastAsia="宋体"/>
      <w:sz w:val="24"/>
    </w:rPr>
  </w:style>
  <w:style w:type="character" w:customStyle="1" w:styleId="127">
    <w:name w:val="正文文本缩进 2 字符"/>
    <w:link w:val="51"/>
    <w:autoRedefine/>
    <w:qFormat/>
    <w:uiPriority w:val="0"/>
    <w:rPr>
      <w:kern w:val="2"/>
      <w:sz w:val="21"/>
      <w:szCs w:val="24"/>
    </w:rPr>
  </w:style>
  <w:style w:type="character" w:customStyle="1" w:styleId="128">
    <w:name w:val="批注框文本 字符"/>
    <w:link w:val="54"/>
    <w:autoRedefine/>
    <w:qFormat/>
    <w:locked/>
    <w:uiPriority w:val="99"/>
    <w:rPr>
      <w:rFonts w:ascii="Times New Roman" w:hAnsi="Times New Roman" w:eastAsia="宋体"/>
      <w:sz w:val="18"/>
    </w:rPr>
  </w:style>
  <w:style w:type="character" w:customStyle="1" w:styleId="129">
    <w:name w:val="页眉 字符"/>
    <w:link w:val="57"/>
    <w:autoRedefine/>
    <w:qFormat/>
    <w:locked/>
    <w:uiPriority w:val="0"/>
    <w:rPr>
      <w:sz w:val="18"/>
    </w:rPr>
  </w:style>
  <w:style w:type="character" w:customStyle="1" w:styleId="130">
    <w:name w:val="正文文本缩进 3 字符"/>
    <w:link w:val="70"/>
    <w:autoRedefine/>
    <w:qFormat/>
    <w:uiPriority w:val="0"/>
    <w:rPr>
      <w:kern w:val="2"/>
      <w:sz w:val="16"/>
      <w:szCs w:val="16"/>
    </w:rPr>
  </w:style>
  <w:style w:type="character" w:customStyle="1" w:styleId="131">
    <w:name w:val="普通(网站) 字符"/>
    <w:link w:val="81"/>
    <w:autoRedefine/>
    <w:qFormat/>
    <w:locked/>
    <w:uiPriority w:val="99"/>
    <w:rPr>
      <w:rFonts w:ascii="宋体" w:hAnsi="宋体" w:eastAsia="宋体"/>
      <w:sz w:val="24"/>
    </w:rPr>
  </w:style>
  <w:style w:type="character" w:customStyle="1" w:styleId="132">
    <w:name w:val="批注主题 字符"/>
    <w:link w:val="85"/>
    <w:autoRedefine/>
    <w:qFormat/>
    <w:locked/>
    <w:uiPriority w:val="0"/>
    <w:rPr>
      <w:rFonts w:ascii="Times New Roman" w:hAnsi="Times New Roman" w:eastAsia="宋体"/>
      <w:b/>
      <w:kern w:val="2"/>
      <w:sz w:val="24"/>
    </w:rPr>
  </w:style>
  <w:style w:type="character" w:customStyle="1" w:styleId="133">
    <w:name w:val="页脚 字符"/>
    <w:basedOn w:val="90"/>
    <w:autoRedefine/>
    <w:qFormat/>
    <w:uiPriority w:val="99"/>
  </w:style>
  <w:style w:type="character" w:customStyle="1" w:styleId="134">
    <w:name w:val="正文文本 字符1"/>
    <w:autoRedefine/>
    <w:semiHidden/>
    <w:qFormat/>
    <w:uiPriority w:val="99"/>
    <w:rPr>
      <w:rFonts w:ascii="Times New Roman" w:hAnsi="Times New Roman" w:eastAsia="宋体"/>
      <w:sz w:val="24"/>
    </w:rPr>
  </w:style>
  <w:style w:type="character" w:customStyle="1" w:styleId="135">
    <w:name w:val="表格 Char"/>
    <w:link w:val="136"/>
    <w:autoRedefine/>
    <w:qFormat/>
    <w:locked/>
    <w:uiPriority w:val="99"/>
    <w:rPr>
      <w:rFonts w:ascii="宋体"/>
      <w:sz w:val="21"/>
    </w:rPr>
  </w:style>
  <w:style w:type="paragraph" w:customStyle="1" w:styleId="136">
    <w:name w:val="表格"/>
    <w:basedOn w:val="1"/>
    <w:next w:val="1"/>
    <w:link w:val="135"/>
    <w:autoRedefine/>
    <w:qFormat/>
    <w:uiPriority w:val="99"/>
    <w:pPr>
      <w:adjustRightInd w:val="0"/>
      <w:snapToGrid w:val="0"/>
      <w:spacing w:beforeLines="10" w:afterLines="10" w:line="259" w:lineRule="auto"/>
      <w:jc w:val="center"/>
    </w:pPr>
    <w:rPr>
      <w:rFonts w:ascii="宋体"/>
      <w:kern w:val="0"/>
      <w:szCs w:val="20"/>
      <w:lang w:val="zh-CN"/>
    </w:rPr>
  </w:style>
  <w:style w:type="character" w:customStyle="1" w:styleId="137">
    <w:name w:val="日期 字符"/>
    <w:autoRedefine/>
    <w:semiHidden/>
    <w:qFormat/>
    <w:uiPriority w:val="99"/>
    <w:rPr>
      <w:rFonts w:ascii="Times New Roman" w:hAnsi="Times New Roman" w:eastAsia="宋体"/>
      <w:sz w:val="24"/>
    </w:rPr>
  </w:style>
  <w:style w:type="character" w:customStyle="1" w:styleId="138">
    <w:name w:val="批注文字 字符1"/>
    <w:autoRedefine/>
    <w:semiHidden/>
    <w:qFormat/>
    <w:uiPriority w:val="99"/>
    <w:rPr>
      <w:rFonts w:ascii="Times New Roman" w:hAnsi="Times New Roman" w:eastAsia="宋体"/>
      <w:sz w:val="24"/>
    </w:rPr>
  </w:style>
  <w:style w:type="paragraph" w:customStyle="1" w:styleId="139">
    <w:name w:val="正文_10"/>
    <w:autoRedefine/>
    <w:qFormat/>
    <w:uiPriority w:val="99"/>
    <w:pPr>
      <w:widowControl w:val="0"/>
      <w:jc w:val="both"/>
    </w:pPr>
    <w:rPr>
      <w:rFonts w:ascii="Times New Roman" w:hAnsi="Times New Roman" w:eastAsia="宋体" w:cs="Times New Roman"/>
      <w:kern w:val="2"/>
      <w:sz w:val="21"/>
      <w:szCs w:val="22"/>
      <w:lang w:val="en-US" w:eastAsia="zh-CN" w:bidi="ar-SA"/>
    </w:rPr>
  </w:style>
  <w:style w:type="paragraph" w:customStyle="1" w:styleId="140">
    <w:name w:val="普通(网站)2"/>
    <w:basedOn w:val="1"/>
    <w:autoRedefine/>
    <w:qFormat/>
    <w:uiPriority w:val="99"/>
    <w:pPr>
      <w:widowControl/>
      <w:spacing w:before="100" w:beforeAutospacing="1" w:after="100" w:afterAutospacing="1"/>
      <w:jc w:val="left"/>
    </w:pPr>
    <w:rPr>
      <w:rFonts w:ascii="宋体" w:hAnsi="宋体"/>
      <w:sz w:val="24"/>
      <w:szCs w:val="20"/>
    </w:rPr>
  </w:style>
  <w:style w:type="paragraph" w:customStyle="1" w:styleId="141">
    <w:name w:val="表格内文字"/>
    <w:basedOn w:val="1"/>
    <w:link w:val="142"/>
    <w:autoRedefine/>
    <w:qFormat/>
    <w:uiPriority w:val="0"/>
    <w:pPr>
      <w:kinsoku w:val="0"/>
      <w:wordWrap w:val="0"/>
      <w:overflowPunct w:val="0"/>
      <w:jc w:val="center"/>
    </w:pPr>
    <w:rPr>
      <w:rFonts w:ascii="Calibri" w:hAnsi="Calibri"/>
      <w:snapToGrid w:val="0"/>
      <w:kern w:val="0"/>
      <w:lang w:val="zh-CN"/>
    </w:rPr>
  </w:style>
  <w:style w:type="character" w:customStyle="1" w:styleId="142">
    <w:name w:val="表格内文字 Char"/>
    <w:link w:val="141"/>
    <w:autoRedefine/>
    <w:qFormat/>
    <w:uiPriority w:val="0"/>
    <w:rPr>
      <w:rFonts w:ascii="Calibri" w:hAnsi="Calibri" w:cs="宋体"/>
      <w:snapToGrid w:val="0"/>
      <w:sz w:val="21"/>
      <w:szCs w:val="24"/>
    </w:rPr>
  </w:style>
  <w:style w:type="paragraph" w:styleId="143">
    <w:name w:val="List Paragraph"/>
    <w:basedOn w:val="1"/>
    <w:autoRedefine/>
    <w:qFormat/>
    <w:uiPriority w:val="1"/>
    <w:pPr>
      <w:widowControl/>
      <w:ind w:firstLine="420" w:firstLineChars="200"/>
      <w:jc w:val="left"/>
    </w:pPr>
    <w:rPr>
      <w:rFonts w:ascii="宋体" w:hAnsi="宋体" w:cs="宋体"/>
      <w:kern w:val="0"/>
      <w:sz w:val="24"/>
    </w:rPr>
  </w:style>
  <w:style w:type="paragraph" w:customStyle="1" w:styleId="144">
    <w:name w:val="简单回函地址"/>
    <w:basedOn w:val="1"/>
    <w:autoRedefine/>
    <w:qFormat/>
    <w:uiPriority w:val="0"/>
    <w:pPr>
      <w:widowControl/>
      <w:jc w:val="left"/>
    </w:pPr>
    <w:rPr>
      <w:rFonts w:ascii="宋体" w:hAnsi="宋体" w:cs="宋体"/>
      <w:kern w:val="0"/>
      <w:sz w:val="24"/>
    </w:rPr>
  </w:style>
  <w:style w:type="paragraph" w:customStyle="1" w:styleId="145">
    <w:name w:val="Char Char Char Char Char Char Char"/>
    <w:basedOn w:val="1"/>
    <w:autoRedefine/>
    <w:qFormat/>
    <w:uiPriority w:val="0"/>
    <w:pPr>
      <w:widowControl/>
      <w:spacing w:after="160"/>
      <w:jc w:val="left"/>
    </w:pPr>
    <w:rPr>
      <w:rFonts w:ascii="宋体" w:hAnsi="宋体" w:cs="宋体"/>
    </w:rPr>
  </w:style>
  <w:style w:type="paragraph" w:customStyle="1" w:styleId="146">
    <w:name w:val="表格文字2"/>
    <w:basedOn w:val="1"/>
    <w:autoRedefine/>
    <w:qFormat/>
    <w:uiPriority w:val="0"/>
    <w:pPr>
      <w:tabs>
        <w:tab w:val="left" w:pos="560"/>
      </w:tabs>
      <w:overflowPunct w:val="0"/>
      <w:adjustRightInd w:val="0"/>
      <w:snapToGrid w:val="0"/>
      <w:spacing w:line="400" w:lineRule="exact"/>
      <w:jc w:val="center"/>
    </w:pPr>
    <w:rPr>
      <w:rFonts w:cs="宋体"/>
      <w:snapToGrid w:val="0"/>
      <w:color w:val="000000"/>
      <w:kern w:val="0"/>
      <w:szCs w:val="21"/>
    </w:rPr>
  </w:style>
  <w:style w:type="paragraph" w:customStyle="1" w:styleId="147">
    <w:name w:val="Table Paragraph"/>
    <w:basedOn w:val="1"/>
    <w:autoRedefine/>
    <w:qFormat/>
    <w:uiPriority w:val="1"/>
    <w:pPr>
      <w:autoSpaceDE w:val="0"/>
      <w:autoSpaceDN w:val="0"/>
      <w:jc w:val="left"/>
    </w:pPr>
    <w:rPr>
      <w:rFonts w:ascii="宋体" w:hAnsi="宋体" w:cs="宋体"/>
      <w:kern w:val="0"/>
      <w:sz w:val="22"/>
      <w:szCs w:val="22"/>
      <w:lang w:val="zh-CN" w:bidi="zh-CN"/>
    </w:rPr>
  </w:style>
  <w:style w:type="character" w:customStyle="1" w:styleId="148">
    <w:name w:val="表格文字 Char"/>
    <w:link w:val="149"/>
    <w:autoRedefine/>
    <w:qFormat/>
    <w:uiPriority w:val="0"/>
    <w:rPr>
      <w:rFonts w:ascii="仿宋_GB2312" w:hAnsi="Arial Black" w:eastAsia="仿宋_GB2312"/>
      <w:kern w:val="44"/>
      <w:sz w:val="24"/>
    </w:rPr>
  </w:style>
  <w:style w:type="paragraph" w:customStyle="1" w:styleId="149">
    <w:name w:val="表格文字"/>
    <w:basedOn w:val="45"/>
    <w:link w:val="148"/>
    <w:autoRedefine/>
    <w:qFormat/>
    <w:uiPriority w:val="0"/>
    <w:pPr>
      <w:widowControl/>
      <w:jc w:val="center"/>
    </w:pPr>
    <w:rPr>
      <w:rFonts w:ascii="仿宋_GB2312" w:hAnsi="Arial Black" w:eastAsia="仿宋_GB2312"/>
      <w:kern w:val="44"/>
      <w:sz w:val="24"/>
      <w:szCs w:val="20"/>
    </w:rPr>
  </w:style>
  <w:style w:type="character" w:customStyle="1" w:styleId="150">
    <w:name w:val="font31"/>
    <w:autoRedefine/>
    <w:qFormat/>
    <w:uiPriority w:val="0"/>
    <w:rPr>
      <w:rFonts w:hint="default"/>
      <w:color w:val="000000"/>
      <w:sz w:val="22"/>
      <w:szCs w:val="22"/>
      <w:u w:val="none"/>
    </w:rPr>
  </w:style>
  <w:style w:type="paragraph" w:customStyle="1" w:styleId="151">
    <w:name w:val="正文6"/>
    <w:autoRedefine/>
    <w:qFormat/>
    <w:uiPriority w:val="39"/>
    <w:pPr>
      <w:jc w:val="both"/>
    </w:pPr>
    <w:rPr>
      <w:rFonts w:ascii="Times New Roman" w:hAnsi="Times New Roman" w:eastAsia="宋体" w:cs="Times New Roman"/>
      <w:kern w:val="2"/>
      <w:sz w:val="21"/>
      <w:szCs w:val="21"/>
      <w:lang w:val="en-US" w:eastAsia="zh-CN" w:bidi="ar-SA"/>
    </w:rPr>
  </w:style>
  <w:style w:type="character" w:customStyle="1" w:styleId="152">
    <w:name w:val="页脚 Char"/>
    <w:autoRedefine/>
    <w:qFormat/>
    <w:uiPriority w:val="0"/>
    <w:rPr>
      <w:kern w:val="2"/>
      <w:sz w:val="18"/>
      <w:szCs w:val="18"/>
    </w:rPr>
  </w:style>
  <w:style w:type="character" w:customStyle="1" w:styleId="153">
    <w:name w:val="markedcontent"/>
    <w:basedOn w:val="90"/>
    <w:autoRedefine/>
    <w:qFormat/>
    <w:uiPriority w:val="0"/>
  </w:style>
  <w:style w:type="paragraph" w:customStyle="1" w:styleId="154">
    <w:name w:val="paragraph"/>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155">
    <w:name w:val="修订1"/>
    <w:autoRedefine/>
    <w:hidden/>
    <w:qFormat/>
    <w:uiPriority w:val="99"/>
    <w:rPr>
      <w:rFonts w:ascii="Times New Roman" w:hAnsi="Times New Roman" w:eastAsia="宋体" w:cs="Times New Roman"/>
      <w:kern w:val="2"/>
      <w:sz w:val="21"/>
      <w:szCs w:val="24"/>
      <w:lang w:val="en-US" w:eastAsia="zh-CN" w:bidi="ar-SA"/>
    </w:rPr>
  </w:style>
  <w:style w:type="character" w:customStyle="1" w:styleId="156">
    <w:name w:val="宏文本 字符"/>
    <w:link w:val="2"/>
    <w:autoRedefine/>
    <w:qFormat/>
    <w:uiPriority w:val="0"/>
    <w:rPr>
      <w:rFonts w:ascii="Courier New" w:hAnsi="Courier New"/>
      <w:kern w:val="2"/>
      <w:sz w:val="24"/>
      <w:szCs w:val="24"/>
      <w:lang w:bidi="ar-SA"/>
    </w:rPr>
  </w:style>
  <w:style w:type="character" w:customStyle="1" w:styleId="157">
    <w:name w:val="注释标题 字符"/>
    <w:link w:val="17"/>
    <w:autoRedefine/>
    <w:qFormat/>
    <w:uiPriority w:val="0"/>
    <w:rPr>
      <w:rFonts w:ascii="新宋体" w:hAnsi="新宋体" w:cs="新宋体"/>
    </w:rPr>
  </w:style>
  <w:style w:type="character" w:customStyle="1" w:styleId="158">
    <w:name w:val="电子邮件签名 字符"/>
    <w:link w:val="20"/>
    <w:autoRedefine/>
    <w:qFormat/>
    <w:uiPriority w:val="0"/>
    <w:rPr>
      <w:rFonts w:ascii="Arial" w:hAnsi="Arial" w:eastAsia="仿宋_GB2312"/>
      <w:sz w:val="24"/>
    </w:rPr>
  </w:style>
  <w:style w:type="character" w:customStyle="1" w:styleId="159">
    <w:name w:val="题注 字符"/>
    <w:link w:val="22"/>
    <w:autoRedefine/>
    <w:qFormat/>
    <w:uiPriority w:val="0"/>
    <w:rPr>
      <w:rFonts w:ascii="Cambria" w:hAnsi="Cambria" w:eastAsia="黑体"/>
      <w:color w:val="000000"/>
    </w:rPr>
  </w:style>
  <w:style w:type="character" w:customStyle="1" w:styleId="160">
    <w:name w:val="文档结构图 字符"/>
    <w:link w:val="26"/>
    <w:autoRedefine/>
    <w:qFormat/>
    <w:uiPriority w:val="99"/>
    <w:rPr>
      <w:rFonts w:ascii="宋体"/>
      <w:sz w:val="18"/>
      <w:szCs w:val="18"/>
      <w:shd w:val="clear" w:color="auto" w:fill="000080"/>
    </w:rPr>
  </w:style>
  <w:style w:type="character" w:customStyle="1" w:styleId="161">
    <w:name w:val="称呼 字符"/>
    <w:link w:val="30"/>
    <w:autoRedefine/>
    <w:qFormat/>
    <w:uiPriority w:val="0"/>
    <w:rPr>
      <w:rFonts w:ascii="Arial" w:hAnsi="Arial" w:eastAsia="仿宋_GB2312"/>
      <w:sz w:val="24"/>
    </w:rPr>
  </w:style>
  <w:style w:type="character" w:customStyle="1" w:styleId="162">
    <w:name w:val="正文文本 3 字符"/>
    <w:link w:val="31"/>
    <w:autoRedefine/>
    <w:qFormat/>
    <w:uiPriority w:val="0"/>
    <w:rPr>
      <w:rFonts w:ascii="宋体"/>
      <w:caps/>
      <w:szCs w:val="24"/>
    </w:rPr>
  </w:style>
  <w:style w:type="character" w:customStyle="1" w:styleId="163">
    <w:name w:val="结束语 字符"/>
    <w:link w:val="32"/>
    <w:autoRedefine/>
    <w:qFormat/>
    <w:uiPriority w:val="0"/>
    <w:rPr>
      <w:rFonts w:ascii="Arial" w:hAnsi="Arial" w:eastAsia="仿宋_GB2312"/>
      <w:sz w:val="24"/>
    </w:rPr>
  </w:style>
  <w:style w:type="character" w:customStyle="1" w:styleId="164">
    <w:name w:val="HTML 地址 字符"/>
    <w:link w:val="41"/>
    <w:autoRedefine/>
    <w:qFormat/>
    <w:uiPriority w:val="0"/>
    <w:rPr>
      <w:rFonts w:ascii="Arial" w:hAnsi="Arial" w:eastAsia="仿宋_GB2312"/>
      <w:i/>
      <w:iCs/>
      <w:sz w:val="24"/>
    </w:rPr>
  </w:style>
  <w:style w:type="character" w:customStyle="1" w:styleId="165">
    <w:name w:val="纯文本 字符"/>
    <w:link w:val="45"/>
    <w:autoRedefine/>
    <w:qFormat/>
    <w:uiPriority w:val="0"/>
    <w:rPr>
      <w:rFonts w:ascii="宋体" w:hAnsi="Courier New" w:cs="Courier New"/>
      <w:szCs w:val="21"/>
    </w:rPr>
  </w:style>
  <w:style w:type="character" w:customStyle="1" w:styleId="166">
    <w:name w:val="尾注文本 字符"/>
    <w:link w:val="52"/>
    <w:autoRedefine/>
    <w:qFormat/>
    <w:uiPriority w:val="0"/>
    <w:rPr>
      <w:rFonts w:ascii="仿宋_GB2312" w:eastAsia="仿宋_GB2312"/>
      <w:sz w:val="28"/>
      <w:szCs w:val="24"/>
    </w:rPr>
  </w:style>
  <w:style w:type="character" w:customStyle="1" w:styleId="167">
    <w:name w:val="签名 字符"/>
    <w:link w:val="58"/>
    <w:autoRedefine/>
    <w:qFormat/>
    <w:uiPriority w:val="0"/>
    <w:rPr>
      <w:rFonts w:ascii="Arial" w:hAnsi="Arial" w:eastAsia="仿宋_GB2312"/>
      <w:sz w:val="24"/>
    </w:rPr>
  </w:style>
  <w:style w:type="character" w:customStyle="1" w:styleId="168">
    <w:name w:val="TOC 1 字符"/>
    <w:link w:val="59"/>
    <w:autoRedefine/>
    <w:qFormat/>
    <w:uiPriority w:val="39"/>
    <w:rPr>
      <w:rFonts w:ascii="Calibri" w:hAnsi="Calibri" w:cs="Calibri"/>
      <w:b/>
      <w:bCs/>
      <w:caps/>
    </w:rPr>
  </w:style>
  <w:style w:type="character" w:customStyle="1" w:styleId="169">
    <w:name w:val="副标题 字符"/>
    <w:link w:val="64"/>
    <w:autoRedefine/>
    <w:qFormat/>
    <w:uiPriority w:val="0"/>
    <w:rPr>
      <w:rFonts w:ascii="Arial" w:hAnsi="Arial" w:eastAsia="仿宋_GB2312" w:cs="Arial"/>
      <w:b/>
      <w:bCs/>
      <w:kern w:val="28"/>
      <w:sz w:val="32"/>
      <w:szCs w:val="32"/>
    </w:rPr>
  </w:style>
  <w:style w:type="character" w:customStyle="1" w:styleId="170">
    <w:name w:val="脚注文本 字符"/>
    <w:link w:val="67"/>
    <w:autoRedefine/>
    <w:qFormat/>
    <w:uiPriority w:val="0"/>
    <w:rPr>
      <w:rFonts w:ascii="Arial" w:hAnsi="Arial" w:eastAsia="仿宋_GB2312"/>
      <w:sz w:val="18"/>
      <w:szCs w:val="18"/>
    </w:rPr>
  </w:style>
  <w:style w:type="character" w:customStyle="1" w:styleId="171">
    <w:name w:val="正文文本 2 字符"/>
    <w:link w:val="76"/>
    <w:autoRedefine/>
    <w:qFormat/>
    <w:uiPriority w:val="0"/>
    <w:rPr>
      <w:b/>
      <w:bCs/>
      <w:sz w:val="28"/>
    </w:rPr>
  </w:style>
  <w:style w:type="character" w:customStyle="1" w:styleId="172">
    <w:name w:val="信息标题 字符"/>
    <w:link w:val="79"/>
    <w:autoRedefine/>
    <w:qFormat/>
    <w:uiPriority w:val="0"/>
    <w:rPr>
      <w:rFonts w:ascii="Arial" w:hAnsi="Arial" w:eastAsia="仿宋_GB2312" w:cs="Arial"/>
      <w:sz w:val="24"/>
      <w:shd w:val="pct20" w:color="auto" w:fill="auto"/>
    </w:rPr>
  </w:style>
  <w:style w:type="character" w:customStyle="1" w:styleId="173">
    <w:name w:val="HTML 预设格式 字符"/>
    <w:link w:val="80"/>
    <w:autoRedefine/>
    <w:qFormat/>
    <w:uiPriority w:val="99"/>
    <w:rPr>
      <w:rFonts w:ascii="Arial" w:hAnsi="Arial" w:cs="Arial"/>
      <w:sz w:val="24"/>
      <w:szCs w:val="24"/>
    </w:rPr>
  </w:style>
  <w:style w:type="character" w:customStyle="1" w:styleId="174">
    <w:name w:val="标题 字符"/>
    <w:link w:val="84"/>
    <w:autoRedefine/>
    <w:qFormat/>
    <w:uiPriority w:val="0"/>
    <w:rPr>
      <w:rFonts w:ascii="Cambria" w:hAnsi="Cambria"/>
      <w:b/>
      <w:bCs/>
      <w:color w:val="000000"/>
      <w:sz w:val="32"/>
      <w:szCs w:val="32"/>
    </w:rPr>
  </w:style>
  <w:style w:type="character" w:customStyle="1" w:styleId="175">
    <w:name w:val="正文文本首行缩进 字符"/>
    <w:link w:val="86"/>
    <w:autoRedefine/>
    <w:qFormat/>
    <w:uiPriority w:val="0"/>
    <w:rPr>
      <w:sz w:val="18"/>
    </w:rPr>
  </w:style>
  <w:style w:type="character" w:customStyle="1" w:styleId="176">
    <w:name w:val="正文文本首行缩进 2 字符"/>
    <w:link w:val="87"/>
    <w:autoRedefine/>
    <w:qFormat/>
    <w:uiPriority w:val="0"/>
    <w:rPr>
      <w:rFonts w:ascii="Times New Roman" w:hAnsi="Times New Roman" w:eastAsia="宋体"/>
      <w:sz w:val="24"/>
    </w:rPr>
  </w:style>
  <w:style w:type="character" w:customStyle="1" w:styleId="177">
    <w:name w:val="报告正文 Char"/>
    <w:link w:val="178"/>
    <w:autoRedefine/>
    <w:qFormat/>
    <w:uiPriority w:val="0"/>
    <w:rPr>
      <w:color w:val="000000"/>
      <w:kern w:val="1"/>
      <w:sz w:val="24"/>
      <w:szCs w:val="24"/>
      <w:lang w:val="en-US" w:eastAsia="zh-CN" w:bidi="ar-SA"/>
    </w:rPr>
  </w:style>
  <w:style w:type="paragraph" w:customStyle="1" w:styleId="178">
    <w:name w:val="报告正文"/>
    <w:link w:val="177"/>
    <w:autoRedefine/>
    <w:qFormat/>
    <w:uiPriority w:val="0"/>
    <w:pPr>
      <w:widowControl w:val="0"/>
      <w:spacing w:line="360" w:lineRule="auto"/>
      <w:ind w:firstLine="420"/>
    </w:pPr>
    <w:rPr>
      <w:rFonts w:ascii="Times New Roman" w:hAnsi="Times New Roman" w:eastAsia="宋体" w:cs="Times New Roman"/>
      <w:color w:val="000000"/>
      <w:kern w:val="1"/>
      <w:sz w:val="24"/>
      <w:szCs w:val="24"/>
      <w:lang w:val="en-US" w:eastAsia="zh-CN" w:bidi="ar-SA"/>
    </w:rPr>
  </w:style>
  <w:style w:type="character" w:customStyle="1" w:styleId="179">
    <w:name w:val="Comment Text Char"/>
    <w:autoRedefine/>
    <w:qFormat/>
    <w:locked/>
    <w:uiPriority w:val="0"/>
    <w:rPr>
      <w:rFonts w:eastAsia="宋体"/>
      <w:kern w:val="2"/>
      <w:sz w:val="21"/>
      <w:szCs w:val="24"/>
      <w:lang w:val="en-US" w:eastAsia="zh-CN" w:bidi="ar-SA"/>
    </w:rPr>
  </w:style>
  <w:style w:type="character" w:customStyle="1" w:styleId="180">
    <w:name w:val="12p-18hg"/>
    <w:autoRedefine/>
    <w:qFormat/>
    <w:uiPriority w:val="0"/>
    <w:rPr>
      <w:rFonts w:eastAsia="宋体"/>
      <w:kern w:val="2"/>
      <w:sz w:val="28"/>
      <w:szCs w:val="28"/>
      <w:lang w:val="en-US" w:eastAsia="zh-CN" w:bidi="ar-SA"/>
    </w:rPr>
  </w:style>
  <w:style w:type="character" w:customStyle="1" w:styleId="181">
    <w:name w:val="标题3 Char"/>
    <w:link w:val="182"/>
    <w:autoRedefine/>
    <w:qFormat/>
    <w:uiPriority w:val="0"/>
    <w:rPr>
      <w:b/>
      <w:bCs/>
      <w:kern w:val="2"/>
      <w:sz w:val="32"/>
      <w:szCs w:val="32"/>
    </w:rPr>
  </w:style>
  <w:style w:type="paragraph" w:customStyle="1" w:styleId="182">
    <w:name w:val="标题3"/>
    <w:basedOn w:val="5"/>
    <w:next w:val="1"/>
    <w:link w:val="181"/>
    <w:autoRedefine/>
    <w:qFormat/>
    <w:uiPriority w:val="0"/>
    <w:pPr>
      <w:ind w:left="720" w:hanging="432"/>
    </w:pPr>
  </w:style>
  <w:style w:type="character" w:customStyle="1" w:styleId="183">
    <w:name w:val="正文首行缩进 2 Char11"/>
    <w:autoRedefine/>
    <w:qFormat/>
    <w:uiPriority w:val="0"/>
    <w:rPr>
      <w:rFonts w:eastAsia="宋体"/>
      <w:kern w:val="2"/>
      <w:sz w:val="21"/>
      <w:szCs w:val="24"/>
      <w:lang w:val="en-US" w:eastAsia="zh-CN" w:bidi="ar-SA"/>
    </w:rPr>
  </w:style>
  <w:style w:type="character" w:customStyle="1" w:styleId="184">
    <w:name w:val="Char Char31"/>
    <w:autoRedefine/>
    <w:qFormat/>
    <w:uiPriority w:val="0"/>
    <w:rPr>
      <w:rFonts w:hint="default" w:ascii="Arial" w:hAnsi="Arial" w:eastAsia="黑体" w:cs="Arial"/>
      <w:kern w:val="2"/>
      <w:sz w:val="24"/>
      <w:szCs w:val="24"/>
      <w:lang w:val="en-US" w:eastAsia="zh-CN" w:bidi="ar-SA"/>
    </w:rPr>
  </w:style>
  <w:style w:type="character" w:customStyle="1" w:styleId="185">
    <w:name w:val="HTML 预先格式化 Char Char"/>
    <w:autoRedefine/>
    <w:qFormat/>
    <w:uiPriority w:val="0"/>
    <w:rPr>
      <w:rFonts w:ascii="Arial" w:hAnsi="Arial" w:eastAsia="宋体" w:cs="Arial"/>
      <w:sz w:val="21"/>
      <w:szCs w:val="21"/>
      <w:lang w:val="en-US" w:eastAsia="zh-CN" w:bidi="ar-SA"/>
    </w:rPr>
  </w:style>
  <w:style w:type="character" w:customStyle="1" w:styleId="186">
    <w:name w:val="main-11"/>
    <w:basedOn w:val="90"/>
    <w:autoRedefine/>
    <w:qFormat/>
    <w:uiPriority w:val="0"/>
  </w:style>
  <w:style w:type="character" w:customStyle="1" w:styleId="187">
    <w:name w:val="图表题 Char12"/>
    <w:autoRedefine/>
    <w:qFormat/>
    <w:uiPriority w:val="0"/>
    <w:rPr>
      <w:rFonts w:ascii="黑体" w:hAnsi="宋体" w:eastAsia="黑体" w:cs="宋体"/>
      <w:bCs/>
      <w:sz w:val="24"/>
      <w:szCs w:val="24"/>
    </w:rPr>
  </w:style>
  <w:style w:type="character" w:customStyle="1" w:styleId="188">
    <w:name w:val="title-blue1"/>
    <w:autoRedefine/>
    <w:qFormat/>
    <w:uiPriority w:val="0"/>
    <w:rPr>
      <w:rFonts w:hint="eastAsia" w:ascii="幼圆" w:hAnsi="黑体" w:eastAsia="幼圆"/>
      <w:b/>
      <w:bCs/>
      <w:color w:val="009FFF"/>
      <w:spacing w:val="75"/>
      <w:kern w:val="44"/>
      <w:sz w:val="24"/>
      <w:szCs w:val="24"/>
      <w:lang w:val="en-US" w:eastAsia="zh-CN"/>
    </w:rPr>
  </w:style>
  <w:style w:type="character" w:customStyle="1" w:styleId="189">
    <w:name w:val="t"/>
    <w:basedOn w:val="90"/>
    <w:autoRedefine/>
    <w:qFormat/>
    <w:uiPriority w:val="0"/>
  </w:style>
  <w:style w:type="character" w:customStyle="1" w:styleId="190">
    <w:name w:val="环标3 Char"/>
    <w:autoRedefine/>
    <w:qFormat/>
    <w:uiPriority w:val="0"/>
    <w:rPr>
      <w:rFonts w:eastAsia="宋体"/>
      <w:sz w:val="24"/>
      <w:szCs w:val="24"/>
      <w:lang w:val="en-US" w:eastAsia="zh-CN" w:bidi="ar-SA"/>
    </w:rPr>
  </w:style>
  <w:style w:type="character" w:customStyle="1" w:styleId="191">
    <w:name w:val="td1"/>
    <w:autoRedefine/>
    <w:qFormat/>
    <w:uiPriority w:val="0"/>
    <w:rPr>
      <w:color w:val="000000"/>
      <w:sz w:val="21"/>
      <w:szCs w:val="21"/>
    </w:rPr>
  </w:style>
  <w:style w:type="character" w:customStyle="1" w:styleId="192">
    <w:name w:val="燕山正文 Char1"/>
    <w:link w:val="193"/>
    <w:autoRedefine/>
    <w:qFormat/>
    <w:uiPriority w:val="0"/>
    <w:rPr>
      <w:rFonts w:ascii="宋体" w:cs="宋体"/>
      <w:sz w:val="24"/>
      <w:szCs w:val="24"/>
    </w:rPr>
  </w:style>
  <w:style w:type="paragraph" w:customStyle="1" w:styleId="193">
    <w:name w:val="燕山正文"/>
    <w:basedOn w:val="1"/>
    <w:link w:val="192"/>
    <w:autoRedefine/>
    <w:qFormat/>
    <w:uiPriority w:val="0"/>
    <w:pPr>
      <w:tabs>
        <w:tab w:val="left" w:pos="4680"/>
      </w:tabs>
      <w:adjustRightInd w:val="0"/>
      <w:snapToGrid w:val="0"/>
      <w:spacing w:line="480" w:lineRule="exact"/>
    </w:pPr>
    <w:rPr>
      <w:rFonts w:ascii="宋体"/>
      <w:kern w:val="0"/>
      <w:sz w:val="24"/>
      <w:lang w:val="zh-CN"/>
    </w:rPr>
  </w:style>
  <w:style w:type="character" w:customStyle="1" w:styleId="194">
    <w:name w:val="题注 Char32"/>
    <w:autoRedefine/>
    <w:qFormat/>
    <w:uiPriority w:val="0"/>
    <w:rPr>
      <w:rFonts w:ascii="黑体" w:hAnsi="Arial" w:eastAsia="黑体" w:cs="Arial"/>
      <w:b/>
      <w:spacing w:val="10"/>
      <w:sz w:val="24"/>
      <w:szCs w:val="24"/>
    </w:rPr>
  </w:style>
  <w:style w:type="character" w:customStyle="1" w:styleId="195">
    <w:name w:val="表题1 Char8"/>
    <w:autoRedefine/>
    <w:qFormat/>
    <w:uiPriority w:val="0"/>
    <w:rPr>
      <w:rFonts w:ascii="黑体" w:hAnsi="Arial" w:eastAsia="黑体" w:cs="Arial"/>
      <w:b/>
      <w:kern w:val="2"/>
      <w:sz w:val="24"/>
      <w:szCs w:val="24"/>
      <w:lang w:val="en-US" w:eastAsia="zh-CN" w:bidi="ar-SA"/>
    </w:rPr>
  </w:style>
  <w:style w:type="character" w:customStyle="1" w:styleId="196">
    <w:name w:val="表格内容 Char3"/>
    <w:autoRedefine/>
    <w:qFormat/>
    <w:uiPriority w:val="0"/>
    <w:rPr>
      <w:rFonts w:ascii="Times New Roman" w:hAnsi="Times New Roman" w:eastAsia="宋体" w:cs="Times New Roman"/>
      <w:kern w:val="2"/>
      <w:sz w:val="24"/>
      <w:szCs w:val="21"/>
      <w:lang w:val="en-US" w:eastAsia="zh-CN" w:bidi="ar-SA"/>
    </w:rPr>
  </w:style>
  <w:style w:type="character" w:customStyle="1" w:styleId="197">
    <w:name w:val="Char Char81"/>
    <w:autoRedefine/>
    <w:qFormat/>
    <w:uiPriority w:val="0"/>
    <w:rPr>
      <w:rFonts w:hint="eastAsia" w:ascii="仿宋_GB2312" w:eastAsia="仿宋_GB2312"/>
      <w:kern w:val="2"/>
      <w:sz w:val="28"/>
      <w:lang w:val="en-US" w:eastAsia="zh-CN" w:bidi="ar-SA"/>
    </w:rPr>
  </w:style>
  <w:style w:type="character" w:customStyle="1" w:styleId="198">
    <w:name w:val="Char Char22"/>
    <w:autoRedefine/>
    <w:qFormat/>
    <w:uiPriority w:val="0"/>
    <w:rPr>
      <w:rFonts w:hint="default" w:ascii="Arial" w:hAnsi="Arial" w:eastAsia="黑体" w:cs="Arial"/>
      <w:kern w:val="2"/>
      <w:sz w:val="21"/>
      <w:szCs w:val="21"/>
      <w:lang w:val="en-US" w:eastAsia="zh-CN" w:bidi="ar-SA"/>
    </w:rPr>
  </w:style>
  <w:style w:type="character" w:customStyle="1" w:styleId="199">
    <w:name w:val="font_141"/>
    <w:autoRedefine/>
    <w:qFormat/>
    <w:uiPriority w:val="0"/>
    <w:rPr>
      <w:rFonts w:hint="default" w:ascii="ˎ̥" w:hAnsi="ˎ̥" w:eastAsia="宋体"/>
      <w:kern w:val="2"/>
      <w:sz w:val="21"/>
      <w:szCs w:val="21"/>
      <w:lang w:val="en-US" w:eastAsia="zh-CN" w:bidi="ar-SA"/>
    </w:rPr>
  </w:style>
  <w:style w:type="character" w:customStyle="1" w:styleId="200">
    <w:name w:val="题注 Char111"/>
    <w:autoRedefine/>
    <w:qFormat/>
    <w:uiPriority w:val="0"/>
    <w:rPr>
      <w:rFonts w:ascii="黑体" w:hAnsi="Arial" w:eastAsia="黑体" w:cs="Arial"/>
      <w:b/>
      <w:spacing w:val="10"/>
      <w:sz w:val="24"/>
      <w:szCs w:val="24"/>
    </w:rPr>
  </w:style>
  <w:style w:type="character" w:customStyle="1" w:styleId="201">
    <w:name w:val="3级标题 Char"/>
    <w:link w:val="202"/>
    <w:autoRedefine/>
    <w:qFormat/>
    <w:locked/>
    <w:uiPriority w:val="0"/>
    <w:rPr>
      <w:rFonts w:ascii="宋体"/>
      <w:b/>
      <w:sz w:val="24"/>
    </w:rPr>
  </w:style>
  <w:style w:type="paragraph" w:customStyle="1" w:styleId="202">
    <w:name w:val="3级标题"/>
    <w:basedOn w:val="1"/>
    <w:link w:val="201"/>
    <w:autoRedefine/>
    <w:qFormat/>
    <w:uiPriority w:val="0"/>
    <w:pPr>
      <w:adjustRightInd w:val="0"/>
      <w:snapToGrid w:val="0"/>
      <w:spacing w:line="500" w:lineRule="exact"/>
      <w:ind w:left="17"/>
    </w:pPr>
    <w:rPr>
      <w:rFonts w:ascii="宋体"/>
      <w:b/>
      <w:kern w:val="0"/>
      <w:sz w:val="24"/>
      <w:szCs w:val="20"/>
      <w:lang w:val="zh-CN"/>
    </w:rPr>
  </w:style>
  <w:style w:type="character" w:customStyle="1" w:styleId="203">
    <w:name w:val="标题 2 Char5"/>
    <w:autoRedefine/>
    <w:qFormat/>
    <w:uiPriority w:val="0"/>
    <w:rPr>
      <w:rFonts w:ascii="黑体" w:hAnsi="Arial" w:eastAsia="黑体"/>
      <w:bCs/>
      <w:kern w:val="2"/>
      <w:sz w:val="30"/>
      <w:szCs w:val="30"/>
      <w:lang w:val="en-US" w:eastAsia="zh-CN" w:bidi="ar-SA"/>
    </w:rPr>
  </w:style>
  <w:style w:type="character" w:customStyle="1" w:styleId="204">
    <w:name w:val="at_8"/>
    <w:basedOn w:val="90"/>
    <w:autoRedefine/>
    <w:qFormat/>
    <w:uiPriority w:val="0"/>
  </w:style>
  <w:style w:type="character" w:customStyle="1" w:styleId="205">
    <w:name w:val="sl0m"/>
    <w:basedOn w:val="90"/>
    <w:autoRedefine/>
    <w:qFormat/>
    <w:uiPriority w:val="0"/>
  </w:style>
  <w:style w:type="character" w:customStyle="1" w:styleId="206">
    <w:name w:val="at_1"/>
    <w:basedOn w:val="90"/>
    <w:autoRedefine/>
    <w:qFormat/>
    <w:uiPriority w:val="0"/>
  </w:style>
  <w:style w:type="character" w:customStyle="1" w:styleId="207">
    <w:name w:val="Char Char Char12"/>
    <w:autoRedefine/>
    <w:qFormat/>
    <w:uiPriority w:val="0"/>
    <w:rPr>
      <w:rFonts w:hint="default" w:ascii="Arial" w:hAnsi="Arial" w:eastAsia="黑体" w:cs="Arial"/>
      <w:b/>
      <w:bCs/>
      <w:kern w:val="2"/>
      <w:sz w:val="24"/>
      <w:szCs w:val="24"/>
      <w:lang w:val="en-US" w:eastAsia="zh-CN" w:bidi="ar-SA"/>
    </w:rPr>
  </w:style>
  <w:style w:type="character" w:customStyle="1" w:styleId="208">
    <w:name w:val="正文（首行缩进两字） Char Char Char Char Char Char Char Char Char Char Char Char Char"/>
    <w:autoRedefine/>
    <w:qFormat/>
    <w:uiPriority w:val="0"/>
    <w:rPr>
      <w:rFonts w:ascii="仿宋_GB2312" w:eastAsia="仿宋_GB2312"/>
      <w:color w:val="000000"/>
      <w:kern w:val="2"/>
      <w:sz w:val="28"/>
      <w:szCs w:val="24"/>
      <w:lang w:val="en-US" w:eastAsia="zh-CN" w:bidi="ar-SA"/>
    </w:rPr>
  </w:style>
  <w:style w:type="character" w:customStyle="1" w:styleId="209">
    <w:name w:val="style21"/>
    <w:autoRedefine/>
    <w:qFormat/>
    <w:uiPriority w:val="0"/>
    <w:rPr>
      <w:color w:val="3B72A9"/>
    </w:rPr>
  </w:style>
  <w:style w:type="character" w:customStyle="1" w:styleId="210">
    <w:name w:val="正文修改 Char111"/>
    <w:autoRedefine/>
    <w:qFormat/>
    <w:uiPriority w:val="0"/>
    <w:rPr>
      <w:rFonts w:ascii="宋体" w:hAnsi="宋体" w:eastAsia="宋体" w:cs="宋体"/>
      <w:color w:val="000000"/>
      <w:sz w:val="24"/>
      <w:szCs w:val="24"/>
    </w:rPr>
  </w:style>
  <w:style w:type="character" w:customStyle="1" w:styleId="211">
    <w:name w:val="Char Char1131"/>
    <w:autoRedefine/>
    <w:qFormat/>
    <w:uiPriority w:val="0"/>
    <w:rPr>
      <w:rFonts w:ascii="黑体" w:hAnsi="Arial" w:eastAsia="黑体"/>
      <w:bCs/>
      <w:kern w:val="2"/>
      <w:sz w:val="30"/>
      <w:szCs w:val="30"/>
      <w:lang w:val="en-US" w:eastAsia="zh-CN" w:bidi="ar-SA"/>
    </w:rPr>
  </w:style>
  <w:style w:type="character" w:customStyle="1" w:styleId="212">
    <w:name w:val="xiaozhiti1"/>
    <w:autoRedefine/>
    <w:qFormat/>
    <w:uiPriority w:val="0"/>
    <w:rPr>
      <w:sz w:val="18"/>
      <w:szCs w:val="18"/>
    </w:rPr>
  </w:style>
  <w:style w:type="character" w:customStyle="1" w:styleId="213">
    <w:name w:val="正文01 Char"/>
    <w:autoRedefine/>
    <w:qFormat/>
    <w:locked/>
    <w:uiPriority w:val="0"/>
    <w:rPr>
      <w:rFonts w:ascii="Times New Roman" w:hAnsi="Times New Roman" w:eastAsia="宋体" w:cs="Times New Roman"/>
      <w:snapToGrid w:val="0"/>
      <w:color w:val="000000"/>
      <w:kern w:val="0"/>
      <w:sz w:val="24"/>
      <w:szCs w:val="24"/>
    </w:rPr>
  </w:style>
  <w:style w:type="character" w:customStyle="1" w:styleId="214">
    <w:name w:val="cucd-0 Char"/>
    <w:link w:val="215"/>
    <w:autoRedefine/>
    <w:qFormat/>
    <w:uiPriority w:val="0"/>
    <w:rPr>
      <w:kern w:val="2"/>
      <w:sz w:val="24"/>
      <w:szCs w:val="24"/>
      <w:lang w:val="en-US" w:eastAsia="zh-CN" w:bidi="ar-SA"/>
    </w:rPr>
  </w:style>
  <w:style w:type="paragraph" w:customStyle="1" w:styleId="215">
    <w:name w:val="cucd-0"/>
    <w:link w:val="214"/>
    <w:autoRedefine/>
    <w:qFormat/>
    <w:uiPriority w:val="0"/>
    <w:pPr>
      <w:spacing w:line="360" w:lineRule="auto"/>
      <w:ind w:firstLine="480" w:firstLineChars="200"/>
    </w:pPr>
    <w:rPr>
      <w:rFonts w:ascii="Times New Roman" w:hAnsi="Times New Roman" w:eastAsia="宋体" w:cs="Times New Roman"/>
      <w:kern w:val="2"/>
      <w:sz w:val="24"/>
      <w:szCs w:val="24"/>
      <w:lang w:val="en-US" w:eastAsia="zh-CN" w:bidi="ar-SA"/>
    </w:rPr>
  </w:style>
  <w:style w:type="character" w:customStyle="1" w:styleId="216">
    <w:name w:val="无级项 Char3"/>
    <w:autoRedefine/>
    <w:qFormat/>
    <w:uiPriority w:val="0"/>
    <w:rPr>
      <w:rFonts w:eastAsia="宋体"/>
      <w:b/>
      <w:bCs/>
      <w:kern w:val="2"/>
      <w:sz w:val="24"/>
      <w:szCs w:val="24"/>
      <w:lang w:val="en-US" w:eastAsia="zh-CN" w:bidi="ar-SA"/>
    </w:rPr>
  </w:style>
  <w:style w:type="character" w:customStyle="1" w:styleId="217">
    <w:name w:val="题注 Char23"/>
    <w:autoRedefine/>
    <w:qFormat/>
    <w:uiPriority w:val="0"/>
    <w:rPr>
      <w:rFonts w:ascii="黑体" w:hAnsi="Arial" w:eastAsia="黑体" w:cs="Arial"/>
      <w:b/>
      <w:spacing w:val="10"/>
      <w:sz w:val="24"/>
      <w:szCs w:val="24"/>
    </w:rPr>
  </w:style>
  <w:style w:type="character" w:customStyle="1" w:styleId="218">
    <w:name w:val="正文修改 Char114"/>
    <w:autoRedefine/>
    <w:qFormat/>
    <w:uiPriority w:val="0"/>
    <w:rPr>
      <w:rFonts w:hAnsi="宋体"/>
      <w:color w:val="000000"/>
    </w:rPr>
  </w:style>
  <w:style w:type="character" w:customStyle="1" w:styleId="219">
    <w:name w:val="表头 Char"/>
    <w:link w:val="220"/>
    <w:autoRedefine/>
    <w:qFormat/>
    <w:uiPriority w:val="0"/>
    <w:rPr>
      <w:rFonts w:eastAsia="黑体"/>
      <w:szCs w:val="24"/>
    </w:rPr>
  </w:style>
  <w:style w:type="paragraph" w:customStyle="1" w:styleId="220">
    <w:name w:val="表头"/>
    <w:basedOn w:val="221"/>
    <w:link w:val="219"/>
    <w:autoRedefine/>
    <w:qFormat/>
    <w:uiPriority w:val="0"/>
    <w:pPr>
      <w:tabs>
        <w:tab w:val="right" w:leader="dot" w:pos="8296"/>
      </w:tabs>
      <w:spacing w:line="320" w:lineRule="exact"/>
    </w:pPr>
    <w:rPr>
      <w:rFonts w:eastAsia="黑体"/>
      <w:kern w:val="0"/>
    </w:rPr>
  </w:style>
  <w:style w:type="paragraph" w:customStyle="1" w:styleId="221">
    <w:name w:val="文本"/>
    <w:basedOn w:val="9"/>
    <w:link w:val="1062"/>
    <w:autoRedefine/>
    <w:qFormat/>
    <w:uiPriority w:val="0"/>
    <w:pPr>
      <w:tabs>
        <w:tab w:val="right" w:leader="dot" w:pos="8296"/>
      </w:tabs>
      <w:adjustRightInd w:val="0"/>
      <w:snapToGrid w:val="0"/>
      <w:spacing w:beforeLines="20"/>
      <w:jc w:val="center"/>
    </w:pPr>
    <w:rPr>
      <w:rFonts w:ascii="宋体" w:hAnsi="宋体"/>
      <w:snapToGrid w:val="0"/>
      <w:kern w:val="21"/>
      <w:sz w:val="20"/>
    </w:rPr>
  </w:style>
  <w:style w:type="character" w:customStyle="1" w:styleId="222">
    <w:name w:val="样式 标题 2节 + 宋体 左 Char Char"/>
    <w:link w:val="223"/>
    <w:autoRedefine/>
    <w:qFormat/>
    <w:uiPriority w:val="0"/>
    <w:rPr>
      <w:rFonts w:ascii="宋体" w:hAnsi="宋体" w:cs="宋体"/>
      <w:b/>
      <w:bCs/>
      <w:sz w:val="28"/>
      <w:szCs w:val="24"/>
    </w:rPr>
  </w:style>
  <w:style w:type="paragraph" w:customStyle="1" w:styleId="223">
    <w:name w:val="样式 标题 2节 + 宋体 左 Char"/>
    <w:basedOn w:val="4"/>
    <w:link w:val="222"/>
    <w:autoRedefine/>
    <w:qFormat/>
    <w:uiPriority w:val="0"/>
    <w:pPr>
      <w:tabs>
        <w:tab w:val="left" w:pos="567"/>
      </w:tabs>
      <w:spacing w:before="0" w:after="0" w:line="360" w:lineRule="auto"/>
      <w:ind w:left="567" w:hanging="567"/>
      <w:jc w:val="left"/>
    </w:pPr>
    <w:rPr>
      <w:rFonts w:ascii="宋体" w:hAnsi="宋体"/>
      <w:sz w:val="28"/>
      <w:szCs w:val="24"/>
    </w:rPr>
  </w:style>
  <w:style w:type="character" w:customStyle="1" w:styleId="224">
    <w:name w:val="f121"/>
    <w:autoRedefine/>
    <w:qFormat/>
    <w:uiPriority w:val="99"/>
    <w:rPr>
      <w:sz w:val="18"/>
      <w:szCs w:val="18"/>
      <w:u w:val="none"/>
    </w:rPr>
  </w:style>
  <w:style w:type="character" w:customStyle="1" w:styleId="225">
    <w:name w:val="h31"/>
    <w:autoRedefine/>
    <w:qFormat/>
    <w:uiPriority w:val="0"/>
    <w:rPr>
      <w:sz w:val="21"/>
      <w:szCs w:val="21"/>
    </w:rPr>
  </w:style>
  <w:style w:type="character" w:customStyle="1" w:styleId="226">
    <w:name w:val="sf6tjlp"/>
    <w:basedOn w:val="90"/>
    <w:autoRedefine/>
    <w:qFormat/>
    <w:uiPriority w:val="0"/>
  </w:style>
  <w:style w:type="character" w:customStyle="1" w:styleId="227">
    <w:name w:val="正文修改 Char1412"/>
    <w:autoRedefine/>
    <w:qFormat/>
    <w:uiPriority w:val="0"/>
    <w:rPr>
      <w:rFonts w:ascii="宋体" w:cs="宋体"/>
      <w:sz w:val="24"/>
      <w:szCs w:val="24"/>
    </w:rPr>
  </w:style>
  <w:style w:type="character" w:customStyle="1" w:styleId="228">
    <w:name w:val="f14b1"/>
    <w:autoRedefine/>
    <w:qFormat/>
    <w:uiPriority w:val="0"/>
    <w:rPr>
      <w:rFonts w:eastAsia="宋体"/>
      <w:b/>
      <w:bCs/>
      <w:kern w:val="2"/>
      <w:sz w:val="23"/>
      <w:szCs w:val="23"/>
      <w:lang w:val="en-US" w:eastAsia="zh-CN" w:bidi="ar-SA"/>
    </w:rPr>
  </w:style>
  <w:style w:type="character" w:customStyle="1" w:styleId="229">
    <w:name w:val="chen表头1 Char"/>
    <w:link w:val="230"/>
    <w:autoRedefine/>
    <w:qFormat/>
    <w:uiPriority w:val="0"/>
    <w:rPr>
      <w:rFonts w:eastAsia="楷体_GB2312" w:cs="宋体"/>
      <w:b/>
      <w:sz w:val="24"/>
      <w:szCs w:val="24"/>
    </w:rPr>
  </w:style>
  <w:style w:type="paragraph" w:customStyle="1" w:styleId="230">
    <w:name w:val="chen表头1"/>
    <w:basedOn w:val="1"/>
    <w:link w:val="229"/>
    <w:autoRedefine/>
    <w:qFormat/>
    <w:uiPriority w:val="0"/>
    <w:pPr>
      <w:spacing w:after="120" w:line="500" w:lineRule="exact"/>
      <w:jc w:val="center"/>
    </w:pPr>
    <w:rPr>
      <w:rFonts w:eastAsia="楷体_GB2312"/>
      <w:b/>
      <w:kern w:val="0"/>
      <w:sz w:val="24"/>
      <w:lang w:val="zh-CN"/>
    </w:rPr>
  </w:style>
  <w:style w:type="character" w:customStyle="1" w:styleId="231">
    <w:name w:val="正文格式 Char41"/>
    <w:autoRedefine/>
    <w:qFormat/>
    <w:uiPriority w:val="0"/>
    <w:rPr>
      <w:rFonts w:ascii="宋体" w:hAnsi="宋体" w:eastAsia="宋体"/>
      <w:kern w:val="2"/>
      <w:sz w:val="24"/>
      <w:szCs w:val="24"/>
      <w:lang w:val="en-US" w:eastAsia="zh-CN" w:bidi="ar-SA"/>
    </w:rPr>
  </w:style>
  <w:style w:type="character" w:customStyle="1" w:styleId="232">
    <w:name w:val="td21"/>
    <w:autoRedefine/>
    <w:qFormat/>
    <w:uiPriority w:val="0"/>
    <w:rPr>
      <w:sz w:val="21"/>
      <w:szCs w:val="21"/>
      <w:u w:val="none"/>
    </w:rPr>
  </w:style>
  <w:style w:type="character" w:customStyle="1" w:styleId="233">
    <w:name w:val="style4"/>
    <w:basedOn w:val="90"/>
    <w:autoRedefine/>
    <w:qFormat/>
    <w:uiPriority w:val="0"/>
  </w:style>
  <w:style w:type="character" w:customStyle="1" w:styleId="234">
    <w:name w:val="grame"/>
    <w:basedOn w:val="90"/>
    <w:autoRedefine/>
    <w:qFormat/>
    <w:uiPriority w:val="0"/>
  </w:style>
  <w:style w:type="character" w:customStyle="1" w:styleId="235">
    <w:name w:val="style5"/>
    <w:basedOn w:val="90"/>
    <w:autoRedefine/>
    <w:qFormat/>
    <w:uiPriority w:val="0"/>
  </w:style>
  <w:style w:type="character" w:customStyle="1" w:styleId="236">
    <w:name w:val="unnamed2"/>
    <w:basedOn w:val="90"/>
    <w:autoRedefine/>
    <w:qFormat/>
    <w:uiPriority w:val="0"/>
  </w:style>
  <w:style w:type="character" w:customStyle="1" w:styleId="237">
    <w:name w:val="标题3 Char Char"/>
    <w:autoRedefine/>
    <w:qFormat/>
    <w:uiPriority w:val="0"/>
    <w:rPr>
      <w:rFonts w:eastAsia="黑体"/>
      <w:kern w:val="2"/>
      <w:sz w:val="24"/>
      <w:szCs w:val="24"/>
      <w:lang w:val="en-US" w:eastAsia="zh-CN"/>
    </w:rPr>
  </w:style>
  <w:style w:type="character" w:customStyle="1" w:styleId="238">
    <w:name w:val="at_5"/>
    <w:basedOn w:val="90"/>
    <w:autoRedefine/>
    <w:qFormat/>
    <w:uiPriority w:val="0"/>
  </w:style>
  <w:style w:type="character" w:customStyle="1" w:styleId="239">
    <w:name w:val="keyword"/>
    <w:basedOn w:val="90"/>
    <w:autoRedefine/>
    <w:qFormat/>
    <w:uiPriority w:val="0"/>
  </w:style>
  <w:style w:type="character" w:customStyle="1" w:styleId="240">
    <w:name w:val="表格内容 Char1"/>
    <w:autoRedefine/>
    <w:qFormat/>
    <w:uiPriority w:val="0"/>
    <w:rPr>
      <w:rFonts w:eastAsia="宋体"/>
      <w:kern w:val="2"/>
      <w:sz w:val="21"/>
      <w:szCs w:val="21"/>
      <w:lang w:val="en-US" w:eastAsia="zh-CN" w:bidi="ar-SA"/>
    </w:rPr>
  </w:style>
  <w:style w:type="character" w:customStyle="1" w:styleId="241">
    <w:name w:val="批注框文本 Char5"/>
    <w:autoRedefine/>
    <w:qFormat/>
    <w:uiPriority w:val="0"/>
    <w:rPr>
      <w:rFonts w:eastAsia="宋体"/>
      <w:kern w:val="2"/>
      <w:sz w:val="18"/>
      <w:szCs w:val="18"/>
      <w:lang w:val="en-US" w:eastAsia="zh-CN" w:bidi="ar-SA"/>
    </w:rPr>
  </w:style>
  <w:style w:type="character" w:customStyle="1" w:styleId="242">
    <w:name w:val="标题 4 Char1 Char"/>
    <w:autoRedefine/>
    <w:qFormat/>
    <w:uiPriority w:val="0"/>
    <w:rPr>
      <w:rFonts w:ascii="Arial" w:hAnsi="Arial" w:eastAsia="黑体"/>
      <w:b/>
      <w:bCs/>
      <w:kern w:val="2"/>
      <w:sz w:val="28"/>
      <w:szCs w:val="28"/>
      <w:lang w:val="en-US" w:eastAsia="zh-CN" w:bidi="ar-SA"/>
    </w:rPr>
  </w:style>
  <w:style w:type="character" w:customStyle="1" w:styleId="243">
    <w:name w:val="题注 Char3"/>
    <w:autoRedefine/>
    <w:qFormat/>
    <w:uiPriority w:val="0"/>
    <w:rPr>
      <w:rFonts w:ascii="黑体" w:hAnsi="Arial" w:eastAsia="黑体" w:cs="Arial"/>
      <w:b/>
      <w:spacing w:val="10"/>
      <w:sz w:val="24"/>
      <w:szCs w:val="24"/>
    </w:rPr>
  </w:style>
  <w:style w:type="character" w:customStyle="1" w:styleId="244">
    <w:name w:val="sub42"/>
    <w:basedOn w:val="90"/>
    <w:autoRedefine/>
    <w:qFormat/>
    <w:uiPriority w:val="0"/>
  </w:style>
  <w:style w:type="character" w:customStyle="1" w:styleId="245">
    <w:name w:val="Char Char11"/>
    <w:autoRedefine/>
    <w:qFormat/>
    <w:uiPriority w:val="0"/>
    <w:rPr>
      <w:rFonts w:hint="eastAsia" w:ascii="宋体" w:hAnsi="宋体" w:eastAsia="宋体"/>
      <w:kern w:val="2"/>
      <w:sz w:val="21"/>
      <w:lang w:val="en-US" w:eastAsia="zh-CN" w:bidi="ar-SA"/>
    </w:rPr>
  </w:style>
  <w:style w:type="character" w:customStyle="1" w:styleId="246">
    <w:name w:val="第一层条 Char6"/>
    <w:autoRedefine/>
    <w:qFormat/>
    <w:uiPriority w:val="0"/>
    <w:rPr>
      <w:rFonts w:ascii="仿宋_GB2312" w:eastAsia="仿宋_GB2312"/>
      <w:b/>
      <w:kern w:val="2"/>
      <w:sz w:val="28"/>
      <w:lang w:val="en-US" w:eastAsia="zh-CN" w:bidi="ar-SA"/>
    </w:rPr>
  </w:style>
  <w:style w:type="character" w:customStyle="1" w:styleId="247">
    <w:name w:val="9 Char Char"/>
    <w:autoRedefine/>
    <w:qFormat/>
    <w:uiPriority w:val="0"/>
    <w:rPr>
      <w:rFonts w:eastAsia="宋体"/>
      <w:kern w:val="2"/>
      <w:sz w:val="28"/>
      <w:szCs w:val="28"/>
      <w:lang w:val="en-US" w:eastAsia="zh-CN" w:bidi="ar-SA"/>
    </w:rPr>
  </w:style>
  <w:style w:type="character" w:customStyle="1" w:styleId="248">
    <w:name w:val="biaoge"/>
    <w:basedOn w:val="90"/>
    <w:autoRedefine/>
    <w:qFormat/>
    <w:uiPriority w:val="0"/>
  </w:style>
  <w:style w:type="character" w:customStyle="1" w:styleId="249">
    <w:name w:val="gray"/>
    <w:basedOn w:val="90"/>
    <w:autoRedefine/>
    <w:qFormat/>
    <w:uiPriority w:val="0"/>
  </w:style>
  <w:style w:type="character" w:customStyle="1" w:styleId="250">
    <w:name w:val="三级标题 Char2"/>
    <w:autoRedefine/>
    <w:qFormat/>
    <w:uiPriority w:val="0"/>
    <w:rPr>
      <w:rFonts w:ascii="黑体" w:hAnsi="宋体" w:eastAsia="黑体"/>
      <w:b/>
      <w:bCs/>
      <w:kern w:val="2"/>
      <w:sz w:val="28"/>
      <w:szCs w:val="28"/>
      <w:lang w:val="en-US" w:eastAsia="zh-CN" w:bidi="ar-SA"/>
    </w:rPr>
  </w:style>
  <w:style w:type="character" w:customStyle="1" w:styleId="251">
    <w:name w:val="列表项目符号 Char"/>
    <w:autoRedefine/>
    <w:qFormat/>
    <w:uiPriority w:val="0"/>
    <w:rPr>
      <w:rFonts w:ascii="仿宋_GB2312" w:hAnsi="Courier New" w:eastAsia="仿宋_GB2312"/>
      <w:sz w:val="28"/>
      <w:lang w:val="en-US" w:eastAsia="zh-CN" w:bidi="ar-SA"/>
    </w:rPr>
  </w:style>
  <w:style w:type="character" w:customStyle="1" w:styleId="252">
    <w:name w:val="Footer1 Char Char"/>
    <w:autoRedefine/>
    <w:qFormat/>
    <w:locked/>
    <w:uiPriority w:val="99"/>
    <w:rPr>
      <w:rFonts w:eastAsia="宋体"/>
      <w:kern w:val="2"/>
      <w:sz w:val="18"/>
      <w:lang w:val="en-US" w:eastAsia="zh-CN" w:bidi="ar-SA"/>
    </w:rPr>
  </w:style>
  <w:style w:type="character" w:customStyle="1" w:styleId="253">
    <w:name w:val="基本信息表格"/>
    <w:autoRedefine/>
    <w:qFormat/>
    <w:uiPriority w:val="0"/>
    <w:rPr>
      <w:rFonts w:ascii="宋体" w:hAnsi="宋体"/>
      <w:sz w:val="24"/>
    </w:rPr>
  </w:style>
  <w:style w:type="character" w:customStyle="1" w:styleId="254">
    <w:name w:val="正文文本缩进 Char2"/>
    <w:autoRedefine/>
    <w:qFormat/>
    <w:uiPriority w:val="0"/>
    <w:rPr>
      <w:rFonts w:ascii="Bookman Old Style" w:hAnsi="Bookman Old Style"/>
      <w:kern w:val="2"/>
      <w:sz w:val="24"/>
    </w:rPr>
  </w:style>
  <w:style w:type="character" w:customStyle="1" w:styleId="255">
    <w:name w:val="题注 Char62"/>
    <w:autoRedefine/>
    <w:qFormat/>
    <w:uiPriority w:val="0"/>
    <w:rPr>
      <w:rFonts w:ascii="黑体" w:hAnsi="Arial" w:eastAsia="黑体" w:cs="Arial"/>
      <w:b/>
      <w:spacing w:val="10"/>
      <w:sz w:val="24"/>
      <w:szCs w:val="24"/>
    </w:rPr>
  </w:style>
  <w:style w:type="character" w:customStyle="1" w:styleId="256">
    <w:name w:val="正文修改 Char1312"/>
    <w:autoRedefine/>
    <w:qFormat/>
    <w:uiPriority w:val="0"/>
    <w:rPr>
      <w:rFonts w:hAnsi="宋体"/>
      <w:color w:val="000000"/>
    </w:rPr>
  </w:style>
  <w:style w:type="character" w:customStyle="1" w:styleId="257">
    <w:name w:val="Char4 Char Char Char Char"/>
    <w:link w:val="258"/>
    <w:autoRedefine/>
    <w:qFormat/>
    <w:uiPriority w:val="0"/>
    <w:rPr>
      <w:sz w:val="24"/>
      <w:szCs w:val="24"/>
    </w:rPr>
  </w:style>
  <w:style w:type="paragraph" w:customStyle="1" w:styleId="258">
    <w:name w:val="Char4 Char Char Char"/>
    <w:basedOn w:val="1"/>
    <w:link w:val="257"/>
    <w:autoRedefine/>
    <w:qFormat/>
    <w:uiPriority w:val="0"/>
    <w:rPr>
      <w:kern w:val="0"/>
      <w:sz w:val="24"/>
      <w:lang w:val="zh-CN"/>
    </w:rPr>
  </w:style>
  <w:style w:type="character" w:customStyle="1" w:styleId="259">
    <w:name w:val="正文(首行缩进) Char"/>
    <w:link w:val="260"/>
    <w:autoRedefine/>
    <w:qFormat/>
    <w:uiPriority w:val="0"/>
    <w:rPr>
      <w:rFonts w:ascii="宋体" w:hAnsi="宋体"/>
      <w:snapToGrid w:val="0"/>
      <w:color w:val="000000"/>
      <w:sz w:val="28"/>
      <w:szCs w:val="28"/>
    </w:rPr>
  </w:style>
  <w:style w:type="paragraph" w:customStyle="1" w:styleId="260">
    <w:name w:val="正文(首行缩进)"/>
    <w:basedOn w:val="1"/>
    <w:link w:val="259"/>
    <w:autoRedefine/>
    <w:qFormat/>
    <w:uiPriority w:val="0"/>
    <w:pPr>
      <w:spacing w:line="500" w:lineRule="exact"/>
    </w:pPr>
    <w:rPr>
      <w:rFonts w:ascii="宋体" w:hAnsi="宋体"/>
      <w:snapToGrid w:val="0"/>
      <w:color w:val="000000"/>
      <w:kern w:val="0"/>
      <w:sz w:val="28"/>
      <w:szCs w:val="28"/>
      <w:lang w:val="zh-CN"/>
    </w:rPr>
  </w:style>
  <w:style w:type="character" w:customStyle="1" w:styleId="261">
    <w:name w:val="标题 3 Char12"/>
    <w:autoRedefine/>
    <w:qFormat/>
    <w:uiPriority w:val="0"/>
    <w:rPr>
      <w:rFonts w:ascii="黑体" w:hAnsi="宋体" w:eastAsia="黑体"/>
      <w:b/>
      <w:bCs/>
      <w:kern w:val="2"/>
      <w:sz w:val="28"/>
      <w:szCs w:val="28"/>
      <w:lang w:val="en-US" w:eastAsia="zh-CN" w:bidi="ar-SA"/>
    </w:rPr>
  </w:style>
  <w:style w:type="character" w:customStyle="1" w:styleId="262">
    <w:name w:val="环评正文文字缩进（江东模板） Char1"/>
    <w:autoRedefine/>
    <w:qFormat/>
    <w:uiPriority w:val="0"/>
    <w:rPr>
      <w:rFonts w:eastAsia="宋体"/>
      <w:kern w:val="2"/>
      <w:sz w:val="16"/>
      <w:lang w:val="en-US" w:eastAsia="zh-CN" w:bidi="ar-SA"/>
    </w:rPr>
  </w:style>
  <w:style w:type="character" w:customStyle="1" w:styleId="263">
    <w:name w:val="C Char"/>
    <w:autoRedefine/>
    <w:qFormat/>
    <w:uiPriority w:val="0"/>
    <w:rPr>
      <w:rFonts w:ascii="仿宋_GB2312" w:hAnsi="黑体" w:eastAsia="宋体"/>
      <w:b/>
      <w:bCs/>
      <w:spacing w:val="10"/>
      <w:kern w:val="44"/>
      <w:sz w:val="24"/>
      <w:szCs w:val="24"/>
      <w:lang w:val="en-US" w:eastAsia="zh-CN" w:bidi="ar-SA"/>
    </w:rPr>
  </w:style>
  <w:style w:type="character" w:customStyle="1" w:styleId="264">
    <w:name w:val="bold1"/>
    <w:autoRedefine/>
    <w:qFormat/>
    <w:uiPriority w:val="0"/>
    <w:rPr>
      <w:b/>
      <w:bCs/>
    </w:rPr>
  </w:style>
  <w:style w:type="character" w:customStyle="1" w:styleId="265">
    <w:name w:val="unnamed51"/>
    <w:autoRedefine/>
    <w:qFormat/>
    <w:uiPriority w:val="0"/>
    <w:rPr>
      <w:rFonts w:hint="eastAsia" w:ascii="宋体" w:hAnsi="宋体" w:eastAsia="宋体"/>
      <w:sz w:val="24"/>
      <w:szCs w:val="24"/>
    </w:rPr>
  </w:style>
  <w:style w:type="character" w:customStyle="1" w:styleId="266">
    <w:name w:val="ff1"/>
    <w:autoRedefine/>
    <w:qFormat/>
    <w:uiPriority w:val="0"/>
    <w:rPr>
      <w:color w:val="000000"/>
      <w:sz w:val="18"/>
      <w:szCs w:val="18"/>
    </w:rPr>
  </w:style>
  <w:style w:type="character" w:customStyle="1" w:styleId="267">
    <w:name w:val="燕山正文 Char16"/>
    <w:autoRedefine/>
    <w:qFormat/>
    <w:uiPriority w:val="0"/>
    <w:rPr>
      <w:rFonts w:ascii="宋体" w:eastAsia="宋体" w:cs="宋体"/>
      <w:kern w:val="2"/>
      <w:sz w:val="24"/>
      <w:szCs w:val="24"/>
      <w:lang w:val="en-US" w:eastAsia="zh-CN" w:bidi="ar-SA"/>
    </w:rPr>
  </w:style>
  <w:style w:type="character" w:customStyle="1" w:styleId="268">
    <w:name w:val="s6wwf"/>
    <w:basedOn w:val="90"/>
    <w:autoRedefine/>
    <w:qFormat/>
    <w:uiPriority w:val="0"/>
  </w:style>
  <w:style w:type="character" w:customStyle="1" w:styleId="269">
    <w:name w:val="spelle"/>
    <w:basedOn w:val="90"/>
    <w:autoRedefine/>
    <w:qFormat/>
    <w:uiPriority w:val="0"/>
  </w:style>
  <w:style w:type="character" w:customStyle="1" w:styleId="270">
    <w:name w:val="文本条款 Char Char"/>
    <w:autoRedefine/>
    <w:qFormat/>
    <w:uiPriority w:val="0"/>
    <w:rPr>
      <w:rFonts w:eastAsia="宋体"/>
      <w:kern w:val="2"/>
      <w:sz w:val="28"/>
      <w:lang w:val="en-US" w:eastAsia="zh-CN" w:bidi="ar-SA"/>
    </w:rPr>
  </w:style>
  <w:style w:type="character" w:customStyle="1" w:styleId="271">
    <w:name w:val="福建正文缩进 Char3"/>
    <w:autoRedefine/>
    <w:qFormat/>
    <w:uiPriority w:val="0"/>
    <w:rPr>
      <w:rFonts w:ascii="宋体" w:hAnsi="宋体" w:eastAsia="宋体" w:cs="宋体"/>
      <w:color w:val="000000"/>
      <w:kern w:val="0"/>
      <w:sz w:val="24"/>
      <w:szCs w:val="24"/>
      <w:lang w:val="en-US" w:eastAsia="zh-CN" w:bidi="ar-SA"/>
    </w:rPr>
  </w:style>
  <w:style w:type="character" w:customStyle="1" w:styleId="272">
    <w:name w:val="项标题(1) Char"/>
    <w:autoRedefine/>
    <w:qFormat/>
    <w:uiPriority w:val="0"/>
    <w:rPr>
      <w:rFonts w:ascii="宋体" w:hAnsi="Arial Black" w:eastAsia="宋体"/>
      <w:b/>
      <w:bCs/>
      <w:sz w:val="24"/>
      <w:lang w:val="en-US" w:eastAsia="zh-CN" w:bidi="ar-SA"/>
    </w:rPr>
  </w:style>
  <w:style w:type="character" w:customStyle="1" w:styleId="273">
    <w:name w:val="标题 3 Char Char12"/>
    <w:autoRedefine/>
    <w:qFormat/>
    <w:uiPriority w:val="0"/>
    <w:rPr>
      <w:rFonts w:ascii="黑体" w:hAnsi="宋体" w:eastAsia="黑体"/>
      <w:b/>
      <w:bCs/>
      <w:kern w:val="2"/>
      <w:sz w:val="28"/>
      <w:szCs w:val="28"/>
      <w:lang w:val="en-US" w:eastAsia="zh-CN" w:bidi="ar-SA"/>
    </w:rPr>
  </w:style>
  <w:style w:type="character" w:customStyle="1" w:styleId="274">
    <w:name w:val="图表题 Char1"/>
    <w:autoRedefine/>
    <w:qFormat/>
    <w:uiPriority w:val="0"/>
    <w:rPr>
      <w:rFonts w:ascii="黑体" w:hAnsi="宋体" w:eastAsia="黑体" w:cs="宋体"/>
      <w:b/>
      <w:bCs/>
      <w:spacing w:val="10"/>
      <w:sz w:val="24"/>
      <w:szCs w:val="24"/>
    </w:rPr>
  </w:style>
  <w:style w:type="character" w:customStyle="1" w:styleId="275">
    <w:name w:val="style211"/>
    <w:autoRedefine/>
    <w:qFormat/>
    <w:uiPriority w:val="0"/>
    <w:rPr>
      <w:rFonts w:eastAsia="宋体"/>
      <w:color w:val="000000"/>
      <w:kern w:val="2"/>
      <w:sz w:val="28"/>
      <w:szCs w:val="28"/>
      <w:lang w:val="en-US" w:eastAsia="zh-CN" w:bidi="ar-SA"/>
    </w:rPr>
  </w:style>
  <w:style w:type="character" w:customStyle="1" w:styleId="276">
    <w:name w:val="批注框文本 Char4"/>
    <w:autoRedefine/>
    <w:qFormat/>
    <w:uiPriority w:val="99"/>
    <w:rPr>
      <w:rFonts w:eastAsia="宋体"/>
      <w:kern w:val="2"/>
      <w:sz w:val="18"/>
      <w:szCs w:val="18"/>
      <w:lang w:val="en-US" w:eastAsia="zh-CN" w:bidi="ar-SA"/>
    </w:rPr>
  </w:style>
  <w:style w:type="character" w:customStyle="1" w:styleId="277">
    <w:name w:val="标题 2 Char11"/>
    <w:autoRedefine/>
    <w:qFormat/>
    <w:uiPriority w:val="0"/>
    <w:rPr>
      <w:rFonts w:hAnsi="Arial" w:eastAsia="宋体"/>
      <w:bCs/>
      <w:kern w:val="2"/>
      <w:sz w:val="30"/>
      <w:szCs w:val="30"/>
      <w:lang w:val="en-US" w:eastAsia="zh-CN" w:bidi="ar-SA"/>
    </w:rPr>
  </w:style>
  <w:style w:type="character" w:customStyle="1" w:styleId="278">
    <w:name w:val="正文斜体 Char12"/>
    <w:autoRedefine/>
    <w:qFormat/>
    <w:uiPriority w:val="99"/>
    <w:rPr>
      <w:rFonts w:ascii="宋体" w:hAnsi="宋体" w:cs="Times New Roman"/>
      <w:i/>
      <w:iCs/>
      <w:sz w:val="24"/>
      <w:szCs w:val="24"/>
    </w:rPr>
  </w:style>
  <w:style w:type="character" w:customStyle="1" w:styleId="279">
    <w:name w:val="nine-11"/>
    <w:autoRedefine/>
    <w:qFormat/>
    <w:uiPriority w:val="0"/>
    <w:rPr>
      <w:rFonts w:hint="default" w:eastAsia="黑体"/>
      <w:b/>
      <w:spacing w:val="10"/>
      <w:kern w:val="44"/>
      <w:sz w:val="18"/>
      <w:szCs w:val="18"/>
      <w:lang w:val="en-US" w:eastAsia="zh-CN"/>
    </w:rPr>
  </w:style>
  <w:style w:type="character" w:customStyle="1" w:styleId="280">
    <w:name w:val="Char Char92"/>
    <w:autoRedefine/>
    <w:qFormat/>
    <w:locked/>
    <w:uiPriority w:val="0"/>
    <w:rPr>
      <w:rFonts w:eastAsia="宋体"/>
      <w:kern w:val="2"/>
      <w:sz w:val="18"/>
      <w:lang w:val="en-US" w:eastAsia="zh-CN" w:bidi="ar-SA"/>
    </w:rPr>
  </w:style>
  <w:style w:type="character" w:customStyle="1" w:styleId="281">
    <w:name w:val="Char Char23"/>
    <w:autoRedefine/>
    <w:qFormat/>
    <w:uiPriority w:val="0"/>
    <w:rPr>
      <w:rFonts w:hint="default" w:ascii="Arial" w:hAnsi="Arial" w:eastAsia="黑体" w:cs="Arial"/>
      <w:kern w:val="2"/>
      <w:sz w:val="21"/>
      <w:szCs w:val="21"/>
      <w:lang w:val="en-US" w:eastAsia="zh-CN" w:bidi="ar-SA"/>
    </w:rPr>
  </w:style>
  <w:style w:type="character" w:customStyle="1" w:styleId="282">
    <w:name w:val="汊河正文 Char"/>
    <w:link w:val="283"/>
    <w:autoRedefine/>
    <w:qFormat/>
    <w:uiPriority w:val="0"/>
    <w:rPr>
      <w:rFonts w:cs="宋体"/>
      <w:sz w:val="24"/>
    </w:rPr>
  </w:style>
  <w:style w:type="paragraph" w:customStyle="1" w:styleId="283">
    <w:name w:val="汊河正文"/>
    <w:basedOn w:val="1"/>
    <w:link w:val="282"/>
    <w:autoRedefine/>
    <w:qFormat/>
    <w:uiPriority w:val="0"/>
    <w:pPr>
      <w:spacing w:line="480" w:lineRule="exact"/>
      <w:ind w:firstLine="480" w:firstLineChars="200"/>
    </w:pPr>
    <w:rPr>
      <w:kern w:val="0"/>
      <w:sz w:val="24"/>
      <w:szCs w:val="20"/>
      <w:lang w:val="zh-CN"/>
    </w:rPr>
  </w:style>
  <w:style w:type="character" w:customStyle="1" w:styleId="284">
    <w:name w:val="燕山正文 Char15"/>
    <w:autoRedefine/>
    <w:qFormat/>
    <w:uiPriority w:val="0"/>
    <w:rPr>
      <w:rFonts w:ascii="宋体" w:eastAsia="宋体" w:cs="宋体"/>
      <w:kern w:val="2"/>
      <w:sz w:val="24"/>
      <w:szCs w:val="24"/>
      <w:lang w:val="en-US" w:eastAsia="zh-CN" w:bidi="ar-SA"/>
    </w:rPr>
  </w:style>
  <w:style w:type="character" w:customStyle="1" w:styleId="285">
    <w:name w:val="14fz1"/>
    <w:autoRedefine/>
    <w:qFormat/>
    <w:uiPriority w:val="0"/>
    <w:rPr>
      <w:rFonts w:hint="default"/>
      <w:color w:val="000000"/>
      <w:sz w:val="32"/>
      <w:szCs w:val="32"/>
    </w:rPr>
  </w:style>
  <w:style w:type="character" w:customStyle="1" w:styleId="286">
    <w:name w:val="正文格式 Char61"/>
    <w:autoRedefine/>
    <w:qFormat/>
    <w:uiPriority w:val="0"/>
    <w:rPr>
      <w:rFonts w:ascii="宋体" w:hAnsi="宋体" w:eastAsia="宋体" w:cs="Times New Roman"/>
      <w:kern w:val="2"/>
      <w:sz w:val="24"/>
      <w:szCs w:val="24"/>
      <w:lang w:val="en-US" w:eastAsia="zh-CN" w:bidi="ar-SA"/>
    </w:rPr>
  </w:style>
  <w:style w:type="character" w:customStyle="1" w:styleId="287">
    <w:name w:val="sss1"/>
    <w:autoRedefine/>
    <w:qFormat/>
    <w:uiPriority w:val="0"/>
    <w:rPr>
      <w:rFonts w:hint="eastAsia" w:ascii="宋体" w:hAnsi="宋体" w:eastAsia="宋体"/>
      <w:color w:val="999999"/>
      <w:sz w:val="21"/>
      <w:szCs w:val="21"/>
      <w:u w:val="none"/>
    </w:rPr>
  </w:style>
  <w:style w:type="character" w:customStyle="1" w:styleId="288">
    <w:name w:val="正文斜体 Char1"/>
    <w:autoRedefine/>
    <w:qFormat/>
    <w:uiPriority w:val="0"/>
    <w:rPr>
      <w:rFonts w:ascii="宋体" w:hAnsi="宋体" w:cs="宋体"/>
      <w:b/>
      <w:i/>
      <w:iCs/>
      <w:spacing w:val="10"/>
      <w:sz w:val="24"/>
      <w:szCs w:val="24"/>
    </w:rPr>
  </w:style>
  <w:style w:type="character" w:customStyle="1" w:styleId="289">
    <w:name w:val="文字缩进 Char Char"/>
    <w:autoRedefine/>
    <w:qFormat/>
    <w:uiPriority w:val="0"/>
    <w:rPr>
      <w:rFonts w:ascii="宋体" w:hAnsi="Courier New" w:eastAsia="宋体"/>
      <w:kern w:val="2"/>
      <w:sz w:val="21"/>
      <w:lang w:val="en-US" w:eastAsia="zh-CN" w:bidi="ar-SA"/>
    </w:rPr>
  </w:style>
  <w:style w:type="character" w:customStyle="1" w:styleId="290">
    <w:name w:val="标题 1 Char Char Char"/>
    <w:autoRedefine/>
    <w:qFormat/>
    <w:uiPriority w:val="0"/>
    <w:rPr>
      <w:rFonts w:ascii="黑体" w:eastAsia="黑体"/>
      <w:kern w:val="2"/>
      <w:sz w:val="30"/>
      <w:lang w:val="en-US" w:eastAsia="zh-CN" w:bidi="ar-SA"/>
    </w:rPr>
  </w:style>
  <w:style w:type="character" w:customStyle="1" w:styleId="291">
    <w:name w:val="批注框文本 Char21"/>
    <w:autoRedefine/>
    <w:qFormat/>
    <w:uiPriority w:val="0"/>
    <w:rPr>
      <w:rFonts w:eastAsia="宋体"/>
      <w:kern w:val="2"/>
      <w:sz w:val="18"/>
      <w:szCs w:val="18"/>
      <w:lang w:val="en-US" w:eastAsia="zh-CN" w:bidi="ar-SA"/>
    </w:rPr>
  </w:style>
  <w:style w:type="character" w:customStyle="1" w:styleId="292">
    <w:name w:val="标题节 Char1"/>
    <w:autoRedefine/>
    <w:qFormat/>
    <w:uiPriority w:val="0"/>
    <w:rPr>
      <w:rFonts w:ascii="Times New Roman" w:hAnsi="Times New Roman"/>
      <w:b/>
      <w:kern w:val="44"/>
      <w:sz w:val="30"/>
      <w:szCs w:val="28"/>
      <w:lang w:val="en-US" w:eastAsia="zh-CN" w:bidi="ar-SA"/>
    </w:rPr>
  </w:style>
  <w:style w:type="character" w:customStyle="1" w:styleId="293">
    <w:name w:val="title6"/>
    <w:basedOn w:val="90"/>
    <w:autoRedefine/>
    <w:qFormat/>
    <w:uiPriority w:val="0"/>
  </w:style>
  <w:style w:type="character" w:customStyle="1" w:styleId="294">
    <w:name w:val="lh151"/>
    <w:basedOn w:val="90"/>
    <w:autoRedefine/>
    <w:qFormat/>
    <w:uiPriority w:val="0"/>
  </w:style>
  <w:style w:type="character" w:customStyle="1" w:styleId="295">
    <w:name w:val="hd"/>
    <w:basedOn w:val="90"/>
    <w:autoRedefine/>
    <w:qFormat/>
    <w:uiPriority w:val="0"/>
  </w:style>
  <w:style w:type="character" w:customStyle="1" w:styleId="296">
    <w:name w:val="表格内字体 Char11"/>
    <w:autoRedefine/>
    <w:qFormat/>
    <w:uiPriority w:val="0"/>
    <w:rPr>
      <w:rFonts w:ascii="宋体" w:hAnsi="宋体" w:eastAsia="宋体"/>
      <w:kern w:val="2"/>
      <w:sz w:val="21"/>
      <w:szCs w:val="24"/>
      <w:lang w:val="en-US" w:eastAsia="zh-CN" w:bidi="ar-SA"/>
    </w:rPr>
  </w:style>
  <w:style w:type="character" w:customStyle="1" w:styleId="297">
    <w:name w:val="Char Char162"/>
    <w:autoRedefine/>
    <w:qFormat/>
    <w:locked/>
    <w:uiPriority w:val="0"/>
    <w:rPr>
      <w:rFonts w:ascii="Times New Roman" w:hAnsi="Times New Roman" w:cs="Times New Roman"/>
      <w:szCs w:val="24"/>
    </w:rPr>
  </w:style>
  <w:style w:type="character" w:customStyle="1" w:styleId="298">
    <w:name w:val="图标标题 Char"/>
    <w:link w:val="299"/>
    <w:autoRedefine/>
    <w:qFormat/>
    <w:uiPriority w:val="0"/>
    <w:rPr>
      <w:b/>
      <w:sz w:val="24"/>
      <w:szCs w:val="24"/>
    </w:rPr>
  </w:style>
  <w:style w:type="paragraph" w:customStyle="1" w:styleId="299">
    <w:name w:val="图标标题"/>
    <w:basedOn w:val="1"/>
    <w:next w:val="1"/>
    <w:link w:val="298"/>
    <w:autoRedefine/>
    <w:qFormat/>
    <w:uiPriority w:val="0"/>
    <w:pPr>
      <w:spacing w:beforeLines="50" w:afterLines="50" w:line="500" w:lineRule="exact"/>
      <w:jc w:val="center"/>
    </w:pPr>
    <w:rPr>
      <w:b/>
      <w:kern w:val="0"/>
      <w:sz w:val="24"/>
      <w:lang w:val="zh-CN"/>
    </w:rPr>
  </w:style>
  <w:style w:type="character" w:customStyle="1" w:styleId="300">
    <w:name w:val="表格文字 Char Char"/>
    <w:autoRedefine/>
    <w:qFormat/>
    <w:uiPriority w:val="0"/>
    <w:rPr>
      <w:rFonts w:ascii="仿宋_GB2312" w:hAnsi="Arial Black" w:eastAsia="仿宋_GB2312"/>
      <w:kern w:val="44"/>
      <w:sz w:val="24"/>
    </w:rPr>
  </w:style>
  <w:style w:type="character" w:customStyle="1" w:styleId="301">
    <w:name w:val="标题 2 Char41"/>
    <w:autoRedefine/>
    <w:qFormat/>
    <w:uiPriority w:val="0"/>
    <w:rPr>
      <w:rFonts w:ascii="黑体" w:hAnsi="Arial" w:eastAsia="黑体" w:cs="Times New Roman"/>
      <w:bCs/>
      <w:kern w:val="2"/>
      <w:sz w:val="30"/>
      <w:szCs w:val="30"/>
      <w:lang w:val="en-US" w:eastAsia="zh-CN" w:bidi="ar-SA"/>
    </w:rPr>
  </w:style>
  <w:style w:type="character" w:customStyle="1" w:styleId="302">
    <w:name w:val="表题1 Char412"/>
    <w:autoRedefine/>
    <w:qFormat/>
    <w:uiPriority w:val="0"/>
    <w:rPr>
      <w:rFonts w:ascii="黑体" w:hAnsi="Arial" w:eastAsia="黑体" w:cs="Arial"/>
      <w:b/>
      <w:kern w:val="2"/>
      <w:sz w:val="24"/>
      <w:szCs w:val="24"/>
      <w:lang w:val="en-US" w:eastAsia="zh-CN" w:bidi="ar-SA"/>
    </w:rPr>
  </w:style>
  <w:style w:type="character" w:customStyle="1" w:styleId="303">
    <w:name w:val="普通文字 Char34"/>
    <w:autoRedefine/>
    <w:qFormat/>
    <w:uiPriority w:val="0"/>
    <w:rPr>
      <w:rFonts w:ascii="宋体" w:hAnsi="Courier New" w:eastAsia="宋体" w:cs="Courier New"/>
      <w:kern w:val="2"/>
      <w:sz w:val="21"/>
      <w:szCs w:val="21"/>
      <w:lang w:val="en-US" w:eastAsia="zh-CN" w:bidi="ar-SA"/>
    </w:rPr>
  </w:style>
  <w:style w:type="character" w:customStyle="1" w:styleId="304">
    <w:name w:val="Char Char32"/>
    <w:autoRedefine/>
    <w:qFormat/>
    <w:uiPriority w:val="0"/>
    <w:rPr>
      <w:rFonts w:ascii="黑体" w:hAnsi="宋体" w:eastAsia="黑体"/>
      <w:b/>
      <w:bCs/>
      <w:kern w:val="2"/>
      <w:sz w:val="28"/>
      <w:szCs w:val="28"/>
      <w:lang w:val="en-US" w:eastAsia="zh-CN" w:bidi="ar-SA"/>
    </w:rPr>
  </w:style>
  <w:style w:type="character" w:customStyle="1" w:styleId="305">
    <w:name w:val="表题1 Char2"/>
    <w:autoRedefine/>
    <w:qFormat/>
    <w:uiPriority w:val="0"/>
    <w:rPr>
      <w:rFonts w:hAnsi="Arial" w:eastAsia="宋体" w:cs="Arial"/>
      <w:kern w:val="2"/>
      <w:sz w:val="24"/>
      <w:szCs w:val="24"/>
      <w:lang w:val="en-US" w:eastAsia="zh-CN" w:bidi="ar-SA"/>
    </w:rPr>
  </w:style>
  <w:style w:type="character" w:customStyle="1" w:styleId="306">
    <w:name w:val="A正文 Char3"/>
    <w:autoRedefine/>
    <w:qFormat/>
    <w:uiPriority w:val="0"/>
    <w:rPr>
      <w:rFonts w:ascii="Times New Roman" w:hAnsi="Times New Roman" w:eastAsia="仿宋_GB2312" w:cs="Times New Roman"/>
      <w:kern w:val="0"/>
      <w:sz w:val="24"/>
      <w:szCs w:val="24"/>
      <w:lang w:val="en-US" w:eastAsia="zh-CN" w:bidi="ar-SA"/>
    </w:rPr>
  </w:style>
  <w:style w:type="character" w:customStyle="1" w:styleId="307">
    <w:name w:val="正文文本 Char4"/>
    <w:autoRedefine/>
    <w:qFormat/>
    <w:uiPriority w:val="0"/>
    <w:rPr>
      <w:rFonts w:ascii="Times New Roman" w:hAnsi="Times New Roman" w:eastAsia="宋体" w:cs="Times New Roman"/>
      <w:kern w:val="2"/>
      <w:sz w:val="24"/>
      <w:szCs w:val="24"/>
      <w:lang w:val="en-US" w:eastAsia="zh-CN" w:bidi="ar-SA"/>
    </w:rPr>
  </w:style>
  <w:style w:type="character" w:customStyle="1" w:styleId="308">
    <w:name w:val="金源 Char"/>
    <w:link w:val="309"/>
    <w:autoRedefine/>
    <w:qFormat/>
    <w:uiPriority w:val="0"/>
    <w:rPr>
      <w:rFonts w:cs="宋体"/>
      <w:sz w:val="24"/>
    </w:rPr>
  </w:style>
  <w:style w:type="paragraph" w:customStyle="1" w:styleId="309">
    <w:name w:val="金源"/>
    <w:basedOn w:val="1"/>
    <w:link w:val="308"/>
    <w:autoRedefine/>
    <w:qFormat/>
    <w:uiPriority w:val="0"/>
    <w:pPr>
      <w:spacing w:line="480" w:lineRule="exact"/>
      <w:ind w:firstLine="480" w:firstLineChars="200"/>
      <w:jc w:val="left"/>
    </w:pPr>
    <w:rPr>
      <w:kern w:val="0"/>
      <w:sz w:val="24"/>
      <w:szCs w:val="20"/>
      <w:lang w:val="zh-CN"/>
    </w:rPr>
  </w:style>
  <w:style w:type="character" w:customStyle="1" w:styleId="310">
    <w:name w:val="p21"/>
    <w:autoRedefine/>
    <w:qFormat/>
    <w:uiPriority w:val="0"/>
    <w:rPr>
      <w:rFonts w:hint="default"/>
      <w:color w:val="0000A0"/>
    </w:rPr>
  </w:style>
  <w:style w:type="character" w:customStyle="1" w:styleId="311">
    <w:name w:val="css-text3"/>
    <w:basedOn w:val="90"/>
    <w:autoRedefine/>
    <w:qFormat/>
    <w:uiPriority w:val="0"/>
  </w:style>
  <w:style w:type="character" w:customStyle="1" w:styleId="312">
    <w:name w:val="表中文字 Char221"/>
    <w:autoRedefine/>
    <w:qFormat/>
    <w:uiPriority w:val="0"/>
    <w:rPr>
      <w:rFonts w:ascii="宋体" w:eastAsia="宋体"/>
      <w:kern w:val="2"/>
      <w:sz w:val="21"/>
      <w:szCs w:val="21"/>
      <w:lang w:val="en-US" w:eastAsia="zh-CN" w:bidi="ar-SA"/>
    </w:rPr>
  </w:style>
  <w:style w:type="character" w:customStyle="1" w:styleId="313">
    <w:name w:val="Char Char211"/>
    <w:autoRedefine/>
    <w:qFormat/>
    <w:uiPriority w:val="0"/>
    <w:rPr>
      <w:rFonts w:ascii="黑体" w:eastAsia="宋体"/>
      <w:kern w:val="2"/>
      <w:sz w:val="16"/>
      <w:szCs w:val="16"/>
      <w:lang w:val="en-US" w:eastAsia="zh-CN" w:bidi="ar-SA"/>
    </w:rPr>
  </w:style>
  <w:style w:type="character" w:customStyle="1" w:styleId="314">
    <w:name w:val="A正文 Char4"/>
    <w:autoRedefine/>
    <w:qFormat/>
    <w:uiPriority w:val="0"/>
    <w:rPr>
      <w:rFonts w:eastAsia="仿宋_GB2312"/>
      <w:kern w:val="2"/>
      <w:sz w:val="24"/>
      <w:szCs w:val="24"/>
      <w:lang w:val="en-US" w:eastAsia="zh-CN" w:bidi="ar-SA"/>
    </w:rPr>
  </w:style>
  <w:style w:type="character" w:customStyle="1" w:styleId="315">
    <w:name w:val="14normal1"/>
    <w:autoRedefine/>
    <w:qFormat/>
    <w:uiPriority w:val="0"/>
    <w:rPr>
      <w:rFonts w:hint="default" w:ascii="ˎ̥" w:hAnsi="ˎ̥"/>
      <w:color w:val="000000"/>
      <w:sz w:val="15"/>
      <w:szCs w:val="15"/>
    </w:rPr>
  </w:style>
  <w:style w:type="character" w:customStyle="1" w:styleId="316">
    <w:name w:val="环正文 Char"/>
    <w:link w:val="317"/>
    <w:autoRedefine/>
    <w:qFormat/>
    <w:uiPriority w:val="0"/>
    <w:rPr>
      <w:rFonts w:ascii="宋体" w:hAnsi="宋体"/>
      <w:sz w:val="24"/>
    </w:rPr>
  </w:style>
  <w:style w:type="paragraph" w:customStyle="1" w:styleId="317">
    <w:name w:val="环正文"/>
    <w:basedOn w:val="1"/>
    <w:link w:val="316"/>
    <w:autoRedefine/>
    <w:qFormat/>
    <w:uiPriority w:val="0"/>
    <w:pPr>
      <w:widowControl/>
      <w:suppressAutoHyphens/>
      <w:adjustRightInd w:val="0"/>
      <w:spacing w:line="360" w:lineRule="auto"/>
      <w:ind w:firstLine="480" w:firstLineChars="200"/>
      <w:textAlignment w:val="baseline"/>
    </w:pPr>
    <w:rPr>
      <w:rFonts w:ascii="宋体" w:hAnsi="宋体"/>
      <w:kern w:val="0"/>
      <w:sz w:val="24"/>
      <w:szCs w:val="20"/>
      <w:lang w:val="zh-CN"/>
    </w:rPr>
  </w:style>
  <w:style w:type="character" w:customStyle="1" w:styleId="318">
    <w:name w:val="样式 正文1 + 首行缩进:  2 字符 Char"/>
    <w:link w:val="319"/>
    <w:autoRedefine/>
    <w:qFormat/>
    <w:locked/>
    <w:uiPriority w:val="0"/>
    <w:rPr>
      <w:rFonts w:ascii="Calibri" w:hAnsi="Calibri"/>
    </w:rPr>
  </w:style>
  <w:style w:type="paragraph" w:customStyle="1" w:styleId="319">
    <w:name w:val="样式 正文1 + 首行缩进:  2 字符"/>
    <w:basedOn w:val="1"/>
    <w:link w:val="318"/>
    <w:autoRedefine/>
    <w:qFormat/>
    <w:uiPriority w:val="0"/>
    <w:rPr>
      <w:rFonts w:ascii="Calibri" w:hAnsi="Calibri"/>
      <w:kern w:val="0"/>
      <w:sz w:val="20"/>
      <w:szCs w:val="20"/>
      <w:lang w:val="zh-CN"/>
    </w:rPr>
  </w:style>
  <w:style w:type="character" w:customStyle="1" w:styleId="320">
    <w:name w:val="Char Char Char3"/>
    <w:autoRedefine/>
    <w:qFormat/>
    <w:uiPriority w:val="0"/>
    <w:rPr>
      <w:rFonts w:hint="eastAsia" w:ascii="宋体" w:hAnsi="Arial" w:eastAsia="宋体"/>
      <w:kern w:val="2"/>
      <w:sz w:val="28"/>
      <w:lang w:val="en-US" w:eastAsia="zh-CN" w:bidi="ar-SA"/>
    </w:rPr>
  </w:style>
  <w:style w:type="character" w:customStyle="1" w:styleId="321">
    <w:name w:val="样式 报告书表格 + (符号) 宋体 Char"/>
    <w:link w:val="322"/>
    <w:autoRedefine/>
    <w:qFormat/>
    <w:uiPriority w:val="0"/>
    <w:rPr>
      <w:rFonts w:hAnsi="宋体"/>
      <w:color w:val="000000"/>
      <w:szCs w:val="21"/>
    </w:rPr>
  </w:style>
  <w:style w:type="paragraph" w:customStyle="1" w:styleId="322">
    <w:name w:val="样式 报告书表格 + (符号) 宋体"/>
    <w:basedOn w:val="323"/>
    <w:link w:val="321"/>
    <w:autoRedefine/>
    <w:qFormat/>
    <w:uiPriority w:val="0"/>
    <w:pPr>
      <w:spacing w:line="360" w:lineRule="exact"/>
      <w:ind w:firstLine="4" w:firstLineChars="2"/>
    </w:pPr>
    <w:rPr>
      <w:rFonts w:hAnsi="宋体"/>
      <w:color w:val="000000"/>
      <w:szCs w:val="21"/>
      <w:lang w:val="zh-CN"/>
    </w:rPr>
  </w:style>
  <w:style w:type="paragraph" w:customStyle="1" w:styleId="323">
    <w:name w:val="报告书表格"/>
    <w:basedOn w:val="1"/>
    <w:link w:val="324"/>
    <w:autoRedefine/>
    <w:qFormat/>
    <w:uiPriority w:val="0"/>
    <w:pPr>
      <w:adjustRightInd w:val="0"/>
      <w:spacing w:line="240" w:lineRule="atLeast"/>
      <w:jc w:val="center"/>
      <w:textAlignment w:val="baseline"/>
    </w:pPr>
    <w:rPr>
      <w:kern w:val="0"/>
      <w:sz w:val="20"/>
      <w:szCs w:val="20"/>
    </w:rPr>
  </w:style>
  <w:style w:type="character" w:customStyle="1" w:styleId="324">
    <w:name w:val="报告书表格 Char"/>
    <w:link w:val="323"/>
    <w:autoRedefine/>
    <w:qFormat/>
    <w:uiPriority w:val="0"/>
  </w:style>
  <w:style w:type="character" w:customStyle="1" w:styleId="325">
    <w:name w:val="表题1 Char7"/>
    <w:autoRedefine/>
    <w:qFormat/>
    <w:uiPriority w:val="0"/>
    <w:rPr>
      <w:rFonts w:ascii="黑体" w:hAnsi="Arial" w:eastAsia="黑体" w:cs="Arial"/>
      <w:b/>
      <w:kern w:val="2"/>
      <w:sz w:val="24"/>
      <w:szCs w:val="24"/>
      <w:lang w:val="en-US" w:eastAsia="zh-CN" w:bidi="ar-SA"/>
    </w:rPr>
  </w:style>
  <w:style w:type="character" w:customStyle="1" w:styleId="326">
    <w:name w:val="表格内字体 Char41"/>
    <w:autoRedefine/>
    <w:qFormat/>
    <w:uiPriority w:val="0"/>
    <w:rPr>
      <w:rFonts w:ascii="宋体" w:hAnsi="宋体" w:eastAsia="宋体"/>
      <w:kern w:val="2"/>
      <w:sz w:val="21"/>
      <w:szCs w:val="24"/>
      <w:lang w:val="en-US" w:eastAsia="zh-CN" w:bidi="ar-SA"/>
    </w:rPr>
  </w:style>
  <w:style w:type="character" w:customStyle="1" w:styleId="327">
    <w:name w:val="新正文 Char"/>
    <w:link w:val="328"/>
    <w:autoRedefine/>
    <w:qFormat/>
    <w:uiPriority w:val="0"/>
    <w:rPr>
      <w:rFonts w:ascii="仿宋_GB2312" w:eastAsia="仿宋_GB2312"/>
      <w:sz w:val="28"/>
    </w:rPr>
  </w:style>
  <w:style w:type="paragraph" w:customStyle="1" w:styleId="328">
    <w:name w:val="新正文"/>
    <w:basedOn w:val="1"/>
    <w:link w:val="327"/>
    <w:autoRedefine/>
    <w:qFormat/>
    <w:uiPriority w:val="0"/>
    <w:pPr>
      <w:spacing w:line="480" w:lineRule="exact"/>
      <w:ind w:firstLine="482"/>
    </w:pPr>
    <w:rPr>
      <w:rFonts w:ascii="仿宋_GB2312" w:eastAsia="仿宋_GB2312"/>
      <w:kern w:val="0"/>
      <w:sz w:val="28"/>
      <w:szCs w:val="20"/>
      <w:lang w:val="zh-CN"/>
    </w:rPr>
  </w:style>
  <w:style w:type="character" w:customStyle="1" w:styleId="329">
    <w:name w:val="font141"/>
    <w:autoRedefine/>
    <w:qFormat/>
    <w:uiPriority w:val="0"/>
    <w:rPr>
      <w:b/>
      <w:bCs/>
      <w:sz w:val="28"/>
      <w:szCs w:val="28"/>
    </w:rPr>
  </w:style>
  <w:style w:type="character" w:customStyle="1" w:styleId="330">
    <w:name w:val="环标1 Char"/>
    <w:autoRedefine/>
    <w:qFormat/>
    <w:uiPriority w:val="0"/>
    <w:rPr>
      <w:rFonts w:ascii="宋体" w:hAnsi="Courier New" w:eastAsia="黑体"/>
      <w:b/>
      <w:kern w:val="44"/>
      <w:sz w:val="32"/>
      <w:lang w:val="en-US" w:eastAsia="zh-CN" w:bidi="ar-SA"/>
    </w:rPr>
  </w:style>
  <w:style w:type="character" w:customStyle="1" w:styleId="331">
    <w:name w:val="s4y5"/>
    <w:basedOn w:val="90"/>
    <w:autoRedefine/>
    <w:qFormat/>
    <w:uiPriority w:val="0"/>
  </w:style>
  <w:style w:type="character" w:customStyle="1" w:styleId="332">
    <w:name w:val="正文文字缩进 3 Char"/>
    <w:autoRedefine/>
    <w:qFormat/>
    <w:locked/>
    <w:uiPriority w:val="0"/>
    <w:rPr>
      <w:rFonts w:eastAsia="宋体"/>
      <w:kern w:val="2"/>
      <w:sz w:val="28"/>
      <w:szCs w:val="28"/>
      <w:lang w:val="en-US" w:eastAsia="zh-CN" w:bidi="ar-SA"/>
    </w:rPr>
  </w:style>
  <w:style w:type="character" w:customStyle="1" w:styleId="333">
    <w:name w:val="标题 4 Char3"/>
    <w:autoRedefine/>
    <w:qFormat/>
    <w:uiPriority w:val="0"/>
    <w:rPr>
      <w:rFonts w:ascii="Arial" w:hAnsi="Arial" w:eastAsia="黑体"/>
      <w:b/>
      <w:bCs/>
      <w:kern w:val="2"/>
      <w:sz w:val="28"/>
      <w:szCs w:val="28"/>
      <w:lang w:val="en-US" w:eastAsia="zh-CN" w:bidi="ar-SA"/>
    </w:rPr>
  </w:style>
  <w:style w:type="character" w:customStyle="1" w:styleId="334">
    <w:name w:val="unnamed1"/>
    <w:basedOn w:val="90"/>
    <w:autoRedefine/>
    <w:qFormat/>
    <w:uiPriority w:val="0"/>
  </w:style>
  <w:style w:type="character" w:customStyle="1" w:styleId="335">
    <w:name w:val="正文修改 Char123"/>
    <w:autoRedefine/>
    <w:qFormat/>
    <w:uiPriority w:val="0"/>
    <w:rPr>
      <w:rFonts w:ascii="宋体" w:hAnsi="宋体" w:eastAsia="宋体" w:cs="宋体"/>
      <w:color w:val="000000"/>
      <w:sz w:val="24"/>
      <w:szCs w:val="24"/>
    </w:rPr>
  </w:style>
  <w:style w:type="character" w:customStyle="1" w:styleId="336">
    <w:name w:val="hottext1"/>
    <w:autoRedefine/>
    <w:qFormat/>
    <w:uiPriority w:val="0"/>
    <w:rPr>
      <w:rFonts w:ascii="宋体" w:hAnsi="宋体" w:eastAsia="宋体"/>
      <w:strike/>
      <w:sz w:val="22"/>
      <w:u w:val="none"/>
    </w:rPr>
  </w:style>
  <w:style w:type="character" w:customStyle="1" w:styleId="337">
    <w:name w:val="标题 3 Char Char111"/>
    <w:autoRedefine/>
    <w:qFormat/>
    <w:uiPriority w:val="0"/>
    <w:rPr>
      <w:rFonts w:ascii="黑体" w:hAnsi="宋体" w:eastAsia="黑体"/>
      <w:bCs/>
      <w:kern w:val="2"/>
      <w:sz w:val="28"/>
      <w:szCs w:val="28"/>
      <w:lang w:val="en-US" w:eastAsia="zh-CN" w:bidi="ar-SA"/>
    </w:rPr>
  </w:style>
  <w:style w:type="character" w:customStyle="1" w:styleId="338">
    <w:name w:val="zw1"/>
    <w:autoRedefine/>
    <w:qFormat/>
    <w:uiPriority w:val="0"/>
    <w:rPr>
      <w:rFonts w:hint="eastAsia" w:ascii="宋体" w:hAnsi="宋体" w:eastAsia="宋体"/>
      <w:sz w:val="22"/>
      <w:szCs w:val="22"/>
    </w:rPr>
  </w:style>
  <w:style w:type="character" w:customStyle="1" w:styleId="339">
    <w:name w:val="表题1 Char1"/>
    <w:autoRedefine/>
    <w:qFormat/>
    <w:uiPriority w:val="0"/>
    <w:rPr>
      <w:rFonts w:ascii="黑体" w:hAnsi="Arial" w:eastAsia="黑体" w:cs="Arial"/>
      <w:kern w:val="2"/>
      <w:sz w:val="24"/>
      <w:szCs w:val="24"/>
      <w:lang w:val="en-US" w:eastAsia="zh-CN" w:bidi="ar-SA"/>
    </w:rPr>
  </w:style>
  <w:style w:type="character" w:customStyle="1" w:styleId="340">
    <w:name w:val="标题 41"/>
    <w:autoRedefine/>
    <w:qFormat/>
    <w:uiPriority w:val="0"/>
    <w:rPr>
      <w:rFonts w:eastAsia="宋体"/>
      <w:spacing w:val="5"/>
      <w:kern w:val="2"/>
      <w:sz w:val="28"/>
      <w:lang w:val="en-US" w:eastAsia="zh-CN" w:bidi="ar-SA"/>
    </w:rPr>
  </w:style>
  <w:style w:type="character" w:customStyle="1" w:styleId="341">
    <w:name w:val="正文斜体 Char3"/>
    <w:autoRedefine/>
    <w:qFormat/>
    <w:uiPriority w:val="0"/>
    <w:rPr>
      <w:rFonts w:ascii="宋体" w:hAnsi="宋体" w:cs="Times New Roman"/>
      <w:b/>
      <w:i/>
      <w:iCs/>
      <w:spacing w:val="10"/>
      <w:sz w:val="24"/>
      <w:szCs w:val="24"/>
    </w:rPr>
  </w:style>
  <w:style w:type="character" w:customStyle="1" w:styleId="342">
    <w:name w:val="正文修改 Char12"/>
    <w:autoRedefine/>
    <w:qFormat/>
    <w:uiPriority w:val="0"/>
    <w:rPr>
      <w:rFonts w:ascii="宋体" w:hAnsi="宋体" w:eastAsia="宋体" w:cs="宋体"/>
      <w:color w:val="000000"/>
      <w:sz w:val="24"/>
      <w:szCs w:val="24"/>
    </w:rPr>
  </w:style>
  <w:style w:type="character" w:customStyle="1" w:styleId="343">
    <w:name w:val="环表头 Char5"/>
    <w:autoRedefine/>
    <w:qFormat/>
    <w:uiPriority w:val="0"/>
    <w:rPr>
      <w:rFonts w:eastAsia="黑体"/>
      <w:color w:val="000000"/>
      <w:sz w:val="24"/>
      <w:szCs w:val="24"/>
      <w:lang w:val="en-US" w:eastAsia="zh-CN" w:bidi="ar-SA"/>
    </w:rPr>
  </w:style>
  <w:style w:type="character" w:customStyle="1" w:styleId="344">
    <w:name w:val="+正文 Char"/>
    <w:link w:val="345"/>
    <w:autoRedefine/>
    <w:qFormat/>
    <w:uiPriority w:val="0"/>
    <w:rPr>
      <w:sz w:val="24"/>
      <w:szCs w:val="28"/>
    </w:rPr>
  </w:style>
  <w:style w:type="paragraph" w:customStyle="1" w:styleId="345">
    <w:name w:val="+正文"/>
    <w:basedOn w:val="1"/>
    <w:next w:val="346"/>
    <w:link w:val="344"/>
    <w:autoRedefine/>
    <w:qFormat/>
    <w:uiPriority w:val="0"/>
    <w:pPr>
      <w:spacing w:line="500" w:lineRule="exact"/>
      <w:ind w:firstLine="200" w:firstLineChars="200"/>
    </w:pPr>
    <w:rPr>
      <w:kern w:val="0"/>
      <w:sz w:val="24"/>
      <w:szCs w:val="28"/>
      <w:lang w:val="zh-CN"/>
    </w:rPr>
  </w:style>
  <w:style w:type="paragraph" w:customStyle="1" w:styleId="346">
    <w:name w:val="hhcwt正文"/>
    <w:basedOn w:val="1"/>
    <w:link w:val="347"/>
    <w:autoRedefine/>
    <w:qFormat/>
    <w:uiPriority w:val="0"/>
    <w:pPr>
      <w:spacing w:line="360" w:lineRule="auto"/>
      <w:ind w:firstLine="480" w:firstLineChars="200"/>
    </w:pPr>
    <w:rPr>
      <w:kern w:val="0"/>
      <w:sz w:val="24"/>
      <w:lang w:val="zh-CN"/>
    </w:rPr>
  </w:style>
  <w:style w:type="character" w:customStyle="1" w:styleId="347">
    <w:name w:val="hhcwt正文 Char"/>
    <w:link w:val="346"/>
    <w:autoRedefine/>
    <w:qFormat/>
    <w:uiPriority w:val="0"/>
    <w:rPr>
      <w:rFonts w:cs="宋体"/>
      <w:sz w:val="24"/>
      <w:szCs w:val="24"/>
    </w:rPr>
  </w:style>
  <w:style w:type="character" w:customStyle="1" w:styleId="348">
    <w:name w:val="正文图 Char Char"/>
    <w:link w:val="349"/>
    <w:autoRedefine/>
    <w:qFormat/>
    <w:uiPriority w:val="0"/>
    <w:rPr>
      <w:rFonts w:ascii="宋体"/>
      <w:sz w:val="24"/>
      <w:szCs w:val="24"/>
    </w:rPr>
  </w:style>
  <w:style w:type="paragraph" w:customStyle="1" w:styleId="349">
    <w:name w:val="正文图 Char"/>
    <w:basedOn w:val="1"/>
    <w:link w:val="348"/>
    <w:autoRedefine/>
    <w:qFormat/>
    <w:uiPriority w:val="0"/>
    <w:pPr>
      <w:adjustRightInd w:val="0"/>
      <w:snapToGrid w:val="0"/>
      <w:jc w:val="center"/>
      <w:textAlignment w:val="baseline"/>
    </w:pPr>
    <w:rPr>
      <w:rFonts w:ascii="宋体"/>
      <w:kern w:val="0"/>
      <w:sz w:val="24"/>
      <w:lang w:val="zh-CN"/>
    </w:rPr>
  </w:style>
  <w:style w:type="character" w:customStyle="1" w:styleId="350">
    <w:name w:val="s6lx"/>
    <w:basedOn w:val="90"/>
    <w:autoRedefine/>
    <w:qFormat/>
    <w:uiPriority w:val="0"/>
  </w:style>
  <w:style w:type="character" w:customStyle="1" w:styleId="351">
    <w:name w:val="标题2 Char11"/>
    <w:autoRedefine/>
    <w:qFormat/>
    <w:uiPriority w:val="0"/>
    <w:rPr>
      <w:rFonts w:ascii="宋体" w:hAnsi="宋体" w:eastAsia="宋体" w:cs="宋体"/>
      <w:color w:val="000000"/>
      <w:kern w:val="2"/>
      <w:sz w:val="24"/>
      <w:szCs w:val="24"/>
      <w:lang w:val="en-US" w:eastAsia="zh-CN" w:bidi="ar-SA"/>
    </w:rPr>
  </w:style>
  <w:style w:type="character" w:customStyle="1" w:styleId="352">
    <w:name w:val="题注 Char6"/>
    <w:autoRedefine/>
    <w:qFormat/>
    <w:uiPriority w:val="0"/>
    <w:rPr>
      <w:rFonts w:ascii="黑体" w:hAnsi="Arial" w:eastAsia="黑体" w:cs="Arial"/>
      <w:b/>
      <w:spacing w:val="10"/>
      <w:sz w:val="24"/>
      <w:szCs w:val="24"/>
    </w:rPr>
  </w:style>
  <w:style w:type="character" w:customStyle="1" w:styleId="353">
    <w:name w:val="正文修改 Char113"/>
    <w:autoRedefine/>
    <w:qFormat/>
    <w:uiPriority w:val="0"/>
    <w:rPr>
      <w:rFonts w:ascii="宋体" w:hAnsi="宋体" w:eastAsia="宋体" w:cs="宋体"/>
      <w:color w:val="000000"/>
      <w:sz w:val="24"/>
      <w:szCs w:val="24"/>
    </w:rPr>
  </w:style>
  <w:style w:type="character" w:customStyle="1" w:styleId="354">
    <w:name w:val="pt14"/>
    <w:basedOn w:val="90"/>
    <w:autoRedefine/>
    <w:qFormat/>
    <w:uiPriority w:val="0"/>
  </w:style>
  <w:style w:type="character" w:customStyle="1" w:styleId="355">
    <w:name w:val="正文1-1 Char Char"/>
    <w:autoRedefine/>
    <w:qFormat/>
    <w:uiPriority w:val="0"/>
    <w:rPr>
      <w:rFonts w:ascii="宋体" w:hAnsi="宋体" w:eastAsia="仿宋_GB2312" w:cs="宋体"/>
      <w:kern w:val="0"/>
      <w:sz w:val="28"/>
      <w:szCs w:val="24"/>
    </w:rPr>
  </w:style>
  <w:style w:type="character" w:customStyle="1" w:styleId="356">
    <w:name w:val="框图正文 Char Char"/>
    <w:autoRedefine/>
    <w:qFormat/>
    <w:uiPriority w:val="0"/>
    <w:rPr>
      <w:rFonts w:eastAsia="宋体"/>
      <w:kern w:val="2"/>
      <w:sz w:val="21"/>
      <w:szCs w:val="24"/>
      <w:lang w:val="en-US" w:eastAsia="zh-CN" w:bidi="ar-SA"/>
    </w:rPr>
  </w:style>
  <w:style w:type="character" w:customStyle="1" w:styleId="357">
    <w:name w:val="节 Char Char"/>
    <w:autoRedefine/>
    <w:qFormat/>
    <w:uiPriority w:val="0"/>
    <w:rPr>
      <w:rFonts w:ascii="仿宋_GB2312" w:hAnsi="Arial" w:eastAsia="仿宋_GB2312"/>
      <w:b/>
      <w:bCs/>
      <w:kern w:val="2"/>
      <w:sz w:val="30"/>
      <w:szCs w:val="32"/>
      <w:lang w:val="en-US" w:eastAsia="zh-CN" w:bidi="ar-SA"/>
    </w:rPr>
  </w:style>
  <w:style w:type="character" w:customStyle="1" w:styleId="358">
    <w:name w:val="Char Char52"/>
    <w:autoRedefine/>
    <w:qFormat/>
    <w:uiPriority w:val="0"/>
    <w:rPr>
      <w:rFonts w:ascii="黑体" w:hAnsi="宋体" w:eastAsia="黑体"/>
      <w:bCs/>
      <w:kern w:val="2"/>
      <w:sz w:val="28"/>
      <w:szCs w:val="28"/>
      <w:lang w:val="en-US" w:eastAsia="zh-CN" w:bidi="ar-SA"/>
    </w:rPr>
  </w:style>
  <w:style w:type="character" w:customStyle="1" w:styleId="359">
    <w:name w:val="表内5 Char5"/>
    <w:autoRedefine/>
    <w:qFormat/>
    <w:uiPriority w:val="0"/>
    <w:rPr>
      <w:rFonts w:ascii="宋体" w:hAnsi="宋体" w:eastAsia="宋体" w:cs="Times New Roman"/>
      <w:kern w:val="2"/>
      <w:sz w:val="24"/>
      <w:szCs w:val="24"/>
      <w:lang w:val="en-US" w:eastAsia="zh-CN" w:bidi="ar-SA"/>
    </w:rPr>
  </w:style>
  <w:style w:type="character" w:customStyle="1" w:styleId="360">
    <w:name w:val="环正文 Char5"/>
    <w:autoRedefine/>
    <w:qFormat/>
    <w:uiPriority w:val="0"/>
    <w:rPr>
      <w:rFonts w:ascii="宋体" w:hAnsi="宋体" w:eastAsia="宋体"/>
      <w:color w:val="000000"/>
      <w:kern w:val="2"/>
      <w:sz w:val="24"/>
      <w:szCs w:val="24"/>
      <w:lang w:val="en-US" w:eastAsia="zh-CN" w:bidi="ar-SA"/>
    </w:rPr>
  </w:style>
  <w:style w:type="character" w:customStyle="1" w:styleId="361">
    <w:name w:val="正文格式 Char51"/>
    <w:autoRedefine/>
    <w:qFormat/>
    <w:uiPriority w:val="0"/>
    <w:rPr>
      <w:rFonts w:ascii="宋体" w:hAnsi="宋体" w:eastAsia="宋体"/>
      <w:kern w:val="2"/>
      <w:sz w:val="24"/>
      <w:szCs w:val="24"/>
      <w:lang w:val="en-US" w:eastAsia="zh-CN" w:bidi="ar-SA"/>
    </w:rPr>
  </w:style>
  <w:style w:type="character" w:customStyle="1" w:styleId="362">
    <w:name w:val="环表头 Char2"/>
    <w:autoRedefine/>
    <w:qFormat/>
    <w:uiPriority w:val="0"/>
    <w:rPr>
      <w:rFonts w:ascii="黑体" w:hAnsi="宋体" w:eastAsia="黑体"/>
      <w:color w:val="000000"/>
      <w:sz w:val="24"/>
      <w:szCs w:val="24"/>
      <w:lang w:val="en-US" w:eastAsia="zh-CN" w:bidi="ar-SA"/>
    </w:rPr>
  </w:style>
  <w:style w:type="character" w:customStyle="1" w:styleId="363">
    <w:name w:val="表格内字体 Char61"/>
    <w:autoRedefine/>
    <w:qFormat/>
    <w:uiPriority w:val="0"/>
    <w:rPr>
      <w:rFonts w:ascii="宋体" w:hAnsi="宋体" w:eastAsia="宋体" w:cs="Times New Roman"/>
      <w:kern w:val="2"/>
      <w:sz w:val="24"/>
      <w:szCs w:val="24"/>
      <w:lang w:val="en-US" w:eastAsia="zh-CN" w:bidi="ar-SA"/>
    </w:rPr>
  </w:style>
  <w:style w:type="character" w:customStyle="1" w:styleId="364">
    <w:name w:val="燕山正文 Char18"/>
    <w:autoRedefine/>
    <w:qFormat/>
    <w:uiPriority w:val="0"/>
    <w:rPr>
      <w:rFonts w:ascii="宋体" w:eastAsia="宋体" w:cs="宋体"/>
      <w:kern w:val="2"/>
      <w:sz w:val="24"/>
      <w:szCs w:val="24"/>
      <w:lang w:val="en-US" w:eastAsia="zh-CN" w:bidi="ar-SA"/>
    </w:rPr>
  </w:style>
  <w:style w:type="character" w:customStyle="1" w:styleId="365">
    <w:name w:val="richtextmngstyle1"/>
    <w:autoRedefine/>
    <w:qFormat/>
    <w:uiPriority w:val="0"/>
    <w:rPr>
      <w:rFonts w:eastAsia="宋体"/>
      <w:color w:val="000000"/>
      <w:spacing w:val="15"/>
      <w:kern w:val="2"/>
      <w:sz w:val="21"/>
      <w:szCs w:val="21"/>
      <w:u w:val="none"/>
      <w:lang w:val="en-US" w:eastAsia="zh-CN" w:bidi="ar-SA"/>
    </w:rPr>
  </w:style>
  <w:style w:type="character" w:customStyle="1" w:styleId="366">
    <w:name w:val="Char Char103"/>
    <w:autoRedefine/>
    <w:qFormat/>
    <w:uiPriority w:val="0"/>
    <w:rPr>
      <w:rFonts w:eastAsia="宋体"/>
      <w:kern w:val="2"/>
      <w:sz w:val="21"/>
      <w:lang w:val="en-US" w:eastAsia="zh-CN" w:bidi="ar-SA"/>
    </w:rPr>
  </w:style>
  <w:style w:type="character" w:customStyle="1" w:styleId="367">
    <w:name w:val="题注 Char2"/>
    <w:autoRedefine/>
    <w:qFormat/>
    <w:uiPriority w:val="0"/>
    <w:rPr>
      <w:rFonts w:ascii="黑体" w:hAnsi="Arial" w:eastAsia="黑体" w:cs="Arial"/>
      <w:b/>
      <w:spacing w:val="10"/>
      <w:sz w:val="24"/>
      <w:szCs w:val="24"/>
    </w:rPr>
  </w:style>
  <w:style w:type="character" w:customStyle="1" w:styleId="368">
    <w:name w:val="样式 正文首行缩进 + 左侧:  2 字符 段前: 0.15 行 段后: 0.15 行 Char"/>
    <w:link w:val="369"/>
    <w:autoRedefine/>
    <w:qFormat/>
    <w:uiPriority w:val="0"/>
    <w:rPr>
      <w:rFonts w:cs="宋体"/>
      <w:sz w:val="28"/>
    </w:rPr>
  </w:style>
  <w:style w:type="paragraph" w:customStyle="1" w:styleId="369">
    <w:name w:val="样式 正文首行缩进 + 左侧:  2 字符 段前: 0.15 行 段后: 0.15 行"/>
    <w:basedOn w:val="86"/>
    <w:link w:val="368"/>
    <w:autoRedefine/>
    <w:qFormat/>
    <w:uiPriority w:val="0"/>
    <w:pPr>
      <w:tabs>
        <w:tab w:val="left" w:pos="283"/>
      </w:tabs>
      <w:adjustRightInd w:val="0"/>
      <w:snapToGrid w:val="0"/>
      <w:spacing w:after="0" w:line="520" w:lineRule="atLeast"/>
      <w:ind w:firstLine="200" w:firstLineChars="200"/>
    </w:pPr>
    <w:rPr>
      <w:sz w:val="28"/>
    </w:rPr>
  </w:style>
  <w:style w:type="character" w:customStyle="1" w:styleId="370">
    <w:name w:val="style311"/>
    <w:autoRedefine/>
    <w:qFormat/>
    <w:uiPriority w:val="0"/>
    <w:rPr>
      <w:b/>
      <w:bCs/>
      <w:color w:val="000000"/>
      <w:sz w:val="18"/>
      <w:szCs w:val="18"/>
    </w:rPr>
  </w:style>
  <w:style w:type="character" w:customStyle="1" w:styleId="371">
    <w:name w:val="highlight1"/>
    <w:autoRedefine/>
    <w:qFormat/>
    <w:uiPriority w:val="0"/>
    <w:rPr>
      <w:sz w:val="21"/>
      <w:szCs w:val="21"/>
    </w:rPr>
  </w:style>
  <w:style w:type="character" w:customStyle="1" w:styleId="372">
    <w:name w:val="row1"/>
    <w:autoRedefine/>
    <w:qFormat/>
    <w:uiPriority w:val="0"/>
    <w:rPr>
      <w:rFonts w:eastAsia="宋体"/>
      <w:color w:val="333333"/>
      <w:spacing w:val="480"/>
      <w:kern w:val="2"/>
      <w:sz w:val="18"/>
      <w:szCs w:val="18"/>
      <w:u w:val="none"/>
      <w:lang w:val="en-US" w:eastAsia="zh-CN" w:bidi="ar-SA"/>
    </w:rPr>
  </w:style>
  <w:style w:type="character" w:customStyle="1" w:styleId="373">
    <w:name w:val="正文文本缩进 3 Char2"/>
    <w:autoRedefine/>
    <w:qFormat/>
    <w:uiPriority w:val="0"/>
    <w:rPr>
      <w:rFonts w:ascii="Times New Roman" w:hAnsi="Times New Roman"/>
      <w:kern w:val="2"/>
      <w:sz w:val="16"/>
    </w:rPr>
  </w:style>
  <w:style w:type="character" w:customStyle="1" w:styleId="374">
    <w:name w:val="小五 Char Char Char"/>
    <w:link w:val="375"/>
    <w:autoRedefine/>
    <w:qFormat/>
    <w:uiPriority w:val="0"/>
    <w:rPr>
      <w:rFonts w:ascii="宋体" w:hAnsi="宋体"/>
      <w:kern w:val="2"/>
      <w:sz w:val="21"/>
      <w:szCs w:val="21"/>
      <w:lang w:val="en-US" w:eastAsia="zh-CN" w:bidi="ar-SA"/>
    </w:rPr>
  </w:style>
  <w:style w:type="paragraph" w:customStyle="1" w:styleId="375">
    <w:name w:val="小五 Char Char"/>
    <w:link w:val="374"/>
    <w:autoRedefine/>
    <w:qFormat/>
    <w:uiPriority w:val="0"/>
    <w:pPr>
      <w:autoSpaceDE w:val="0"/>
      <w:autoSpaceDN w:val="0"/>
      <w:adjustRightInd w:val="0"/>
      <w:snapToGrid w:val="0"/>
      <w:spacing w:line="360" w:lineRule="auto"/>
      <w:jc w:val="both"/>
    </w:pPr>
    <w:rPr>
      <w:rFonts w:ascii="宋体" w:hAnsi="宋体" w:eastAsia="宋体" w:cs="Times New Roman"/>
      <w:kern w:val="2"/>
      <w:sz w:val="21"/>
      <w:szCs w:val="21"/>
      <w:lang w:val="en-US" w:eastAsia="zh-CN" w:bidi="ar-SA"/>
    </w:rPr>
  </w:style>
  <w:style w:type="character" w:customStyle="1" w:styleId="376">
    <w:name w:val="标题 4 Char2 Char"/>
    <w:autoRedefine/>
    <w:qFormat/>
    <w:uiPriority w:val="0"/>
    <w:rPr>
      <w:rFonts w:ascii="Arial" w:hAnsi="Arial" w:eastAsia="黑体"/>
      <w:b/>
      <w:bCs/>
      <w:kern w:val="2"/>
      <w:sz w:val="28"/>
      <w:szCs w:val="28"/>
      <w:lang w:val="en-US" w:eastAsia="zh-CN" w:bidi="ar-SA"/>
    </w:rPr>
  </w:style>
  <w:style w:type="character" w:customStyle="1" w:styleId="377">
    <w:name w:val="Char Char19"/>
    <w:autoRedefine/>
    <w:qFormat/>
    <w:uiPriority w:val="0"/>
    <w:rPr>
      <w:rFonts w:ascii="Times New Roman" w:hAnsi="Times New Roman" w:eastAsia="仿宋_GB2312" w:cs="Times New Roman"/>
      <w:b/>
      <w:spacing w:val="10"/>
      <w:kern w:val="44"/>
      <w:sz w:val="18"/>
      <w:szCs w:val="20"/>
      <w:lang w:val="en-US" w:eastAsia="zh-CN" w:bidi="ar-SA"/>
    </w:rPr>
  </w:style>
  <w:style w:type="character" w:customStyle="1" w:styleId="378">
    <w:name w:val="f41"/>
    <w:autoRedefine/>
    <w:qFormat/>
    <w:uiPriority w:val="0"/>
    <w:rPr>
      <w:color w:val="333333"/>
      <w:sz w:val="21"/>
      <w:szCs w:val="21"/>
    </w:rPr>
  </w:style>
  <w:style w:type="character" w:customStyle="1" w:styleId="379">
    <w:name w:val="表格内字体 Char5"/>
    <w:autoRedefine/>
    <w:qFormat/>
    <w:uiPriority w:val="0"/>
    <w:rPr>
      <w:rFonts w:ascii="宋体" w:hAnsi="宋体" w:eastAsia="宋体"/>
      <w:kern w:val="2"/>
      <w:sz w:val="21"/>
      <w:szCs w:val="24"/>
      <w:lang w:val="en-US" w:eastAsia="zh-CN" w:bidi="ar-SA"/>
    </w:rPr>
  </w:style>
  <w:style w:type="character" w:customStyle="1" w:styleId="380">
    <w:name w:val="Char Char212"/>
    <w:autoRedefine/>
    <w:qFormat/>
    <w:uiPriority w:val="0"/>
    <w:rPr>
      <w:rFonts w:ascii="黑体" w:eastAsia="宋体"/>
      <w:kern w:val="2"/>
      <w:sz w:val="16"/>
      <w:szCs w:val="16"/>
      <w:lang w:val="en-US" w:eastAsia="zh-CN" w:bidi="ar-SA"/>
    </w:rPr>
  </w:style>
  <w:style w:type="character" w:customStyle="1" w:styleId="381">
    <w:name w:val="正文修改 Char11"/>
    <w:autoRedefine/>
    <w:qFormat/>
    <w:uiPriority w:val="0"/>
    <w:rPr>
      <w:rFonts w:ascii="宋体" w:hAnsi="宋体" w:eastAsia="宋体" w:cs="宋体"/>
      <w:color w:val="000000"/>
      <w:sz w:val="24"/>
      <w:szCs w:val="24"/>
    </w:rPr>
  </w:style>
  <w:style w:type="character" w:styleId="382">
    <w:name w:val="Placeholder Text"/>
    <w:autoRedefine/>
    <w:qFormat/>
    <w:uiPriority w:val="0"/>
    <w:rPr>
      <w:color w:val="808080"/>
    </w:rPr>
  </w:style>
  <w:style w:type="character" w:customStyle="1" w:styleId="383">
    <w:name w:val="ourfont2"/>
    <w:basedOn w:val="90"/>
    <w:autoRedefine/>
    <w:qFormat/>
    <w:uiPriority w:val="0"/>
  </w:style>
  <w:style w:type="character" w:customStyle="1" w:styleId="384">
    <w:name w:val="s lh15"/>
    <w:basedOn w:val="90"/>
    <w:autoRedefine/>
    <w:qFormat/>
    <w:uiPriority w:val="0"/>
  </w:style>
  <w:style w:type="character" w:customStyle="1" w:styleId="385">
    <w:name w:val="正文（首行缩进两字） Char Char Char Char Char Char Char Char Char Char"/>
    <w:autoRedefine/>
    <w:qFormat/>
    <w:uiPriority w:val="0"/>
    <w:rPr>
      <w:rFonts w:ascii="仿宋_GB2312" w:eastAsia="仿宋_GB2312"/>
      <w:kern w:val="2"/>
      <w:sz w:val="28"/>
      <w:szCs w:val="24"/>
      <w:lang w:val="en-US" w:eastAsia="zh-CN" w:bidi="ar-SA"/>
    </w:rPr>
  </w:style>
  <w:style w:type="character" w:customStyle="1" w:styleId="386">
    <w:name w:val="项标题(1) Char2"/>
    <w:autoRedefine/>
    <w:qFormat/>
    <w:uiPriority w:val="0"/>
    <w:rPr>
      <w:rFonts w:eastAsia="宋体"/>
      <w:spacing w:val="5"/>
      <w:kern w:val="2"/>
      <w:sz w:val="28"/>
      <w:szCs w:val="24"/>
      <w:lang w:val="en-US" w:eastAsia="zh-CN" w:bidi="ar-SA"/>
    </w:rPr>
  </w:style>
  <w:style w:type="character" w:customStyle="1" w:styleId="387">
    <w:name w:val="表格内字体 Char1"/>
    <w:autoRedefine/>
    <w:qFormat/>
    <w:uiPriority w:val="0"/>
    <w:rPr>
      <w:rFonts w:ascii="宋体" w:hAnsi="宋体" w:eastAsia="宋体"/>
      <w:kern w:val="2"/>
      <w:sz w:val="21"/>
      <w:szCs w:val="24"/>
      <w:lang w:val="en-US" w:eastAsia="zh-CN" w:bidi="ar-SA"/>
    </w:rPr>
  </w:style>
  <w:style w:type="character" w:customStyle="1" w:styleId="388">
    <w:name w:val="标题 2 Char2"/>
    <w:autoRedefine/>
    <w:qFormat/>
    <w:uiPriority w:val="0"/>
    <w:rPr>
      <w:rFonts w:ascii="黑体" w:hAnsi="Arial" w:eastAsia="黑体"/>
      <w:b/>
      <w:bCs/>
      <w:kern w:val="2"/>
      <w:sz w:val="30"/>
      <w:szCs w:val="30"/>
      <w:lang w:val="en-US" w:eastAsia="zh-CN" w:bidi="ar-SA"/>
    </w:rPr>
  </w:style>
  <w:style w:type="character" w:customStyle="1" w:styleId="389">
    <w:name w:val="正文格式 Char5"/>
    <w:autoRedefine/>
    <w:qFormat/>
    <w:uiPriority w:val="0"/>
    <w:rPr>
      <w:rFonts w:ascii="宋体" w:hAnsi="宋体" w:eastAsia="宋体"/>
      <w:kern w:val="2"/>
      <w:sz w:val="24"/>
      <w:szCs w:val="24"/>
      <w:lang w:val="en-US" w:eastAsia="zh-CN" w:bidi="ar-SA"/>
    </w:rPr>
  </w:style>
  <w:style w:type="character" w:customStyle="1" w:styleId="390">
    <w:name w:val="text1"/>
    <w:basedOn w:val="90"/>
    <w:autoRedefine/>
    <w:qFormat/>
    <w:uiPriority w:val="0"/>
  </w:style>
  <w:style w:type="character" w:customStyle="1" w:styleId="391">
    <w:name w:val="large1"/>
    <w:autoRedefine/>
    <w:qFormat/>
    <w:uiPriority w:val="0"/>
    <w:rPr>
      <w:sz w:val="22"/>
      <w:szCs w:val="22"/>
    </w:rPr>
  </w:style>
  <w:style w:type="character" w:customStyle="1" w:styleId="392">
    <w:name w:val="标题 3 Char9"/>
    <w:autoRedefine/>
    <w:qFormat/>
    <w:uiPriority w:val="0"/>
    <w:rPr>
      <w:rFonts w:ascii="黑体" w:hAnsi="宋体" w:eastAsia="黑体" w:cs="Times New Roman"/>
      <w:b/>
      <w:bCs/>
      <w:kern w:val="2"/>
      <w:sz w:val="28"/>
      <w:szCs w:val="28"/>
      <w:lang w:val="en-US" w:eastAsia="zh-CN" w:bidi="ar-SA"/>
    </w:rPr>
  </w:style>
  <w:style w:type="character" w:customStyle="1" w:styleId="393">
    <w:name w:val="ourfont31"/>
    <w:autoRedefine/>
    <w:qFormat/>
    <w:uiPriority w:val="0"/>
    <w:rPr>
      <w:spacing w:val="20"/>
      <w:sz w:val="21"/>
      <w:szCs w:val="21"/>
    </w:rPr>
  </w:style>
  <w:style w:type="character" w:customStyle="1" w:styleId="394">
    <w:name w:val="style291"/>
    <w:autoRedefine/>
    <w:qFormat/>
    <w:uiPriority w:val="0"/>
    <w:rPr>
      <w:color w:val="335B64"/>
      <w:sz w:val="18"/>
      <w:szCs w:val="18"/>
    </w:rPr>
  </w:style>
  <w:style w:type="character" w:customStyle="1" w:styleId="395">
    <w:name w:val="at_2"/>
    <w:basedOn w:val="90"/>
    <w:autoRedefine/>
    <w:qFormat/>
    <w:uiPriority w:val="0"/>
  </w:style>
  <w:style w:type="character" w:customStyle="1" w:styleId="396">
    <w:name w:val="infotitle1"/>
    <w:autoRedefine/>
    <w:qFormat/>
    <w:uiPriority w:val="0"/>
    <w:rPr>
      <w:b/>
      <w:bCs/>
      <w:color w:val="000000"/>
      <w:sz w:val="32"/>
      <w:szCs w:val="32"/>
    </w:rPr>
  </w:style>
  <w:style w:type="character" w:customStyle="1" w:styleId="397">
    <w:name w:val="文档结构图 Char1"/>
    <w:autoRedefine/>
    <w:qFormat/>
    <w:uiPriority w:val="0"/>
    <w:rPr>
      <w:rFonts w:ascii="Times New Roman" w:hAnsi="Times New Roman" w:eastAsia="宋体" w:cs="Times New Roman"/>
      <w:kern w:val="2"/>
      <w:sz w:val="24"/>
      <w:szCs w:val="24"/>
      <w:shd w:val="clear" w:color="auto" w:fill="000080"/>
      <w:lang w:val="en-US" w:eastAsia="zh-CN" w:bidi="ar-SA"/>
    </w:rPr>
  </w:style>
  <w:style w:type="character" w:customStyle="1" w:styleId="398">
    <w:name w:val="表题 Char4"/>
    <w:autoRedefine/>
    <w:qFormat/>
    <w:uiPriority w:val="0"/>
    <w:rPr>
      <w:rFonts w:ascii="黑体" w:hAnsi="Arial" w:eastAsia="黑体" w:cs="Arial"/>
      <w:b/>
      <w:kern w:val="2"/>
      <w:sz w:val="24"/>
      <w:szCs w:val="24"/>
      <w:lang w:val="en-US" w:eastAsia="zh-CN" w:bidi="ar-SA"/>
    </w:rPr>
  </w:style>
  <w:style w:type="character" w:customStyle="1" w:styleId="399">
    <w:name w:val="表中文字 Char24"/>
    <w:autoRedefine/>
    <w:qFormat/>
    <w:uiPriority w:val="0"/>
    <w:rPr>
      <w:rFonts w:ascii="宋体" w:eastAsia="宋体"/>
      <w:kern w:val="2"/>
      <w:sz w:val="21"/>
      <w:szCs w:val="21"/>
      <w:lang w:val="en-US" w:eastAsia="zh-CN" w:bidi="ar-SA"/>
    </w:rPr>
  </w:style>
  <w:style w:type="character" w:customStyle="1" w:styleId="400">
    <w:name w:val="desctext1"/>
    <w:autoRedefine/>
    <w:qFormat/>
    <w:uiPriority w:val="0"/>
    <w:rPr>
      <w:spacing w:val="17"/>
      <w:sz w:val="21"/>
      <w:szCs w:val="21"/>
    </w:rPr>
  </w:style>
  <w:style w:type="character" w:customStyle="1" w:styleId="401">
    <w:name w:val="表格内字体 Char7"/>
    <w:autoRedefine/>
    <w:qFormat/>
    <w:uiPriority w:val="0"/>
    <w:rPr>
      <w:rFonts w:ascii="宋体" w:hAnsi="宋体" w:eastAsia="宋体"/>
      <w:kern w:val="2"/>
      <w:sz w:val="21"/>
      <w:szCs w:val="24"/>
      <w:lang w:val="en-US" w:eastAsia="zh-CN" w:bidi="ar-SA"/>
    </w:rPr>
  </w:style>
  <w:style w:type="character" w:customStyle="1" w:styleId="402">
    <w:name w:val="detailtitle1"/>
    <w:autoRedefine/>
    <w:qFormat/>
    <w:uiPriority w:val="0"/>
    <w:rPr>
      <w:rFonts w:hint="eastAsia" w:ascii="黑体" w:eastAsia="黑体"/>
      <w:b/>
      <w:bCs/>
      <w:sz w:val="18"/>
      <w:szCs w:val="18"/>
    </w:rPr>
  </w:style>
  <w:style w:type="character" w:customStyle="1" w:styleId="403">
    <w:name w:val="表格内字体 Char10"/>
    <w:autoRedefine/>
    <w:qFormat/>
    <w:uiPriority w:val="0"/>
    <w:rPr>
      <w:rFonts w:ascii="宋体" w:hAnsi="宋体" w:eastAsia="宋体" w:cs="Times New Roman"/>
      <w:kern w:val="2"/>
      <w:sz w:val="24"/>
      <w:szCs w:val="21"/>
      <w:lang w:val="en-US" w:eastAsia="zh-CN" w:bidi="ar-SA"/>
    </w:rPr>
  </w:style>
  <w:style w:type="character" w:customStyle="1" w:styleId="404">
    <w:name w:val="页眉 Char2"/>
    <w:autoRedefine/>
    <w:qFormat/>
    <w:uiPriority w:val="0"/>
    <w:rPr>
      <w:rFonts w:eastAsia="宋体"/>
      <w:kern w:val="2"/>
      <w:sz w:val="18"/>
      <w:szCs w:val="18"/>
      <w:lang w:val="en-US" w:eastAsia="zh-CN" w:bidi="ar-SA"/>
    </w:rPr>
  </w:style>
  <w:style w:type="character" w:customStyle="1" w:styleId="405">
    <w:name w:val="正文修改 Char122"/>
    <w:autoRedefine/>
    <w:qFormat/>
    <w:uiPriority w:val="0"/>
    <w:rPr>
      <w:rFonts w:ascii="宋体" w:hAnsi="宋体" w:eastAsia="宋体" w:cs="宋体"/>
      <w:color w:val="000000"/>
      <w:sz w:val="24"/>
      <w:szCs w:val="24"/>
    </w:rPr>
  </w:style>
  <w:style w:type="character" w:customStyle="1" w:styleId="406">
    <w:name w:val="样式正文 Char"/>
    <w:link w:val="407"/>
    <w:autoRedefine/>
    <w:qFormat/>
    <w:uiPriority w:val="0"/>
    <w:rPr>
      <w:rFonts w:cs="宋体"/>
      <w:sz w:val="24"/>
      <w:szCs w:val="24"/>
    </w:rPr>
  </w:style>
  <w:style w:type="paragraph" w:customStyle="1" w:styleId="407">
    <w:name w:val="样式正文"/>
    <w:basedOn w:val="1"/>
    <w:link w:val="406"/>
    <w:autoRedefine/>
    <w:qFormat/>
    <w:uiPriority w:val="0"/>
    <w:pPr>
      <w:spacing w:line="400" w:lineRule="exact"/>
      <w:ind w:firstLine="200" w:firstLineChars="200"/>
    </w:pPr>
    <w:rPr>
      <w:kern w:val="0"/>
      <w:sz w:val="24"/>
      <w:lang w:val="zh-CN"/>
    </w:rPr>
  </w:style>
  <w:style w:type="character" w:customStyle="1" w:styleId="408">
    <w:name w:val="标题 3 Char Char Char Char"/>
    <w:autoRedefine/>
    <w:qFormat/>
    <w:uiPriority w:val="0"/>
    <w:rPr>
      <w:rFonts w:eastAsia="宋体"/>
      <w:b/>
      <w:bCs/>
      <w:kern w:val="2"/>
      <w:sz w:val="32"/>
      <w:szCs w:val="32"/>
      <w:lang w:val="en-US" w:eastAsia="zh-CN" w:bidi="ar-SA"/>
    </w:rPr>
  </w:style>
  <w:style w:type="character" w:customStyle="1" w:styleId="409">
    <w:name w:val="正文文本 Char1"/>
    <w:autoRedefine/>
    <w:qFormat/>
    <w:uiPriority w:val="99"/>
    <w:rPr>
      <w:rFonts w:ascii="Calibri" w:hAnsi="Calibri" w:eastAsia="宋体" w:cs="Times New Roman"/>
    </w:rPr>
  </w:style>
  <w:style w:type="character" w:customStyle="1" w:styleId="410">
    <w:name w:val="标题 9 Char2"/>
    <w:autoRedefine/>
    <w:qFormat/>
    <w:uiPriority w:val="0"/>
    <w:rPr>
      <w:rFonts w:ascii="Arial" w:hAnsi="Arial" w:eastAsia="黑体"/>
      <w:kern w:val="2"/>
      <w:sz w:val="24"/>
    </w:rPr>
  </w:style>
  <w:style w:type="character" w:customStyle="1" w:styleId="411">
    <w:name w:val="黑体标题 Char Char"/>
    <w:autoRedefine/>
    <w:qFormat/>
    <w:uiPriority w:val="0"/>
    <w:rPr>
      <w:rFonts w:ascii="宋体" w:hAnsi="宋体" w:eastAsia="宋体"/>
      <w:b/>
      <w:spacing w:val="10"/>
      <w:kern w:val="2"/>
      <w:sz w:val="28"/>
      <w:szCs w:val="18"/>
      <w:lang w:val="en-US" w:eastAsia="zh-CN" w:bidi="ar-SA"/>
    </w:rPr>
  </w:style>
  <w:style w:type="character" w:customStyle="1" w:styleId="412">
    <w:name w:val="表注 Char"/>
    <w:link w:val="413"/>
    <w:autoRedefine/>
    <w:qFormat/>
    <w:uiPriority w:val="0"/>
    <w:rPr>
      <w:rFonts w:cs="Courier New"/>
      <w:b/>
      <w:spacing w:val="10"/>
      <w:sz w:val="18"/>
      <w:szCs w:val="21"/>
    </w:rPr>
  </w:style>
  <w:style w:type="paragraph" w:customStyle="1" w:styleId="413">
    <w:name w:val="表注"/>
    <w:basedOn w:val="1"/>
    <w:next w:val="1"/>
    <w:link w:val="412"/>
    <w:autoRedefine/>
    <w:qFormat/>
    <w:uiPriority w:val="0"/>
    <w:pPr>
      <w:keepLines/>
      <w:spacing w:line="240" w:lineRule="atLeast"/>
    </w:pPr>
    <w:rPr>
      <w:b/>
      <w:spacing w:val="10"/>
      <w:kern w:val="0"/>
      <w:sz w:val="18"/>
      <w:szCs w:val="21"/>
      <w:lang w:val="zh-CN"/>
    </w:rPr>
  </w:style>
  <w:style w:type="character" w:customStyle="1" w:styleId="414">
    <w:name w:val="我的样式（正文） Char Char"/>
    <w:autoRedefine/>
    <w:qFormat/>
    <w:uiPriority w:val="0"/>
    <w:rPr>
      <w:rFonts w:ascii="宋体" w:hAnsi="华文楷体" w:eastAsia="宋体" w:cs="宋体"/>
      <w:b/>
      <w:spacing w:val="10"/>
      <w:kern w:val="2"/>
      <w:sz w:val="24"/>
      <w:szCs w:val="24"/>
      <w:lang w:val="en-US" w:eastAsia="zh-CN" w:bidi="ar-SA"/>
    </w:rPr>
  </w:style>
  <w:style w:type="character" w:customStyle="1" w:styleId="415">
    <w:name w:val="样式 表格内字体 + Char2"/>
    <w:autoRedefine/>
    <w:qFormat/>
    <w:uiPriority w:val="0"/>
    <w:rPr>
      <w:rFonts w:ascii="宋体" w:hAnsi="宋体"/>
      <w:szCs w:val="24"/>
    </w:rPr>
  </w:style>
  <w:style w:type="character" w:customStyle="1" w:styleId="416">
    <w:name w:val="表格内字体 Char"/>
    <w:link w:val="417"/>
    <w:autoRedefine/>
    <w:qFormat/>
    <w:uiPriority w:val="0"/>
    <w:rPr>
      <w:rFonts w:ascii="宋体" w:hAnsi="宋体"/>
      <w:szCs w:val="24"/>
    </w:rPr>
  </w:style>
  <w:style w:type="paragraph" w:customStyle="1" w:styleId="417">
    <w:name w:val="表格内字体"/>
    <w:basedOn w:val="418"/>
    <w:next w:val="418"/>
    <w:link w:val="416"/>
    <w:autoRedefine/>
    <w:qFormat/>
    <w:uiPriority w:val="0"/>
    <w:pPr>
      <w:spacing w:line="240" w:lineRule="auto"/>
      <w:ind w:firstLine="0"/>
      <w:jc w:val="center"/>
    </w:pPr>
    <w:rPr>
      <w:rFonts w:ascii="宋体" w:hAnsi="宋体"/>
      <w:b w:val="0"/>
      <w:spacing w:val="0"/>
      <w:szCs w:val="24"/>
    </w:rPr>
  </w:style>
  <w:style w:type="paragraph" w:customStyle="1" w:styleId="418">
    <w:name w:val="正文格式"/>
    <w:basedOn w:val="1"/>
    <w:link w:val="419"/>
    <w:autoRedefine/>
    <w:qFormat/>
    <w:uiPriority w:val="0"/>
    <w:pPr>
      <w:spacing w:line="360" w:lineRule="auto"/>
      <w:ind w:firstLine="482"/>
    </w:pPr>
    <w:rPr>
      <w:rFonts w:hAnsi="黑体"/>
      <w:b/>
      <w:spacing w:val="10"/>
      <w:kern w:val="0"/>
      <w:sz w:val="20"/>
      <w:szCs w:val="20"/>
      <w:lang w:val="zh-CN"/>
    </w:rPr>
  </w:style>
  <w:style w:type="character" w:customStyle="1" w:styleId="419">
    <w:name w:val="正文格式 Char"/>
    <w:link w:val="418"/>
    <w:autoRedefine/>
    <w:qFormat/>
    <w:uiPriority w:val="0"/>
    <w:rPr>
      <w:rFonts w:hAnsi="黑体"/>
      <w:b/>
      <w:spacing w:val="10"/>
    </w:rPr>
  </w:style>
  <w:style w:type="character" w:customStyle="1" w:styleId="420">
    <w:name w:val="结束语 Char1"/>
    <w:autoRedefine/>
    <w:qFormat/>
    <w:uiPriority w:val="0"/>
    <w:rPr>
      <w:kern w:val="2"/>
      <w:sz w:val="21"/>
      <w:szCs w:val="24"/>
    </w:rPr>
  </w:style>
  <w:style w:type="character" w:customStyle="1" w:styleId="421">
    <w:name w:val="Char Char9"/>
    <w:autoRedefine/>
    <w:qFormat/>
    <w:uiPriority w:val="0"/>
    <w:rPr>
      <w:rFonts w:eastAsia="宋体"/>
      <w:kern w:val="2"/>
      <w:sz w:val="18"/>
      <w:szCs w:val="18"/>
      <w:lang w:val="en-US" w:eastAsia="zh-CN" w:bidi="ar-SA"/>
    </w:rPr>
  </w:style>
  <w:style w:type="character" w:customStyle="1" w:styleId="422">
    <w:name w:val="题注 Char7"/>
    <w:autoRedefine/>
    <w:qFormat/>
    <w:uiPriority w:val="0"/>
    <w:rPr>
      <w:rFonts w:ascii="黑体" w:hAnsi="Arial" w:eastAsia="黑体" w:cs="Arial"/>
      <w:b/>
      <w:spacing w:val="10"/>
      <w:sz w:val="24"/>
      <w:szCs w:val="24"/>
    </w:rPr>
  </w:style>
  <w:style w:type="character" w:customStyle="1" w:styleId="423">
    <w:name w:val="正文首行缩进 2 Char2"/>
    <w:autoRedefine/>
    <w:qFormat/>
    <w:uiPriority w:val="0"/>
    <w:rPr>
      <w:rFonts w:eastAsia="宋体"/>
      <w:kern w:val="2"/>
      <w:sz w:val="21"/>
      <w:szCs w:val="24"/>
      <w:lang w:val="en-US" w:eastAsia="zh-CN" w:bidi="ar-SA"/>
    </w:rPr>
  </w:style>
  <w:style w:type="character" w:customStyle="1" w:styleId="424">
    <w:name w:val="题注 Char12"/>
    <w:autoRedefine/>
    <w:qFormat/>
    <w:uiPriority w:val="0"/>
    <w:rPr>
      <w:rFonts w:ascii="黑体" w:hAnsi="Arial" w:eastAsia="黑体" w:cs="Arial"/>
      <w:b/>
      <w:spacing w:val="10"/>
      <w:sz w:val="24"/>
      <w:szCs w:val="24"/>
    </w:rPr>
  </w:style>
  <w:style w:type="character" w:customStyle="1" w:styleId="425">
    <w:name w:val="标题 2 Char7"/>
    <w:autoRedefine/>
    <w:qFormat/>
    <w:uiPriority w:val="0"/>
    <w:rPr>
      <w:rFonts w:ascii="黑体" w:hAnsi="Arial" w:eastAsia="黑体" w:cs="Times New Roman"/>
      <w:bCs/>
      <w:kern w:val="2"/>
      <w:sz w:val="30"/>
      <w:szCs w:val="30"/>
      <w:lang w:val="en-US" w:eastAsia="zh-CN" w:bidi="ar-SA"/>
    </w:rPr>
  </w:style>
  <w:style w:type="character" w:customStyle="1" w:styleId="426">
    <w:name w:val="图题注 Char3"/>
    <w:autoRedefine/>
    <w:qFormat/>
    <w:uiPriority w:val="0"/>
    <w:rPr>
      <w:rFonts w:ascii="黑体" w:hAnsi="Arial" w:eastAsia="黑体" w:cs="宋体"/>
      <w:b/>
      <w:bCs/>
      <w:kern w:val="2"/>
      <w:sz w:val="24"/>
      <w:szCs w:val="24"/>
      <w:lang w:val="en-US" w:eastAsia="zh-CN" w:bidi="ar-SA"/>
    </w:rPr>
  </w:style>
  <w:style w:type="character" w:customStyle="1" w:styleId="427">
    <w:name w:val="正文文本缩进 3 Char11"/>
    <w:autoRedefine/>
    <w:qFormat/>
    <w:uiPriority w:val="0"/>
    <w:rPr>
      <w:rFonts w:eastAsia="宋体"/>
      <w:kern w:val="2"/>
      <w:sz w:val="16"/>
      <w:szCs w:val="16"/>
      <w:lang w:val="en-US" w:eastAsia="zh-CN" w:bidi="ar-SA"/>
    </w:rPr>
  </w:style>
  <w:style w:type="character" w:customStyle="1" w:styleId="428">
    <w:name w:val="txt1501"/>
    <w:basedOn w:val="90"/>
    <w:autoRedefine/>
    <w:qFormat/>
    <w:uiPriority w:val="0"/>
  </w:style>
  <w:style w:type="character" w:customStyle="1" w:styleId="429">
    <w:name w:val="图表题 Char2"/>
    <w:autoRedefine/>
    <w:qFormat/>
    <w:uiPriority w:val="0"/>
    <w:rPr>
      <w:rFonts w:ascii="黑体" w:hAnsi="宋体" w:eastAsia="黑体" w:cs="宋体"/>
      <w:b/>
      <w:bCs/>
      <w:spacing w:val="10"/>
      <w:sz w:val="24"/>
      <w:szCs w:val="24"/>
    </w:rPr>
  </w:style>
  <w:style w:type="character" w:customStyle="1" w:styleId="430">
    <w:name w:val="正文修改 Char17"/>
    <w:autoRedefine/>
    <w:qFormat/>
    <w:uiPriority w:val="0"/>
    <w:rPr>
      <w:rFonts w:ascii="宋体" w:hAnsi="宋体" w:eastAsia="宋体" w:cs="宋体"/>
      <w:color w:val="000000"/>
      <w:sz w:val="24"/>
      <w:szCs w:val="24"/>
    </w:rPr>
  </w:style>
  <w:style w:type="character" w:customStyle="1" w:styleId="431">
    <w:name w:val="正文调整 Char"/>
    <w:link w:val="432"/>
    <w:autoRedefine/>
    <w:qFormat/>
    <w:uiPriority w:val="0"/>
    <w:rPr>
      <w:sz w:val="24"/>
      <w:szCs w:val="24"/>
    </w:rPr>
  </w:style>
  <w:style w:type="paragraph" w:customStyle="1" w:styleId="432">
    <w:name w:val="正文调整"/>
    <w:basedOn w:val="1"/>
    <w:link w:val="431"/>
    <w:autoRedefine/>
    <w:qFormat/>
    <w:uiPriority w:val="0"/>
    <w:pPr>
      <w:spacing w:before="60" w:line="460" w:lineRule="atLeast"/>
      <w:ind w:firstLine="200" w:firstLineChars="200"/>
    </w:pPr>
    <w:rPr>
      <w:kern w:val="0"/>
      <w:sz w:val="24"/>
      <w:lang w:val="zh-CN"/>
    </w:rPr>
  </w:style>
  <w:style w:type="character" w:customStyle="1" w:styleId="433">
    <w:name w:val="Char Char53"/>
    <w:autoRedefine/>
    <w:qFormat/>
    <w:uiPriority w:val="0"/>
    <w:rPr>
      <w:rFonts w:ascii="黑体" w:hAnsi="宋体" w:eastAsia="黑体"/>
      <w:bCs/>
      <w:kern w:val="2"/>
      <w:sz w:val="28"/>
      <w:szCs w:val="28"/>
      <w:lang w:val="en-US" w:eastAsia="zh-CN" w:bidi="ar-SA"/>
    </w:rPr>
  </w:style>
  <w:style w:type="character" w:customStyle="1" w:styleId="434">
    <w:name w:val="正文缩进 Char21"/>
    <w:autoRedefine/>
    <w:qFormat/>
    <w:uiPriority w:val="0"/>
    <w:rPr>
      <w:rFonts w:ascii="宋体" w:hAnsi="宋体" w:eastAsia="宋体" w:cs="宋体"/>
      <w:color w:val="000000"/>
      <w:kern w:val="2"/>
      <w:sz w:val="24"/>
      <w:szCs w:val="24"/>
      <w:lang w:val="en-US" w:eastAsia="zh-CN" w:bidi="ar-SA"/>
    </w:rPr>
  </w:style>
  <w:style w:type="character" w:customStyle="1" w:styleId="435">
    <w:name w:val="style1"/>
    <w:basedOn w:val="90"/>
    <w:autoRedefine/>
    <w:qFormat/>
    <w:uiPriority w:val="0"/>
  </w:style>
  <w:style w:type="character" w:customStyle="1" w:styleId="436">
    <w:name w:val="Char Char41"/>
    <w:autoRedefine/>
    <w:qFormat/>
    <w:uiPriority w:val="0"/>
    <w:rPr>
      <w:rFonts w:hint="eastAsia" w:ascii="宋体" w:hAnsi="宋体" w:eastAsia="宋体"/>
      <w:b/>
      <w:bCs/>
      <w:kern w:val="2"/>
      <w:sz w:val="24"/>
      <w:szCs w:val="24"/>
      <w:lang w:val="en-US" w:eastAsia="zh-CN" w:bidi="ar-SA"/>
    </w:rPr>
  </w:style>
  <w:style w:type="character" w:customStyle="1" w:styleId="437">
    <w:name w:val="Char Char101"/>
    <w:autoRedefine/>
    <w:qFormat/>
    <w:locked/>
    <w:uiPriority w:val="0"/>
    <w:rPr>
      <w:rFonts w:eastAsia="宋体"/>
      <w:kern w:val="2"/>
      <w:sz w:val="21"/>
      <w:lang w:val="en-US" w:eastAsia="zh-CN" w:bidi="ar-SA"/>
    </w:rPr>
  </w:style>
  <w:style w:type="character" w:customStyle="1" w:styleId="438">
    <w:name w:val="正文首行缩进 Char1"/>
    <w:autoRedefine/>
    <w:qFormat/>
    <w:uiPriority w:val="0"/>
    <w:rPr>
      <w:rFonts w:ascii="Calibri" w:hAnsi="Calibri" w:eastAsia="宋体" w:cs="Times New Roman"/>
    </w:rPr>
  </w:style>
  <w:style w:type="character" w:customStyle="1" w:styleId="439">
    <w:name w:val="Char Char117"/>
    <w:autoRedefine/>
    <w:qFormat/>
    <w:uiPriority w:val="0"/>
    <w:rPr>
      <w:rFonts w:ascii="黑体" w:hAnsi="Arial" w:eastAsia="黑体"/>
      <w:bCs/>
      <w:kern w:val="2"/>
      <w:sz w:val="30"/>
      <w:szCs w:val="30"/>
      <w:lang w:val="en-US" w:eastAsia="zh-CN" w:bidi="ar-SA"/>
    </w:rPr>
  </w:style>
  <w:style w:type="character" w:customStyle="1" w:styleId="440">
    <w:name w:val="word_break"/>
    <w:basedOn w:val="90"/>
    <w:autoRedefine/>
    <w:qFormat/>
    <w:uiPriority w:val="0"/>
  </w:style>
  <w:style w:type="character" w:customStyle="1" w:styleId="441">
    <w:name w:val="Char Char116"/>
    <w:autoRedefine/>
    <w:qFormat/>
    <w:uiPriority w:val="0"/>
    <w:rPr>
      <w:rFonts w:ascii="黑体" w:hAnsi="Arial" w:eastAsia="黑体"/>
      <w:bCs/>
      <w:kern w:val="2"/>
      <w:sz w:val="30"/>
      <w:szCs w:val="30"/>
      <w:lang w:val="en-US" w:eastAsia="zh-CN" w:bidi="ar-SA"/>
    </w:rPr>
  </w:style>
  <w:style w:type="character" w:customStyle="1" w:styleId="442">
    <w:name w:val="Char4 Char Char Char Char2"/>
    <w:link w:val="443"/>
    <w:autoRedefine/>
    <w:qFormat/>
    <w:uiPriority w:val="0"/>
    <w:rPr>
      <w:sz w:val="24"/>
      <w:szCs w:val="24"/>
    </w:rPr>
  </w:style>
  <w:style w:type="paragraph" w:customStyle="1" w:styleId="443">
    <w:name w:val="Char4 Char Char Char2"/>
    <w:basedOn w:val="1"/>
    <w:link w:val="442"/>
    <w:autoRedefine/>
    <w:qFormat/>
    <w:uiPriority w:val="0"/>
    <w:rPr>
      <w:kern w:val="0"/>
      <w:sz w:val="24"/>
      <w:lang w:val="zh-CN"/>
    </w:rPr>
  </w:style>
  <w:style w:type="character" w:customStyle="1" w:styleId="444">
    <w:name w:val="Char Char118"/>
    <w:autoRedefine/>
    <w:qFormat/>
    <w:uiPriority w:val="0"/>
    <w:rPr>
      <w:rFonts w:ascii="黑体" w:hAnsi="Arial" w:eastAsia="黑体"/>
      <w:b/>
      <w:bCs/>
      <w:kern w:val="2"/>
      <w:sz w:val="30"/>
      <w:szCs w:val="30"/>
      <w:lang w:val="en-US" w:eastAsia="zh-CN" w:bidi="ar-SA"/>
    </w:rPr>
  </w:style>
  <w:style w:type="character" w:customStyle="1" w:styleId="445">
    <w:name w:val="样式 正文缩进 + 宋体 黑色 Char2"/>
    <w:autoRedefine/>
    <w:qFormat/>
    <w:uiPriority w:val="0"/>
    <w:rPr>
      <w:rFonts w:ascii="宋体" w:hAnsi="宋体" w:eastAsia="宋体"/>
      <w:color w:val="000000"/>
      <w:kern w:val="2"/>
      <w:sz w:val="24"/>
      <w:szCs w:val="24"/>
      <w:lang w:val="en-US" w:eastAsia="zh-CN" w:bidi="ar-SA"/>
    </w:rPr>
  </w:style>
  <w:style w:type="character" w:customStyle="1" w:styleId="446">
    <w:name w:val="正文修改 Char151"/>
    <w:autoRedefine/>
    <w:qFormat/>
    <w:uiPriority w:val="0"/>
    <w:rPr>
      <w:rFonts w:ascii="宋体" w:hAnsi="宋体" w:eastAsia="宋体" w:cs="宋体"/>
      <w:color w:val="000000"/>
      <w:sz w:val="24"/>
      <w:szCs w:val="24"/>
    </w:rPr>
  </w:style>
  <w:style w:type="character" w:customStyle="1" w:styleId="447">
    <w:name w:val="标题2"/>
    <w:basedOn w:val="90"/>
    <w:autoRedefine/>
    <w:qFormat/>
    <w:uiPriority w:val="0"/>
  </w:style>
  <w:style w:type="character" w:customStyle="1" w:styleId="448">
    <w:name w:val="黑体标题 Char"/>
    <w:link w:val="449"/>
    <w:autoRedefine/>
    <w:qFormat/>
    <w:uiPriority w:val="0"/>
    <w:rPr>
      <w:rFonts w:ascii="宋体" w:hAnsi="宋体"/>
      <w:sz w:val="28"/>
    </w:rPr>
  </w:style>
  <w:style w:type="paragraph" w:customStyle="1" w:styleId="449">
    <w:name w:val="黑体标题"/>
    <w:basedOn w:val="1"/>
    <w:link w:val="448"/>
    <w:autoRedefine/>
    <w:qFormat/>
    <w:uiPriority w:val="0"/>
    <w:pPr>
      <w:spacing w:line="500" w:lineRule="exact"/>
      <w:ind w:firstLine="560" w:firstLineChars="200"/>
    </w:pPr>
    <w:rPr>
      <w:rFonts w:ascii="宋体" w:hAnsi="宋体"/>
      <w:kern w:val="0"/>
      <w:sz w:val="28"/>
      <w:szCs w:val="20"/>
      <w:lang w:val="zh-CN"/>
    </w:rPr>
  </w:style>
  <w:style w:type="character" w:customStyle="1" w:styleId="450">
    <w:name w:val="表中文字 Char2"/>
    <w:autoRedefine/>
    <w:qFormat/>
    <w:uiPriority w:val="0"/>
    <w:rPr>
      <w:rFonts w:ascii="Times New Roman" w:hAnsi="Times New Roman"/>
      <w:kern w:val="2"/>
      <w:sz w:val="21"/>
    </w:rPr>
  </w:style>
  <w:style w:type="character" w:customStyle="1" w:styleId="451">
    <w:name w:val="soa7bda"/>
    <w:basedOn w:val="90"/>
    <w:autoRedefine/>
    <w:qFormat/>
    <w:uiPriority w:val="0"/>
  </w:style>
  <w:style w:type="character" w:customStyle="1" w:styleId="452">
    <w:name w:val="hhcwt标题1 Char Char"/>
    <w:link w:val="453"/>
    <w:autoRedefine/>
    <w:qFormat/>
    <w:uiPriority w:val="0"/>
    <w:rPr>
      <w:rFonts w:eastAsia="黑体" w:cs="宋体"/>
      <w:kern w:val="44"/>
      <w:sz w:val="36"/>
      <w:szCs w:val="24"/>
      <w:lang w:val="zh-CN"/>
    </w:rPr>
  </w:style>
  <w:style w:type="paragraph" w:customStyle="1" w:styleId="453">
    <w:name w:val="hhcwt标题1"/>
    <w:basedOn w:val="1"/>
    <w:link w:val="452"/>
    <w:autoRedefine/>
    <w:qFormat/>
    <w:uiPriority w:val="0"/>
    <w:pPr>
      <w:keepNext/>
      <w:keepLines/>
      <w:autoSpaceDE w:val="0"/>
      <w:autoSpaceDN w:val="0"/>
      <w:adjustRightInd w:val="0"/>
      <w:spacing w:before="120" w:after="120" w:line="336" w:lineRule="auto"/>
      <w:outlineLvl w:val="0"/>
    </w:pPr>
    <w:rPr>
      <w:rFonts w:eastAsia="黑体"/>
      <w:kern w:val="44"/>
      <w:sz w:val="36"/>
      <w:lang w:val="zh-CN"/>
    </w:rPr>
  </w:style>
  <w:style w:type="character" w:customStyle="1" w:styleId="454">
    <w:name w:val="缩进 Char"/>
    <w:link w:val="455"/>
    <w:autoRedefine/>
    <w:qFormat/>
    <w:uiPriority w:val="0"/>
    <w:rPr>
      <w:rFonts w:eastAsia="仿宋_GB2312"/>
      <w:b/>
      <w:color w:val="000000"/>
      <w:spacing w:val="10"/>
      <w:kern w:val="44"/>
    </w:rPr>
  </w:style>
  <w:style w:type="paragraph" w:customStyle="1" w:styleId="455">
    <w:name w:val="缩进"/>
    <w:basedOn w:val="1"/>
    <w:link w:val="454"/>
    <w:autoRedefine/>
    <w:qFormat/>
    <w:uiPriority w:val="0"/>
    <w:pPr>
      <w:spacing w:line="480" w:lineRule="exact"/>
      <w:ind w:firstLine="480" w:firstLineChars="200"/>
      <w:jc w:val="left"/>
    </w:pPr>
    <w:rPr>
      <w:rFonts w:eastAsia="仿宋_GB2312"/>
      <w:b/>
      <w:color w:val="000000"/>
      <w:spacing w:val="10"/>
      <w:kern w:val="44"/>
      <w:sz w:val="20"/>
      <w:szCs w:val="20"/>
      <w:lang w:val="zh-CN"/>
    </w:rPr>
  </w:style>
  <w:style w:type="character" w:customStyle="1" w:styleId="456">
    <w:name w:val="图题注 Char2"/>
    <w:autoRedefine/>
    <w:qFormat/>
    <w:uiPriority w:val="0"/>
    <w:rPr>
      <w:rFonts w:ascii="黑体" w:hAnsi="Arial" w:eastAsia="黑体" w:cs="宋体"/>
      <w:b/>
      <w:bCs/>
      <w:kern w:val="2"/>
      <w:sz w:val="24"/>
      <w:szCs w:val="24"/>
      <w:lang w:val="en-US" w:eastAsia="zh-CN" w:bidi="ar-SA"/>
    </w:rPr>
  </w:style>
  <w:style w:type="character" w:customStyle="1" w:styleId="457">
    <w:name w:val="页眉1 Char1"/>
    <w:autoRedefine/>
    <w:qFormat/>
    <w:uiPriority w:val="0"/>
    <w:rPr>
      <w:rFonts w:eastAsia="宋体"/>
      <w:kern w:val="2"/>
      <w:sz w:val="18"/>
      <w:szCs w:val="18"/>
      <w:lang w:val="en-US" w:eastAsia="zh-CN" w:bidi="ar-SA"/>
    </w:rPr>
  </w:style>
  <w:style w:type="character" w:customStyle="1" w:styleId="458">
    <w:name w:val="样式 表内小5 + 黑体 加粗 倾斜 下划线 Char511"/>
    <w:autoRedefine/>
    <w:qFormat/>
    <w:uiPriority w:val="0"/>
    <w:rPr>
      <w:rFonts w:ascii="黑体" w:hAnsi="黑体" w:eastAsia="黑体"/>
      <w:b/>
      <w:bCs/>
      <w:i/>
      <w:iCs/>
      <w:kern w:val="2"/>
      <w:sz w:val="18"/>
      <w:szCs w:val="24"/>
      <w:u w:val="single"/>
      <w:lang w:val="en-US" w:eastAsia="zh-CN" w:bidi="ar-SA"/>
    </w:rPr>
  </w:style>
  <w:style w:type="character" w:customStyle="1" w:styleId="459">
    <w:name w:val="正文修改 Char133"/>
    <w:autoRedefine/>
    <w:qFormat/>
    <w:uiPriority w:val="0"/>
    <w:rPr>
      <w:rFonts w:ascii="宋体" w:hAnsi="宋体" w:eastAsia="宋体" w:cs="宋体"/>
      <w:color w:val="000000"/>
      <w:sz w:val="24"/>
      <w:szCs w:val="24"/>
    </w:rPr>
  </w:style>
  <w:style w:type="character" w:customStyle="1" w:styleId="460">
    <w:name w:val="正文格式 Char3"/>
    <w:autoRedefine/>
    <w:qFormat/>
    <w:uiPriority w:val="0"/>
    <w:rPr>
      <w:rFonts w:ascii="宋体" w:hAnsi="宋体" w:eastAsia="宋体"/>
      <w:kern w:val="2"/>
      <w:sz w:val="24"/>
      <w:szCs w:val="24"/>
      <w:lang w:val="en-US" w:eastAsia="zh-CN" w:bidi="ar-SA"/>
    </w:rPr>
  </w:style>
  <w:style w:type="character" w:customStyle="1" w:styleId="461">
    <w:name w:val="表格内字体 Char51"/>
    <w:autoRedefine/>
    <w:qFormat/>
    <w:uiPriority w:val="0"/>
    <w:rPr>
      <w:rFonts w:ascii="宋体" w:hAnsi="宋体" w:eastAsia="宋体"/>
      <w:kern w:val="2"/>
      <w:sz w:val="21"/>
      <w:szCs w:val="24"/>
      <w:lang w:val="en-US" w:eastAsia="zh-CN" w:bidi="ar-SA"/>
    </w:rPr>
  </w:style>
  <w:style w:type="character" w:customStyle="1" w:styleId="462">
    <w:name w:val="f9wen1"/>
    <w:autoRedefine/>
    <w:qFormat/>
    <w:uiPriority w:val="0"/>
    <w:rPr>
      <w:rFonts w:eastAsia="宋体"/>
      <w:spacing w:val="12"/>
      <w:kern w:val="2"/>
      <w:sz w:val="18"/>
      <w:szCs w:val="18"/>
      <w:u w:val="none"/>
      <w:lang w:val="en-US" w:eastAsia="zh-CN" w:bidi="ar-SA"/>
    </w:rPr>
  </w:style>
  <w:style w:type="character" w:customStyle="1" w:styleId="463">
    <w:name w:val="环标1 Char1"/>
    <w:link w:val="464"/>
    <w:autoRedefine/>
    <w:qFormat/>
    <w:uiPriority w:val="0"/>
    <w:rPr>
      <w:rFonts w:ascii="Calibri" w:hAnsi="Courier New" w:eastAsia="楷体_GB2312"/>
      <w:b/>
      <w:kern w:val="44"/>
      <w:sz w:val="28"/>
    </w:rPr>
  </w:style>
  <w:style w:type="paragraph" w:customStyle="1" w:styleId="464">
    <w:name w:val="环标1"/>
    <w:basedOn w:val="3"/>
    <w:link w:val="463"/>
    <w:autoRedefine/>
    <w:qFormat/>
    <w:uiPriority w:val="0"/>
    <w:pPr>
      <w:tabs>
        <w:tab w:val="left" w:pos="360"/>
      </w:tabs>
      <w:overflowPunct/>
      <w:snapToGrid/>
      <w:spacing w:before="0" w:after="0" w:line="240" w:lineRule="auto"/>
      <w:ind w:left="0" w:firstLine="0"/>
      <w:jc w:val="center"/>
    </w:pPr>
    <w:rPr>
      <w:rFonts w:ascii="Calibri" w:hAnsi="Courier New" w:eastAsia="楷体_GB2312"/>
      <w:bCs w:val="0"/>
      <w:color w:val="auto"/>
      <w:sz w:val="28"/>
      <w:szCs w:val="20"/>
    </w:rPr>
  </w:style>
  <w:style w:type="character" w:customStyle="1" w:styleId="465">
    <w:name w:val="表内5 Char2"/>
    <w:autoRedefine/>
    <w:qFormat/>
    <w:uiPriority w:val="0"/>
    <w:rPr>
      <w:rFonts w:ascii="宋体" w:hAnsi="宋体" w:eastAsia="宋体" w:cs="宋体"/>
      <w:kern w:val="2"/>
      <w:sz w:val="21"/>
      <w:szCs w:val="24"/>
      <w:lang w:val="en-US" w:eastAsia="zh-CN" w:bidi="ar-SA"/>
    </w:rPr>
  </w:style>
  <w:style w:type="character" w:customStyle="1" w:styleId="466">
    <w:name w:val="表题1 Char72"/>
    <w:autoRedefine/>
    <w:qFormat/>
    <w:uiPriority w:val="0"/>
    <w:rPr>
      <w:rFonts w:ascii="黑体" w:hAnsi="Arial" w:eastAsia="黑体" w:cs="Arial"/>
      <w:b/>
      <w:kern w:val="2"/>
      <w:sz w:val="24"/>
      <w:szCs w:val="24"/>
      <w:lang w:val="en-US" w:eastAsia="zh-CN" w:bidi="ar-SA"/>
    </w:rPr>
  </w:style>
  <w:style w:type="character" w:customStyle="1" w:styleId="467">
    <w:name w:val="题注 Char8"/>
    <w:autoRedefine/>
    <w:qFormat/>
    <w:uiPriority w:val="0"/>
    <w:rPr>
      <w:rFonts w:ascii="黑体" w:hAnsi="Arial" w:eastAsia="黑体" w:cs="Arial"/>
      <w:b/>
      <w:spacing w:val="10"/>
      <w:sz w:val="24"/>
      <w:szCs w:val="24"/>
    </w:rPr>
  </w:style>
  <w:style w:type="character" w:customStyle="1" w:styleId="468">
    <w:name w:val="正文样式 Char"/>
    <w:autoRedefine/>
    <w:qFormat/>
    <w:uiPriority w:val="0"/>
    <w:rPr>
      <w:rFonts w:eastAsia="宋体" w:cs="宋体"/>
      <w:kern w:val="2"/>
      <w:sz w:val="24"/>
      <w:szCs w:val="24"/>
      <w:lang w:val="en-US" w:eastAsia="zh-CN" w:bidi="ar-SA"/>
    </w:rPr>
  </w:style>
  <w:style w:type="character" w:customStyle="1" w:styleId="469">
    <w:name w:val="题注 Char11"/>
    <w:autoRedefine/>
    <w:qFormat/>
    <w:uiPriority w:val="0"/>
    <w:rPr>
      <w:rFonts w:ascii="黑体" w:hAnsi="Arial" w:eastAsia="黑体" w:cs="Arial"/>
      <w:b/>
      <w:spacing w:val="10"/>
      <w:sz w:val="24"/>
      <w:szCs w:val="24"/>
    </w:rPr>
  </w:style>
  <w:style w:type="character" w:customStyle="1" w:styleId="470">
    <w:name w:val="z-窗体底端 Char"/>
    <w:link w:val="471"/>
    <w:autoRedefine/>
    <w:qFormat/>
    <w:uiPriority w:val="0"/>
    <w:rPr>
      <w:rFonts w:ascii="Arial" w:hAnsi="Arial" w:eastAsia="仿宋_GB2312"/>
      <w:vanish/>
      <w:sz w:val="16"/>
    </w:rPr>
  </w:style>
  <w:style w:type="paragraph" w:customStyle="1" w:styleId="471">
    <w:name w:val="z-窗体底端1"/>
    <w:basedOn w:val="1"/>
    <w:next w:val="1"/>
    <w:link w:val="470"/>
    <w:autoRedefine/>
    <w:qFormat/>
    <w:uiPriority w:val="0"/>
    <w:pPr>
      <w:pBdr>
        <w:top w:val="single" w:color="auto" w:sz="6" w:space="1"/>
      </w:pBdr>
      <w:adjustRightInd w:val="0"/>
      <w:snapToGrid w:val="0"/>
      <w:spacing w:line="300" w:lineRule="auto"/>
      <w:jc w:val="center"/>
    </w:pPr>
    <w:rPr>
      <w:rFonts w:ascii="Arial" w:hAnsi="Arial" w:eastAsia="仿宋_GB2312"/>
      <w:vanish/>
      <w:kern w:val="0"/>
      <w:sz w:val="16"/>
      <w:szCs w:val="20"/>
      <w:lang w:val="zh-CN"/>
    </w:rPr>
  </w:style>
  <w:style w:type="character" w:customStyle="1" w:styleId="472">
    <w:name w:val="样式1 Char"/>
    <w:link w:val="473"/>
    <w:autoRedefine/>
    <w:qFormat/>
    <w:uiPriority w:val="0"/>
    <w:rPr>
      <w:rFonts w:ascii="宋体"/>
    </w:rPr>
  </w:style>
  <w:style w:type="paragraph" w:customStyle="1" w:styleId="473">
    <w:name w:val="样式1"/>
    <w:basedOn w:val="1"/>
    <w:link w:val="472"/>
    <w:autoRedefine/>
    <w:qFormat/>
    <w:uiPriority w:val="0"/>
    <w:pPr>
      <w:snapToGrid w:val="0"/>
      <w:jc w:val="center"/>
    </w:pPr>
    <w:rPr>
      <w:rFonts w:ascii="宋体"/>
      <w:kern w:val="0"/>
      <w:sz w:val="20"/>
      <w:szCs w:val="20"/>
      <w:lang w:val="zh-CN"/>
    </w:rPr>
  </w:style>
  <w:style w:type="character" w:customStyle="1" w:styleId="474">
    <w:name w:val="标题正文黑 Char1"/>
    <w:autoRedefine/>
    <w:qFormat/>
    <w:uiPriority w:val="0"/>
    <w:rPr>
      <w:rFonts w:ascii="黑体" w:eastAsia="黑体"/>
      <w:kern w:val="2"/>
      <w:sz w:val="28"/>
      <w:szCs w:val="28"/>
      <w:lang w:val="en-US" w:eastAsia="zh-CN" w:bidi="ar-SA"/>
    </w:rPr>
  </w:style>
  <w:style w:type="character" w:customStyle="1" w:styleId="475">
    <w:name w:val="标题2 Char12"/>
    <w:autoRedefine/>
    <w:qFormat/>
    <w:uiPriority w:val="0"/>
    <w:rPr>
      <w:rFonts w:ascii="宋体" w:hAnsi="宋体" w:eastAsia="宋体" w:cs="宋体"/>
      <w:color w:val="000000"/>
      <w:kern w:val="2"/>
      <w:sz w:val="24"/>
      <w:szCs w:val="24"/>
      <w:lang w:val="en-US" w:eastAsia="zh-CN" w:bidi="ar-SA"/>
    </w:rPr>
  </w:style>
  <w:style w:type="character" w:customStyle="1" w:styleId="476">
    <w:name w:val="main1"/>
    <w:autoRedefine/>
    <w:qFormat/>
    <w:uiPriority w:val="0"/>
    <w:rPr>
      <w:color w:val="000000"/>
      <w:sz w:val="21"/>
      <w:szCs w:val="21"/>
    </w:rPr>
  </w:style>
  <w:style w:type="character" w:customStyle="1" w:styleId="477">
    <w:name w:val="报告书正文 Char"/>
    <w:link w:val="478"/>
    <w:autoRedefine/>
    <w:qFormat/>
    <w:uiPriority w:val="0"/>
    <w:rPr>
      <w:sz w:val="24"/>
      <w:szCs w:val="24"/>
    </w:rPr>
  </w:style>
  <w:style w:type="paragraph" w:customStyle="1" w:styleId="478">
    <w:name w:val="报告书正文"/>
    <w:basedOn w:val="1"/>
    <w:link w:val="477"/>
    <w:autoRedefine/>
    <w:qFormat/>
    <w:uiPriority w:val="0"/>
    <w:pPr>
      <w:spacing w:line="360" w:lineRule="auto"/>
      <w:ind w:firstLine="480" w:firstLineChars="200"/>
    </w:pPr>
    <w:rPr>
      <w:kern w:val="0"/>
      <w:sz w:val="24"/>
      <w:lang w:val="zh-CN"/>
    </w:rPr>
  </w:style>
  <w:style w:type="character" w:customStyle="1" w:styleId="479">
    <w:name w:val="表题1 Char4"/>
    <w:autoRedefine/>
    <w:qFormat/>
    <w:uiPriority w:val="0"/>
    <w:rPr>
      <w:rFonts w:ascii="黑体" w:hAnsi="Arial" w:eastAsia="黑体" w:cs="Arial"/>
      <w:b/>
      <w:kern w:val="2"/>
      <w:sz w:val="24"/>
      <w:szCs w:val="24"/>
      <w:lang w:val="en-US" w:eastAsia="zh-CN" w:bidi="ar-SA"/>
    </w:rPr>
  </w:style>
  <w:style w:type="character" w:customStyle="1" w:styleId="480">
    <w:name w:val="题注 Char1"/>
    <w:autoRedefine/>
    <w:qFormat/>
    <w:uiPriority w:val="0"/>
    <w:rPr>
      <w:rFonts w:eastAsia="仿宋_GB2312"/>
      <w:b/>
      <w:sz w:val="24"/>
      <w:lang w:val="en-US" w:eastAsia="zh-CN" w:bidi="ar-SA"/>
    </w:rPr>
  </w:style>
  <w:style w:type="character" w:customStyle="1" w:styleId="481">
    <w:name w:val="zwc"/>
    <w:basedOn w:val="90"/>
    <w:autoRedefine/>
    <w:qFormat/>
    <w:uiPriority w:val="0"/>
  </w:style>
  <w:style w:type="character" w:customStyle="1" w:styleId="482">
    <w:name w:val="燕山正文 Char13"/>
    <w:autoRedefine/>
    <w:qFormat/>
    <w:uiPriority w:val="0"/>
    <w:rPr>
      <w:rFonts w:ascii="宋体" w:eastAsia="宋体" w:cs="宋体"/>
      <w:kern w:val="2"/>
      <w:sz w:val="24"/>
      <w:szCs w:val="24"/>
      <w:lang w:val="en-US" w:eastAsia="zh-CN" w:bidi="ar-SA"/>
    </w:rPr>
  </w:style>
  <w:style w:type="character" w:customStyle="1" w:styleId="483">
    <w:name w:val="t_tag"/>
    <w:basedOn w:val="90"/>
    <w:autoRedefine/>
    <w:qFormat/>
    <w:uiPriority w:val="0"/>
  </w:style>
  <w:style w:type="character" w:customStyle="1" w:styleId="484">
    <w:name w:val="标题 2 Char3"/>
    <w:autoRedefine/>
    <w:qFormat/>
    <w:uiPriority w:val="0"/>
    <w:rPr>
      <w:rFonts w:ascii="黑体" w:hAnsi="Arial" w:eastAsia="黑体"/>
      <w:bCs/>
      <w:kern w:val="2"/>
      <w:sz w:val="30"/>
      <w:szCs w:val="30"/>
      <w:lang w:val="en-US" w:eastAsia="zh-CN" w:bidi="ar-SA"/>
    </w:rPr>
  </w:style>
  <w:style w:type="character" w:customStyle="1" w:styleId="485">
    <w:name w:val="题注 Char53"/>
    <w:autoRedefine/>
    <w:qFormat/>
    <w:uiPriority w:val="0"/>
    <w:rPr>
      <w:rFonts w:ascii="黑体" w:hAnsi="Arial" w:eastAsia="黑体" w:cs="Arial"/>
      <w:b/>
      <w:spacing w:val="10"/>
      <w:sz w:val="24"/>
      <w:szCs w:val="24"/>
    </w:rPr>
  </w:style>
  <w:style w:type="character" w:customStyle="1" w:styleId="486">
    <w:name w:val="标题正文黑 Char2"/>
    <w:autoRedefine/>
    <w:qFormat/>
    <w:uiPriority w:val="0"/>
    <w:rPr>
      <w:rFonts w:ascii="黑体" w:eastAsia="黑体"/>
      <w:kern w:val="2"/>
      <w:sz w:val="28"/>
      <w:szCs w:val="28"/>
      <w:lang w:val="en-US" w:eastAsia="zh-CN" w:bidi="ar-SA"/>
    </w:rPr>
  </w:style>
  <w:style w:type="character" w:customStyle="1" w:styleId="487">
    <w:name w:val="样式 小四 行距: 固定值 24 磅 Char"/>
    <w:autoRedefine/>
    <w:qFormat/>
    <w:uiPriority w:val="0"/>
    <w:rPr>
      <w:rFonts w:ascii="仿宋_GB2312" w:eastAsia="仿宋_GB2312" w:cs="宋体"/>
      <w:b/>
      <w:bCs/>
      <w:sz w:val="24"/>
    </w:rPr>
  </w:style>
  <w:style w:type="character" w:customStyle="1" w:styleId="488">
    <w:name w:val="日期 Char2"/>
    <w:autoRedefine/>
    <w:qFormat/>
    <w:uiPriority w:val="0"/>
    <w:rPr>
      <w:rFonts w:ascii="宋体" w:hAnsi="Times New Roman"/>
      <w:kern w:val="2"/>
      <w:sz w:val="24"/>
    </w:rPr>
  </w:style>
  <w:style w:type="character" w:customStyle="1" w:styleId="489">
    <w:name w:val="正文格式 Char1"/>
    <w:autoRedefine/>
    <w:qFormat/>
    <w:uiPriority w:val="0"/>
    <w:rPr>
      <w:rFonts w:ascii="宋体" w:hAnsi="宋体" w:eastAsia="宋体"/>
      <w:kern w:val="2"/>
      <w:sz w:val="24"/>
      <w:szCs w:val="24"/>
      <w:lang w:val="en-US" w:eastAsia="zh-CN" w:bidi="ar-SA"/>
    </w:rPr>
  </w:style>
  <w:style w:type="character" w:customStyle="1" w:styleId="490">
    <w:name w:val="style15 style15"/>
    <w:basedOn w:val="90"/>
    <w:autoRedefine/>
    <w:qFormat/>
    <w:uiPriority w:val="0"/>
  </w:style>
  <w:style w:type="character" w:customStyle="1" w:styleId="491">
    <w:name w:val="tpc_content1"/>
    <w:autoRedefine/>
    <w:qFormat/>
    <w:uiPriority w:val="0"/>
    <w:rPr>
      <w:sz w:val="22"/>
      <w:szCs w:val="22"/>
    </w:rPr>
  </w:style>
  <w:style w:type="character" w:customStyle="1" w:styleId="492">
    <w:name w:val="环评正文 Char"/>
    <w:link w:val="493"/>
    <w:autoRedefine/>
    <w:qFormat/>
    <w:uiPriority w:val="0"/>
  </w:style>
  <w:style w:type="paragraph" w:customStyle="1" w:styleId="493">
    <w:name w:val="环评正文"/>
    <w:basedOn w:val="1"/>
    <w:link w:val="492"/>
    <w:autoRedefine/>
    <w:qFormat/>
    <w:uiPriority w:val="0"/>
    <w:pPr>
      <w:adjustRightInd w:val="0"/>
      <w:snapToGrid w:val="0"/>
      <w:spacing w:line="360" w:lineRule="auto"/>
      <w:ind w:firstLine="480" w:firstLineChars="200"/>
    </w:pPr>
    <w:rPr>
      <w:kern w:val="0"/>
      <w:sz w:val="20"/>
      <w:szCs w:val="20"/>
    </w:rPr>
  </w:style>
  <w:style w:type="character" w:customStyle="1" w:styleId="494">
    <w:name w:val="福建正文缩进 Char"/>
    <w:link w:val="495"/>
    <w:autoRedefine/>
    <w:qFormat/>
    <w:uiPriority w:val="0"/>
    <w:rPr>
      <w:rFonts w:ascii="宋体" w:hAnsi="宋体" w:cs="宋体"/>
      <w:color w:val="000000"/>
      <w:sz w:val="24"/>
      <w:szCs w:val="24"/>
    </w:rPr>
  </w:style>
  <w:style w:type="paragraph" w:customStyle="1" w:styleId="495">
    <w:name w:val="福建正文缩进"/>
    <w:basedOn w:val="9"/>
    <w:link w:val="494"/>
    <w:autoRedefine/>
    <w:qFormat/>
    <w:uiPriority w:val="0"/>
    <w:pPr>
      <w:widowControl/>
      <w:tabs>
        <w:tab w:val="left" w:pos="5837"/>
      </w:tabs>
      <w:adjustRightInd w:val="0"/>
      <w:snapToGrid w:val="0"/>
      <w:spacing w:line="480" w:lineRule="exact"/>
      <w:ind w:firstLine="0" w:firstLineChars="0"/>
    </w:pPr>
    <w:rPr>
      <w:rFonts w:ascii="宋体" w:hAnsi="宋体"/>
      <w:color w:val="000000"/>
      <w:kern w:val="0"/>
      <w:sz w:val="24"/>
    </w:rPr>
  </w:style>
  <w:style w:type="character" w:customStyle="1" w:styleId="496">
    <w:name w:val="内容"/>
    <w:basedOn w:val="90"/>
    <w:autoRedefine/>
    <w:qFormat/>
    <w:uiPriority w:val="0"/>
  </w:style>
  <w:style w:type="character" w:customStyle="1" w:styleId="497">
    <w:name w:val="题注 Char22"/>
    <w:autoRedefine/>
    <w:qFormat/>
    <w:uiPriority w:val="0"/>
    <w:rPr>
      <w:rFonts w:ascii="黑体" w:hAnsi="Arial" w:eastAsia="黑体" w:cs="Arial"/>
      <w:b/>
      <w:spacing w:val="10"/>
      <w:sz w:val="24"/>
      <w:szCs w:val="24"/>
    </w:rPr>
  </w:style>
  <w:style w:type="character" w:customStyle="1" w:styleId="498">
    <w:name w:val="大港正文 Char"/>
    <w:link w:val="499"/>
    <w:autoRedefine/>
    <w:qFormat/>
    <w:uiPriority w:val="0"/>
    <w:rPr>
      <w:rFonts w:ascii="宋体" w:hAnsi="宋体"/>
      <w:sz w:val="24"/>
      <w:szCs w:val="24"/>
    </w:rPr>
  </w:style>
  <w:style w:type="paragraph" w:customStyle="1" w:styleId="499">
    <w:name w:val="大港正文"/>
    <w:basedOn w:val="1"/>
    <w:next w:val="1"/>
    <w:link w:val="498"/>
    <w:autoRedefine/>
    <w:qFormat/>
    <w:uiPriority w:val="0"/>
    <w:pPr>
      <w:adjustRightInd w:val="0"/>
      <w:snapToGrid w:val="0"/>
      <w:spacing w:line="500" w:lineRule="atLeast"/>
      <w:ind w:firstLine="480" w:firstLineChars="200"/>
    </w:pPr>
    <w:rPr>
      <w:rFonts w:ascii="宋体" w:hAnsi="宋体"/>
      <w:kern w:val="0"/>
      <w:sz w:val="24"/>
      <w:lang w:val="zh-CN"/>
    </w:rPr>
  </w:style>
  <w:style w:type="character" w:customStyle="1" w:styleId="500">
    <w:name w:val="燕山正文 Char12"/>
    <w:autoRedefine/>
    <w:qFormat/>
    <w:uiPriority w:val="0"/>
    <w:rPr>
      <w:rFonts w:ascii="宋体" w:eastAsia="宋体" w:cs="宋体"/>
      <w:kern w:val="2"/>
      <w:sz w:val="24"/>
      <w:szCs w:val="24"/>
      <w:lang w:val="en-US" w:eastAsia="zh-CN" w:bidi="ar-SA"/>
    </w:rPr>
  </w:style>
  <w:style w:type="character" w:customStyle="1" w:styleId="501">
    <w:name w:val="moon icon texticon"/>
    <w:basedOn w:val="90"/>
    <w:autoRedefine/>
    <w:qFormat/>
    <w:uiPriority w:val="0"/>
  </w:style>
  <w:style w:type="character" w:customStyle="1" w:styleId="502">
    <w:name w:val="正文缩进 Char32"/>
    <w:autoRedefine/>
    <w:qFormat/>
    <w:uiPriority w:val="0"/>
    <w:rPr>
      <w:rFonts w:ascii="宋体" w:hAnsi="宋体" w:eastAsia="宋体" w:cs="宋体"/>
      <w:color w:val="000000"/>
      <w:kern w:val="0"/>
      <w:sz w:val="24"/>
      <w:szCs w:val="24"/>
      <w:lang w:val="en-US" w:eastAsia="zh-CN" w:bidi="ar-SA"/>
    </w:rPr>
  </w:style>
  <w:style w:type="character" w:customStyle="1" w:styleId="503">
    <w:name w:val="表中文字 Char22"/>
    <w:autoRedefine/>
    <w:qFormat/>
    <w:uiPriority w:val="0"/>
    <w:rPr>
      <w:rFonts w:ascii="宋体" w:eastAsia="宋体"/>
      <w:kern w:val="2"/>
      <w:sz w:val="21"/>
      <w:szCs w:val="21"/>
      <w:lang w:val="en-US" w:eastAsia="zh-CN" w:bidi="ar-SA"/>
    </w:rPr>
  </w:style>
  <w:style w:type="character" w:customStyle="1" w:styleId="504">
    <w:name w:val="文字 Char"/>
    <w:link w:val="505"/>
    <w:autoRedefine/>
    <w:qFormat/>
    <w:uiPriority w:val="0"/>
    <w:rPr>
      <w:sz w:val="24"/>
      <w:szCs w:val="24"/>
    </w:rPr>
  </w:style>
  <w:style w:type="paragraph" w:customStyle="1" w:styleId="505">
    <w:name w:val="文字"/>
    <w:basedOn w:val="1"/>
    <w:link w:val="504"/>
    <w:autoRedefine/>
    <w:qFormat/>
    <w:uiPriority w:val="0"/>
    <w:pPr>
      <w:spacing w:line="360" w:lineRule="auto"/>
      <w:ind w:firstLine="200" w:firstLineChars="200"/>
    </w:pPr>
    <w:rPr>
      <w:kern w:val="0"/>
      <w:sz w:val="24"/>
      <w:lang w:val="zh-CN"/>
    </w:rPr>
  </w:style>
  <w:style w:type="character" w:customStyle="1" w:styleId="506">
    <w:name w:val="hhcwt标题3 Char Char"/>
    <w:link w:val="507"/>
    <w:autoRedefine/>
    <w:qFormat/>
    <w:uiPriority w:val="0"/>
    <w:rPr>
      <w:rFonts w:eastAsia="楷体_GB2312" w:cs="宋体"/>
      <w:bCs/>
      <w:sz w:val="28"/>
      <w:szCs w:val="24"/>
    </w:rPr>
  </w:style>
  <w:style w:type="paragraph" w:customStyle="1" w:styleId="507">
    <w:name w:val="hhcwt标题3"/>
    <w:basedOn w:val="1"/>
    <w:link w:val="506"/>
    <w:autoRedefine/>
    <w:qFormat/>
    <w:uiPriority w:val="0"/>
    <w:pPr>
      <w:keepNext/>
      <w:keepLines/>
      <w:spacing w:line="336" w:lineRule="auto"/>
      <w:outlineLvl w:val="2"/>
    </w:pPr>
    <w:rPr>
      <w:rFonts w:eastAsia="楷体_GB2312"/>
      <w:bCs/>
      <w:kern w:val="0"/>
      <w:sz w:val="28"/>
      <w:lang w:val="zh-CN"/>
    </w:rPr>
  </w:style>
  <w:style w:type="character" w:customStyle="1" w:styleId="508">
    <w:name w:val="表题1 Char63"/>
    <w:autoRedefine/>
    <w:qFormat/>
    <w:uiPriority w:val="0"/>
    <w:rPr>
      <w:rFonts w:ascii="黑体" w:hAnsi="Arial" w:eastAsia="黑体" w:cs="Arial"/>
      <w:b/>
      <w:kern w:val="2"/>
      <w:sz w:val="24"/>
      <w:szCs w:val="24"/>
      <w:lang w:val="en-US" w:eastAsia="zh-CN" w:bidi="ar-SA"/>
    </w:rPr>
  </w:style>
  <w:style w:type="character" w:customStyle="1" w:styleId="509">
    <w:name w:val="text"/>
    <w:basedOn w:val="90"/>
    <w:autoRedefine/>
    <w:qFormat/>
    <w:uiPriority w:val="0"/>
  </w:style>
  <w:style w:type="character" w:customStyle="1" w:styleId="510">
    <w:name w:val="tdword"/>
    <w:basedOn w:val="90"/>
    <w:autoRedefine/>
    <w:qFormat/>
    <w:uiPriority w:val="0"/>
  </w:style>
  <w:style w:type="character" w:customStyle="1" w:styleId="511">
    <w:name w:val="表格内字体 Char6"/>
    <w:autoRedefine/>
    <w:qFormat/>
    <w:uiPriority w:val="0"/>
    <w:rPr>
      <w:rFonts w:ascii="宋体" w:hAnsi="宋体" w:eastAsia="宋体" w:cs="Times New Roman"/>
      <w:kern w:val="2"/>
      <w:sz w:val="24"/>
      <w:szCs w:val="24"/>
      <w:lang w:val="en-US" w:eastAsia="zh-CN" w:bidi="ar-SA"/>
    </w:rPr>
  </w:style>
  <w:style w:type="character" w:customStyle="1" w:styleId="512">
    <w:name w:val="v15"/>
    <w:basedOn w:val="90"/>
    <w:autoRedefine/>
    <w:qFormat/>
    <w:uiPriority w:val="0"/>
  </w:style>
  <w:style w:type="character" w:customStyle="1" w:styleId="513">
    <w:name w:val="style111"/>
    <w:autoRedefine/>
    <w:qFormat/>
    <w:uiPriority w:val="0"/>
    <w:rPr>
      <w:color w:val="333333"/>
      <w:sz w:val="21"/>
      <w:szCs w:val="21"/>
    </w:rPr>
  </w:style>
  <w:style w:type="character" w:customStyle="1" w:styleId="514">
    <w:name w:val="font"/>
    <w:basedOn w:val="90"/>
    <w:autoRedefine/>
    <w:qFormat/>
    <w:uiPriority w:val="0"/>
  </w:style>
  <w:style w:type="character" w:customStyle="1" w:styleId="515">
    <w:name w:val="hhcwt标题2 Char"/>
    <w:link w:val="516"/>
    <w:autoRedefine/>
    <w:qFormat/>
    <w:uiPriority w:val="0"/>
    <w:rPr>
      <w:rFonts w:eastAsia="黑体" w:cs="宋体"/>
      <w:sz w:val="32"/>
    </w:rPr>
  </w:style>
  <w:style w:type="paragraph" w:customStyle="1" w:styleId="516">
    <w:name w:val="hhcwt标题2"/>
    <w:basedOn w:val="1"/>
    <w:link w:val="515"/>
    <w:autoRedefine/>
    <w:qFormat/>
    <w:uiPriority w:val="0"/>
    <w:pPr>
      <w:keepNext/>
      <w:keepLines/>
      <w:spacing w:before="120" w:after="120" w:line="336" w:lineRule="auto"/>
      <w:outlineLvl w:val="1"/>
    </w:pPr>
    <w:rPr>
      <w:rFonts w:eastAsia="黑体"/>
      <w:kern w:val="0"/>
      <w:sz w:val="32"/>
      <w:szCs w:val="20"/>
      <w:lang w:val="zh-CN"/>
    </w:rPr>
  </w:style>
  <w:style w:type="character" w:customStyle="1" w:styleId="517">
    <w:name w:val="正文修改 Char14"/>
    <w:autoRedefine/>
    <w:qFormat/>
    <w:uiPriority w:val="0"/>
    <w:rPr>
      <w:rFonts w:ascii="宋体" w:cs="宋体"/>
      <w:sz w:val="24"/>
      <w:szCs w:val="24"/>
    </w:rPr>
  </w:style>
  <w:style w:type="character" w:customStyle="1" w:styleId="518">
    <w:name w:val="节 Char13"/>
    <w:autoRedefine/>
    <w:qFormat/>
    <w:uiPriority w:val="0"/>
    <w:rPr>
      <w:rFonts w:ascii="黑体" w:hAnsi="Arial" w:eastAsia="黑体"/>
      <w:bCs/>
      <w:kern w:val="2"/>
      <w:sz w:val="30"/>
      <w:szCs w:val="30"/>
      <w:lang w:val="en-US" w:eastAsia="zh-CN" w:bidi="ar-SA"/>
    </w:rPr>
  </w:style>
  <w:style w:type="character" w:customStyle="1" w:styleId="519">
    <w:name w:val="文档结构图 Char2"/>
    <w:autoRedefine/>
    <w:qFormat/>
    <w:uiPriority w:val="0"/>
    <w:rPr>
      <w:rFonts w:eastAsia="宋体"/>
      <w:kern w:val="2"/>
      <w:sz w:val="21"/>
      <w:szCs w:val="24"/>
      <w:shd w:val="clear" w:color="auto" w:fill="000080"/>
      <w:lang w:val="en-US" w:eastAsia="zh-CN" w:bidi="ar-SA"/>
    </w:rPr>
  </w:style>
  <w:style w:type="character" w:customStyle="1" w:styleId="520">
    <w:name w:val="正文缩进 Char41"/>
    <w:autoRedefine/>
    <w:qFormat/>
    <w:uiPriority w:val="0"/>
    <w:rPr>
      <w:rFonts w:ascii="宋体" w:hAnsi="宋体" w:eastAsia="宋体" w:cs="宋体"/>
      <w:color w:val="000000"/>
      <w:kern w:val="2"/>
      <w:sz w:val="24"/>
      <w:szCs w:val="24"/>
      <w:lang w:val="en-US" w:eastAsia="zh-CN" w:bidi="ar-SA"/>
    </w:rPr>
  </w:style>
  <w:style w:type="character" w:customStyle="1" w:styleId="521">
    <w:name w:val="Char Char45"/>
    <w:autoRedefine/>
    <w:qFormat/>
    <w:uiPriority w:val="0"/>
    <w:rPr>
      <w:rFonts w:ascii="仿宋_GB2312" w:eastAsia="仿宋_GB2312"/>
      <w:kern w:val="2"/>
      <w:sz w:val="18"/>
      <w:szCs w:val="18"/>
      <w:lang w:val="en-US" w:eastAsia="zh-CN" w:bidi="ar-SA"/>
    </w:rPr>
  </w:style>
  <w:style w:type="character" w:customStyle="1" w:styleId="522">
    <w:name w:val="td7"/>
    <w:autoRedefine/>
    <w:qFormat/>
    <w:uiPriority w:val="0"/>
    <w:rPr>
      <w:rFonts w:eastAsia="宋体"/>
      <w:kern w:val="2"/>
      <w:sz w:val="28"/>
      <w:szCs w:val="28"/>
      <w:lang w:val="en-US" w:eastAsia="zh-CN" w:bidi="ar-SA"/>
    </w:rPr>
  </w:style>
  <w:style w:type="character" w:customStyle="1" w:styleId="523">
    <w:name w:val="干标题(a) Char1"/>
    <w:autoRedefine/>
    <w:qFormat/>
    <w:locked/>
    <w:uiPriority w:val="0"/>
    <w:rPr>
      <w:rFonts w:ascii="Arial" w:hAnsi="Arial" w:eastAsia="黑体"/>
      <w:kern w:val="2"/>
      <w:sz w:val="24"/>
      <w:lang w:val="en-US" w:eastAsia="zh-CN" w:bidi="ar-SA"/>
    </w:rPr>
  </w:style>
  <w:style w:type="character" w:customStyle="1" w:styleId="524">
    <w:name w:val="未命名11"/>
    <w:autoRedefine/>
    <w:qFormat/>
    <w:uiPriority w:val="0"/>
    <w:rPr>
      <w:rFonts w:hint="eastAsia" w:ascii="宋体" w:hAnsi="宋体" w:eastAsia="宋体"/>
      <w:b/>
      <w:spacing w:val="10"/>
      <w:kern w:val="2"/>
      <w:sz w:val="18"/>
      <w:szCs w:val="18"/>
      <w:lang w:val="en-US" w:eastAsia="zh-CN" w:bidi="ar-SA"/>
    </w:rPr>
  </w:style>
  <w:style w:type="character" w:customStyle="1" w:styleId="525">
    <w:name w:val="高表单 Char Char"/>
    <w:autoRedefine/>
    <w:qFormat/>
    <w:uiPriority w:val="0"/>
    <w:rPr>
      <w:rFonts w:ascii="Arial" w:hAnsi="Arial" w:eastAsia="宋体"/>
      <w:kern w:val="2"/>
      <w:sz w:val="21"/>
      <w:szCs w:val="21"/>
      <w:lang w:val="en-US" w:eastAsia="zh-CN" w:bidi="ar-SA"/>
    </w:rPr>
  </w:style>
  <w:style w:type="character" w:customStyle="1" w:styleId="526">
    <w:name w:val="题注 Char21"/>
    <w:autoRedefine/>
    <w:qFormat/>
    <w:uiPriority w:val="0"/>
    <w:rPr>
      <w:rFonts w:ascii="黑体" w:hAnsi="Arial" w:eastAsia="黑体" w:cs="Arial"/>
      <w:b/>
      <w:spacing w:val="10"/>
      <w:sz w:val="24"/>
      <w:szCs w:val="24"/>
    </w:rPr>
  </w:style>
  <w:style w:type="character" w:customStyle="1" w:styleId="527">
    <w:name w:val="BOD 0 Char"/>
    <w:autoRedefine/>
    <w:qFormat/>
    <w:uiPriority w:val="0"/>
    <w:rPr>
      <w:rFonts w:eastAsia="宋体"/>
      <w:sz w:val="28"/>
      <w:lang w:val="en-US" w:eastAsia="zh-CN" w:bidi="ar-SA"/>
    </w:rPr>
  </w:style>
  <w:style w:type="character" w:customStyle="1" w:styleId="528">
    <w:name w:val="A2 Char"/>
    <w:link w:val="529"/>
    <w:autoRedefine/>
    <w:qFormat/>
    <w:uiPriority w:val="0"/>
    <w:rPr>
      <w:sz w:val="30"/>
      <w:szCs w:val="24"/>
    </w:rPr>
  </w:style>
  <w:style w:type="paragraph" w:customStyle="1" w:styleId="529">
    <w:name w:val="A2"/>
    <w:basedOn w:val="1"/>
    <w:link w:val="528"/>
    <w:autoRedefine/>
    <w:qFormat/>
    <w:uiPriority w:val="0"/>
    <w:pPr>
      <w:spacing w:line="360" w:lineRule="auto"/>
      <w:ind w:firstLine="570"/>
    </w:pPr>
    <w:rPr>
      <w:kern w:val="0"/>
      <w:sz w:val="30"/>
      <w:lang w:val="zh-CN"/>
    </w:rPr>
  </w:style>
  <w:style w:type="character" w:customStyle="1" w:styleId="530">
    <w:name w:val="HTS 1 Char"/>
    <w:autoRedefine/>
    <w:qFormat/>
    <w:uiPriority w:val="0"/>
    <w:rPr>
      <w:rFonts w:ascii="楷体_GB2312" w:eastAsia="楷体_GB2312"/>
      <w:b/>
      <w:kern w:val="44"/>
      <w:sz w:val="30"/>
      <w:lang w:val="en-US" w:eastAsia="zh-CN" w:bidi="ar-SA"/>
    </w:rPr>
  </w:style>
  <w:style w:type="character" w:customStyle="1" w:styleId="531">
    <w:name w:val="正文首行缩进 2 Char1"/>
    <w:autoRedefine/>
    <w:qFormat/>
    <w:uiPriority w:val="0"/>
    <w:rPr>
      <w:rFonts w:eastAsia="宋体"/>
      <w:kern w:val="2"/>
      <w:sz w:val="21"/>
      <w:szCs w:val="24"/>
      <w:lang w:val="en-US" w:eastAsia="zh-CN" w:bidi="ar-SA"/>
    </w:rPr>
  </w:style>
  <w:style w:type="character" w:customStyle="1" w:styleId="532">
    <w:name w:val="页码 Char"/>
    <w:autoRedefine/>
    <w:qFormat/>
    <w:uiPriority w:val="0"/>
    <w:rPr>
      <w:rFonts w:hint="eastAsia"/>
      <w:color w:val="000000"/>
      <w:sz w:val="21"/>
      <w:u w:color="000000"/>
      <w:lang w:val="en-US" w:eastAsia="zh-CN"/>
    </w:rPr>
  </w:style>
  <w:style w:type="character" w:customStyle="1" w:styleId="533">
    <w:name w:val="默认段落字体 Char"/>
    <w:autoRedefine/>
    <w:qFormat/>
    <w:uiPriority w:val="0"/>
    <w:rPr>
      <w:rFonts w:hint="eastAsia"/>
      <w:color w:val="000000"/>
      <w:sz w:val="21"/>
      <w:u w:color="000000"/>
      <w:lang w:val="en-US" w:eastAsia="zh-CN"/>
    </w:rPr>
  </w:style>
  <w:style w:type="character" w:customStyle="1" w:styleId="534">
    <w:name w:val="样式 标题 1h1H1PIM 1标书11.标题 1Section HeadHeader11st levell1...1 Char"/>
    <w:link w:val="535"/>
    <w:autoRedefine/>
    <w:qFormat/>
    <w:uiPriority w:val="0"/>
    <w:rPr>
      <w:rFonts w:eastAsia="黑体"/>
      <w:b/>
      <w:bCs/>
      <w:kern w:val="44"/>
      <w:sz w:val="30"/>
      <w:szCs w:val="44"/>
    </w:rPr>
  </w:style>
  <w:style w:type="paragraph" w:customStyle="1" w:styleId="535">
    <w:name w:val="样式 标题 1h1H1PIM 1标书11.标题 1Section HeadHeader11st levell1...1"/>
    <w:basedOn w:val="3"/>
    <w:link w:val="534"/>
    <w:autoRedefine/>
    <w:qFormat/>
    <w:uiPriority w:val="0"/>
    <w:pPr>
      <w:keepLines/>
      <w:overflowPunct/>
      <w:snapToGrid/>
      <w:spacing w:after="120" w:line="500" w:lineRule="exact"/>
      <w:ind w:left="0" w:firstLine="0"/>
    </w:pPr>
    <w:rPr>
      <w:color w:val="auto"/>
      <w:szCs w:val="44"/>
    </w:rPr>
  </w:style>
  <w:style w:type="character" w:customStyle="1" w:styleId="536">
    <w:name w:val="f_heading1"/>
    <w:basedOn w:val="90"/>
    <w:autoRedefine/>
    <w:qFormat/>
    <w:uiPriority w:val="0"/>
  </w:style>
  <w:style w:type="character" w:customStyle="1" w:styleId="537">
    <w:name w:val="正文修改 Char141"/>
    <w:autoRedefine/>
    <w:qFormat/>
    <w:uiPriority w:val="0"/>
    <w:rPr>
      <w:rFonts w:ascii="宋体" w:cs="宋体"/>
      <w:sz w:val="24"/>
      <w:szCs w:val="24"/>
    </w:rPr>
  </w:style>
  <w:style w:type="character" w:customStyle="1" w:styleId="538">
    <w:name w:val="第一层条 Char2"/>
    <w:autoRedefine/>
    <w:qFormat/>
    <w:uiPriority w:val="0"/>
    <w:rPr>
      <w:rFonts w:ascii="仿宋_GB2312" w:eastAsia="仿宋_GB2312"/>
      <w:b/>
      <w:kern w:val="2"/>
      <w:sz w:val="28"/>
      <w:lang w:val="en-US" w:eastAsia="zh-CN" w:bidi="ar-SA"/>
    </w:rPr>
  </w:style>
  <w:style w:type="character" w:customStyle="1" w:styleId="539">
    <w:name w:val="10f"/>
    <w:basedOn w:val="90"/>
    <w:autoRedefine/>
    <w:qFormat/>
    <w:uiPriority w:val="0"/>
  </w:style>
  <w:style w:type="character" w:customStyle="1" w:styleId="540">
    <w:name w:val="sfmq"/>
    <w:basedOn w:val="90"/>
    <w:autoRedefine/>
    <w:qFormat/>
    <w:uiPriority w:val="0"/>
  </w:style>
  <w:style w:type="character" w:customStyle="1" w:styleId="541">
    <w:name w:val="Char Char62"/>
    <w:link w:val="542"/>
    <w:autoRedefine/>
    <w:qFormat/>
    <w:locked/>
    <w:uiPriority w:val="0"/>
    <w:rPr>
      <w:rFonts w:ascii="Calibri" w:hAnsi="Calibri"/>
    </w:rPr>
  </w:style>
  <w:style w:type="paragraph" w:customStyle="1" w:styleId="542">
    <w:name w:val="Char5"/>
    <w:basedOn w:val="1"/>
    <w:link w:val="541"/>
    <w:autoRedefine/>
    <w:qFormat/>
    <w:uiPriority w:val="0"/>
    <w:pPr>
      <w:autoSpaceDE w:val="0"/>
      <w:autoSpaceDN w:val="0"/>
      <w:adjustRightInd w:val="0"/>
      <w:snapToGrid w:val="0"/>
      <w:spacing w:before="50" w:after="50" w:line="360" w:lineRule="auto"/>
      <w:ind w:firstLine="560" w:firstLineChars="200"/>
    </w:pPr>
    <w:rPr>
      <w:rFonts w:ascii="Calibri" w:hAnsi="Calibri"/>
      <w:kern w:val="0"/>
      <w:sz w:val="20"/>
      <w:szCs w:val="20"/>
      <w:lang w:val="zh-CN"/>
    </w:rPr>
  </w:style>
  <w:style w:type="character" w:customStyle="1" w:styleId="543">
    <w:name w:val="chen 正文字体 Char"/>
    <w:link w:val="544"/>
    <w:autoRedefine/>
    <w:qFormat/>
    <w:uiPriority w:val="0"/>
    <w:rPr>
      <w:rFonts w:ascii="宋体" w:hAnsi="宋体" w:cs="宋体"/>
      <w:b/>
      <w:color w:val="000000"/>
      <w:spacing w:val="10"/>
      <w:sz w:val="24"/>
      <w:szCs w:val="24"/>
    </w:rPr>
  </w:style>
  <w:style w:type="paragraph" w:customStyle="1" w:styleId="544">
    <w:name w:val="chen 正文字体"/>
    <w:basedOn w:val="1"/>
    <w:link w:val="543"/>
    <w:autoRedefine/>
    <w:qFormat/>
    <w:uiPriority w:val="0"/>
    <w:pPr>
      <w:spacing w:line="360" w:lineRule="auto"/>
      <w:ind w:firstLine="200" w:firstLineChars="200"/>
    </w:pPr>
    <w:rPr>
      <w:rFonts w:ascii="宋体" w:hAnsi="宋体"/>
      <w:b/>
      <w:color w:val="000000"/>
      <w:spacing w:val="10"/>
      <w:kern w:val="0"/>
      <w:sz w:val="24"/>
      <w:lang w:val="zh-CN"/>
    </w:rPr>
  </w:style>
  <w:style w:type="character" w:customStyle="1" w:styleId="545">
    <w:name w:val="表标题 Char"/>
    <w:link w:val="546"/>
    <w:autoRedefine/>
    <w:qFormat/>
    <w:locked/>
    <w:uiPriority w:val="0"/>
    <w:rPr>
      <w:rFonts w:ascii="仿宋_GB2312" w:eastAsia="仿宋_GB2312"/>
      <w:color w:val="000000"/>
      <w:sz w:val="24"/>
    </w:rPr>
  </w:style>
  <w:style w:type="paragraph" w:customStyle="1" w:styleId="546">
    <w:name w:val="表标题"/>
    <w:basedOn w:val="1"/>
    <w:link w:val="545"/>
    <w:autoRedefine/>
    <w:qFormat/>
    <w:uiPriority w:val="0"/>
    <w:pPr>
      <w:spacing w:line="312" w:lineRule="auto"/>
      <w:ind w:right="567"/>
      <w:jc w:val="center"/>
      <w:outlineLvl w:val="0"/>
    </w:pPr>
    <w:rPr>
      <w:rFonts w:ascii="仿宋_GB2312" w:eastAsia="仿宋_GB2312"/>
      <w:color w:val="000000"/>
      <w:kern w:val="0"/>
      <w:sz w:val="24"/>
      <w:szCs w:val="20"/>
      <w:lang w:val="zh-CN"/>
    </w:rPr>
  </w:style>
  <w:style w:type="character" w:customStyle="1" w:styleId="547">
    <w:name w:val="Char Char1121"/>
    <w:autoRedefine/>
    <w:qFormat/>
    <w:uiPriority w:val="0"/>
    <w:rPr>
      <w:rFonts w:ascii="黑体" w:hAnsi="Arial" w:eastAsia="黑体"/>
      <w:bCs/>
      <w:kern w:val="2"/>
      <w:sz w:val="30"/>
      <w:szCs w:val="30"/>
      <w:lang w:val="en-US" w:eastAsia="zh-CN" w:bidi="ar-SA"/>
    </w:rPr>
  </w:style>
  <w:style w:type="character" w:customStyle="1" w:styleId="548">
    <w:name w:val="标题 1 Char4"/>
    <w:autoRedefine/>
    <w:qFormat/>
    <w:uiPriority w:val="0"/>
    <w:rPr>
      <w:rFonts w:ascii="黑体" w:hAnsi="宋体" w:eastAsia="黑体"/>
      <w:b/>
      <w:bCs/>
      <w:kern w:val="44"/>
      <w:sz w:val="32"/>
      <w:szCs w:val="32"/>
      <w:lang w:val="en-US" w:eastAsia="zh-CN" w:bidi="ar-SA"/>
    </w:rPr>
  </w:style>
  <w:style w:type="character" w:customStyle="1" w:styleId="549">
    <w:name w:val="目标题 1) Char"/>
    <w:autoRedefine/>
    <w:qFormat/>
    <w:uiPriority w:val="0"/>
    <w:rPr>
      <w:rFonts w:ascii="Arial" w:hAnsi="Arial" w:eastAsia="黑体"/>
      <w:bCs/>
      <w:sz w:val="24"/>
      <w:lang w:val="en-US" w:eastAsia="zh-CN" w:bidi="ar-SA"/>
    </w:rPr>
  </w:style>
  <w:style w:type="character" w:customStyle="1" w:styleId="550">
    <w:name w:val="标题三 Char"/>
    <w:link w:val="551"/>
    <w:autoRedefine/>
    <w:qFormat/>
    <w:uiPriority w:val="0"/>
    <w:rPr>
      <w:b/>
      <w:sz w:val="30"/>
    </w:rPr>
  </w:style>
  <w:style w:type="paragraph" w:customStyle="1" w:styleId="551">
    <w:name w:val="标题三"/>
    <w:basedOn w:val="5"/>
    <w:link w:val="550"/>
    <w:autoRedefine/>
    <w:qFormat/>
    <w:uiPriority w:val="0"/>
    <w:pPr>
      <w:ind w:left="720" w:hanging="432"/>
    </w:pPr>
    <w:rPr>
      <w:bCs w:val="0"/>
      <w:kern w:val="0"/>
      <w:sz w:val="30"/>
      <w:szCs w:val="20"/>
    </w:rPr>
  </w:style>
  <w:style w:type="character" w:customStyle="1" w:styleId="552">
    <w:name w:val="标题 3 Char13"/>
    <w:autoRedefine/>
    <w:qFormat/>
    <w:uiPriority w:val="0"/>
    <w:rPr>
      <w:rFonts w:ascii="黑体" w:hAnsi="宋体" w:eastAsia="黑体"/>
      <w:b/>
      <w:bCs/>
      <w:kern w:val="2"/>
      <w:sz w:val="28"/>
      <w:szCs w:val="28"/>
      <w:lang w:val="en-US" w:eastAsia="zh-CN" w:bidi="ar-SA"/>
    </w:rPr>
  </w:style>
  <w:style w:type="character" w:customStyle="1" w:styleId="553">
    <w:name w:val="表题1 Char411"/>
    <w:autoRedefine/>
    <w:qFormat/>
    <w:uiPriority w:val="0"/>
    <w:rPr>
      <w:rFonts w:ascii="黑体" w:hAnsi="Arial" w:eastAsia="黑体" w:cs="Arial"/>
      <w:b/>
      <w:kern w:val="2"/>
      <w:sz w:val="24"/>
      <w:szCs w:val="24"/>
      <w:lang w:val="en-US" w:eastAsia="zh-CN" w:bidi="ar-SA"/>
    </w:rPr>
  </w:style>
  <w:style w:type="character" w:customStyle="1" w:styleId="554">
    <w:name w:val="图题 Char1"/>
    <w:autoRedefine/>
    <w:qFormat/>
    <w:uiPriority w:val="0"/>
    <w:rPr>
      <w:rFonts w:ascii="黑体" w:hAnsi="宋体" w:eastAsia="黑体" w:cs="宋体"/>
      <w:b/>
      <w:bCs/>
      <w:kern w:val="2"/>
      <w:sz w:val="24"/>
      <w:szCs w:val="24"/>
      <w:lang w:val="en-US" w:eastAsia="zh-CN" w:bidi="ar-SA"/>
    </w:rPr>
  </w:style>
  <w:style w:type="character" w:customStyle="1" w:styleId="555">
    <w:name w:val="正文  首行缩进: 2 字符 Char"/>
    <w:link w:val="556"/>
    <w:autoRedefine/>
    <w:qFormat/>
    <w:uiPriority w:val="0"/>
    <w:rPr>
      <w:rFonts w:ascii="Arial" w:hAnsi="Arial" w:cs="Arial"/>
      <w:sz w:val="24"/>
      <w:szCs w:val="24"/>
    </w:rPr>
  </w:style>
  <w:style w:type="paragraph" w:customStyle="1" w:styleId="556">
    <w:name w:val="正文  首行缩进: 2 字符"/>
    <w:basedOn w:val="1"/>
    <w:link w:val="555"/>
    <w:autoRedefine/>
    <w:qFormat/>
    <w:uiPriority w:val="0"/>
    <w:pPr>
      <w:snapToGrid w:val="0"/>
      <w:spacing w:line="360" w:lineRule="auto"/>
      <w:ind w:firstLine="480" w:firstLineChars="200"/>
    </w:pPr>
    <w:rPr>
      <w:rFonts w:ascii="Arial" w:hAnsi="Arial"/>
      <w:kern w:val="0"/>
      <w:sz w:val="24"/>
      <w:lang w:val="zh-CN"/>
    </w:rPr>
  </w:style>
  <w:style w:type="character" w:customStyle="1" w:styleId="557">
    <w:name w:val="Char Char5"/>
    <w:autoRedefine/>
    <w:qFormat/>
    <w:locked/>
    <w:uiPriority w:val="0"/>
    <w:rPr>
      <w:rFonts w:hint="eastAsia" w:ascii="仿宋_GB2312" w:hAnsi="Courier New" w:eastAsia="仿宋_GB2312"/>
      <w:b/>
      <w:bCs/>
      <w:sz w:val="28"/>
      <w:lang w:val="en-US" w:eastAsia="zh-CN" w:bidi="ar-SA"/>
    </w:rPr>
  </w:style>
  <w:style w:type="character" w:customStyle="1" w:styleId="558">
    <w:name w:val="hhcwt表头 Char Char"/>
    <w:link w:val="559"/>
    <w:autoRedefine/>
    <w:qFormat/>
    <w:uiPriority w:val="0"/>
    <w:rPr>
      <w:rFonts w:ascii="楷体_GB2312" w:eastAsia="楷体_GB2312" w:cs="宋体"/>
      <w:b/>
      <w:bCs/>
      <w:sz w:val="24"/>
    </w:rPr>
  </w:style>
  <w:style w:type="paragraph" w:customStyle="1" w:styleId="559">
    <w:name w:val="hhcwt表头"/>
    <w:basedOn w:val="1"/>
    <w:link w:val="558"/>
    <w:autoRedefine/>
    <w:qFormat/>
    <w:uiPriority w:val="0"/>
    <w:pPr>
      <w:spacing w:after="120" w:line="500" w:lineRule="exact"/>
      <w:jc w:val="center"/>
    </w:pPr>
    <w:rPr>
      <w:rFonts w:ascii="楷体_GB2312" w:eastAsia="楷体_GB2312"/>
      <w:b/>
      <w:bCs/>
      <w:kern w:val="0"/>
      <w:sz w:val="24"/>
      <w:szCs w:val="20"/>
      <w:lang w:val="zh-CN"/>
    </w:rPr>
  </w:style>
  <w:style w:type="character" w:customStyle="1" w:styleId="560">
    <w:name w:val="报告 Char Char Char Char"/>
    <w:link w:val="561"/>
    <w:autoRedefine/>
    <w:qFormat/>
    <w:uiPriority w:val="0"/>
    <w:rPr>
      <w:sz w:val="24"/>
      <w:szCs w:val="24"/>
    </w:rPr>
  </w:style>
  <w:style w:type="paragraph" w:customStyle="1" w:styleId="561">
    <w:name w:val="报告 Char Char Char"/>
    <w:basedOn w:val="1"/>
    <w:link w:val="560"/>
    <w:autoRedefine/>
    <w:qFormat/>
    <w:uiPriority w:val="0"/>
    <w:pPr>
      <w:adjustRightInd w:val="0"/>
      <w:spacing w:line="360" w:lineRule="auto"/>
      <w:ind w:firstLine="505"/>
      <w:textAlignment w:val="baseline"/>
    </w:pPr>
    <w:rPr>
      <w:kern w:val="0"/>
      <w:sz w:val="24"/>
      <w:lang w:val="zh-CN"/>
    </w:rPr>
  </w:style>
  <w:style w:type="character" w:customStyle="1" w:styleId="562">
    <w:name w:val="批注框文本 Char7"/>
    <w:autoRedefine/>
    <w:qFormat/>
    <w:uiPriority w:val="0"/>
    <w:rPr>
      <w:rFonts w:ascii="Times New Roman" w:hAnsi="Times New Roman" w:eastAsia="宋体" w:cs="Times New Roman"/>
      <w:kern w:val="2"/>
      <w:sz w:val="18"/>
      <w:szCs w:val="18"/>
      <w:lang w:val="en-US" w:eastAsia="zh-CN" w:bidi="ar-SA"/>
    </w:rPr>
  </w:style>
  <w:style w:type="character" w:customStyle="1" w:styleId="563">
    <w:name w:val="样式 报告书表格 + 字距调整二号 Char"/>
    <w:link w:val="564"/>
    <w:autoRedefine/>
    <w:qFormat/>
    <w:uiPriority w:val="0"/>
    <w:rPr>
      <w:rFonts w:eastAsia="仿宋_GB2312"/>
      <w:kern w:val="44"/>
      <w:szCs w:val="21"/>
    </w:rPr>
  </w:style>
  <w:style w:type="paragraph" w:customStyle="1" w:styleId="564">
    <w:name w:val="样式 报告书表格 + 字距调整二号"/>
    <w:basedOn w:val="323"/>
    <w:link w:val="563"/>
    <w:autoRedefine/>
    <w:qFormat/>
    <w:uiPriority w:val="0"/>
    <w:pPr>
      <w:spacing w:line="400" w:lineRule="exact"/>
    </w:pPr>
    <w:rPr>
      <w:rFonts w:eastAsia="仿宋_GB2312"/>
      <w:kern w:val="44"/>
      <w:szCs w:val="21"/>
      <w:lang w:val="zh-CN"/>
    </w:rPr>
  </w:style>
  <w:style w:type="character" w:customStyle="1" w:styleId="565">
    <w:name w:val="正文修改 Char121"/>
    <w:autoRedefine/>
    <w:qFormat/>
    <w:uiPriority w:val="0"/>
    <w:rPr>
      <w:rFonts w:ascii="宋体" w:hAnsi="宋体" w:eastAsia="宋体" w:cs="宋体"/>
      <w:color w:val="000000"/>
      <w:sz w:val="24"/>
      <w:szCs w:val="24"/>
    </w:rPr>
  </w:style>
  <w:style w:type="character" w:customStyle="1" w:styleId="566">
    <w:name w:val="表题 Char9"/>
    <w:autoRedefine/>
    <w:qFormat/>
    <w:uiPriority w:val="0"/>
    <w:rPr>
      <w:rFonts w:ascii="黑体" w:hAnsi="Arial" w:eastAsia="黑体" w:cs="Arial"/>
      <w:sz w:val="24"/>
      <w:szCs w:val="24"/>
    </w:rPr>
  </w:style>
  <w:style w:type="character" w:customStyle="1" w:styleId="567">
    <w:name w:val="font41"/>
    <w:autoRedefine/>
    <w:qFormat/>
    <w:uiPriority w:val="0"/>
    <w:rPr>
      <w:rFonts w:hint="default" w:ascii="Times New Roman" w:hAnsi="Times New Roman" w:cs="Times New Roman"/>
      <w:color w:val="000000"/>
      <w:sz w:val="21"/>
      <w:szCs w:val="21"/>
      <w:u w:val="none"/>
    </w:rPr>
  </w:style>
  <w:style w:type="character" w:customStyle="1" w:styleId="568">
    <w:name w:val="正文格式 Char21"/>
    <w:autoRedefine/>
    <w:qFormat/>
    <w:uiPriority w:val="0"/>
    <w:rPr>
      <w:rFonts w:ascii="宋体" w:hAnsi="宋体" w:eastAsia="宋体"/>
      <w:kern w:val="2"/>
      <w:sz w:val="24"/>
      <w:szCs w:val="24"/>
      <w:lang w:val="en-US" w:eastAsia="zh-CN" w:bidi="ar-SA"/>
    </w:rPr>
  </w:style>
  <w:style w:type="character" w:customStyle="1" w:styleId="569">
    <w:name w:val="Char Char621"/>
    <w:autoRedefine/>
    <w:qFormat/>
    <w:uiPriority w:val="0"/>
    <w:rPr>
      <w:rFonts w:ascii="黑体" w:eastAsia="黑体"/>
      <w:b/>
      <w:bCs/>
      <w:kern w:val="2"/>
      <w:sz w:val="28"/>
      <w:szCs w:val="28"/>
      <w:lang w:val="en-US" w:eastAsia="zh-CN" w:bidi="ar-SA"/>
    </w:rPr>
  </w:style>
  <w:style w:type="character" w:customStyle="1" w:styleId="570">
    <w:name w:val="批注主题 Char1"/>
    <w:autoRedefine/>
    <w:qFormat/>
    <w:locked/>
    <w:uiPriority w:val="0"/>
    <w:rPr>
      <w:rFonts w:ascii="Times New Roman" w:hAnsi="Times New Roman" w:cs="Times New Roman"/>
      <w:b/>
      <w:bCs/>
      <w:szCs w:val="24"/>
    </w:rPr>
  </w:style>
  <w:style w:type="character" w:customStyle="1" w:styleId="571">
    <w:name w:val="表题1 Char61"/>
    <w:autoRedefine/>
    <w:qFormat/>
    <w:uiPriority w:val="0"/>
    <w:rPr>
      <w:rFonts w:ascii="黑体" w:hAnsi="Arial" w:eastAsia="黑体" w:cs="Arial"/>
      <w:b/>
      <w:kern w:val="2"/>
      <w:sz w:val="24"/>
      <w:szCs w:val="24"/>
      <w:lang w:val="en-US" w:eastAsia="zh-CN" w:bidi="ar-SA"/>
    </w:rPr>
  </w:style>
  <w:style w:type="character" w:customStyle="1" w:styleId="572">
    <w:name w:val="a51"/>
    <w:autoRedefine/>
    <w:qFormat/>
    <w:uiPriority w:val="0"/>
    <w:rPr>
      <w:rFonts w:ascii="黑体" w:hAnsi="黑体" w:eastAsia="宋体"/>
      <w:b/>
      <w:color w:val="000000"/>
      <w:spacing w:val="10"/>
      <w:kern w:val="2"/>
      <w:sz w:val="21"/>
      <w:szCs w:val="21"/>
      <w:u w:val="none"/>
      <w:lang w:val="en-US" w:eastAsia="zh-CN" w:bidi="ar-SA"/>
    </w:rPr>
  </w:style>
  <w:style w:type="character" w:customStyle="1" w:styleId="573">
    <w:name w:val="common1"/>
    <w:autoRedefine/>
    <w:qFormat/>
    <w:uiPriority w:val="0"/>
    <w:rPr>
      <w:rFonts w:ascii="黑体" w:hAnsi="黑体" w:eastAsia="黑体"/>
      <w:b/>
      <w:spacing w:val="10"/>
      <w:kern w:val="44"/>
      <w:sz w:val="18"/>
      <w:szCs w:val="18"/>
      <w:lang w:val="en-US" w:eastAsia="zh-CN"/>
    </w:rPr>
  </w:style>
  <w:style w:type="character" w:customStyle="1" w:styleId="574">
    <w:name w:val="正文修改 Char1311"/>
    <w:autoRedefine/>
    <w:qFormat/>
    <w:uiPriority w:val="0"/>
    <w:rPr>
      <w:rFonts w:ascii="宋体" w:hAnsi="宋体" w:eastAsia="宋体" w:cs="宋体"/>
      <w:color w:val="000000"/>
      <w:sz w:val="24"/>
      <w:szCs w:val="24"/>
    </w:rPr>
  </w:style>
  <w:style w:type="character" w:customStyle="1" w:styleId="575">
    <w:name w:val="zhengwen1"/>
    <w:autoRedefine/>
    <w:qFormat/>
    <w:uiPriority w:val="0"/>
    <w:rPr>
      <w:rFonts w:eastAsia="宋体"/>
      <w:color w:val="333333"/>
      <w:kern w:val="2"/>
      <w:sz w:val="18"/>
      <w:szCs w:val="18"/>
      <w:u w:val="none"/>
      <w:lang w:val="en-US" w:eastAsia="zh-CN" w:bidi="ar-SA"/>
    </w:rPr>
  </w:style>
  <w:style w:type="character" w:customStyle="1" w:styleId="576">
    <w:name w:val="环评正文 Char3"/>
    <w:autoRedefine/>
    <w:qFormat/>
    <w:uiPriority w:val="0"/>
    <w:rPr>
      <w:rFonts w:ascii="Times New Roman" w:hAnsi="Times New Roman" w:eastAsia="宋体" w:cs="Times New Roman"/>
      <w:bCs/>
      <w:kern w:val="2"/>
      <w:sz w:val="24"/>
      <w:szCs w:val="24"/>
      <w:lang w:val="en-US" w:eastAsia="zh-CN" w:bidi="ar-SA"/>
    </w:rPr>
  </w:style>
  <w:style w:type="character" w:customStyle="1" w:styleId="577">
    <w:name w:val="环评正文 Char4"/>
    <w:autoRedefine/>
    <w:qFormat/>
    <w:uiPriority w:val="0"/>
    <w:rPr>
      <w:rFonts w:eastAsia="宋体"/>
      <w:bCs/>
      <w:kern w:val="2"/>
      <w:sz w:val="24"/>
      <w:szCs w:val="24"/>
      <w:lang w:val="en-US" w:eastAsia="zh-CN" w:bidi="ar-SA"/>
    </w:rPr>
  </w:style>
  <w:style w:type="character" w:customStyle="1" w:styleId="578">
    <w:name w:val="正文斜体 Char"/>
    <w:link w:val="579"/>
    <w:autoRedefine/>
    <w:qFormat/>
    <w:uiPriority w:val="0"/>
    <w:rPr>
      <w:rFonts w:ascii="宋体" w:hAnsi="宋体" w:cs="宋体"/>
      <w:b/>
      <w:i/>
      <w:iCs/>
      <w:spacing w:val="10"/>
      <w:sz w:val="24"/>
      <w:szCs w:val="24"/>
    </w:rPr>
  </w:style>
  <w:style w:type="paragraph" w:customStyle="1" w:styleId="579">
    <w:name w:val="正文斜体"/>
    <w:basedOn w:val="418"/>
    <w:next w:val="418"/>
    <w:link w:val="578"/>
    <w:autoRedefine/>
    <w:qFormat/>
    <w:uiPriority w:val="0"/>
    <w:rPr>
      <w:rFonts w:ascii="宋体" w:hAnsi="宋体"/>
      <w:i/>
      <w:iCs/>
      <w:sz w:val="24"/>
      <w:szCs w:val="24"/>
    </w:rPr>
  </w:style>
  <w:style w:type="character" w:customStyle="1" w:styleId="580">
    <w:name w:val="样式 标题 3标题 3 Char标题 3 Char Char Char Char Char Char Char Char C...5 Char Char"/>
    <w:autoRedefine/>
    <w:qFormat/>
    <w:uiPriority w:val="0"/>
    <w:rPr>
      <w:rFonts w:eastAsia="宋体"/>
      <w:kern w:val="2"/>
      <w:sz w:val="24"/>
      <w:szCs w:val="32"/>
      <w:lang w:val="en-US" w:eastAsia="zh-CN" w:bidi="ar-SA"/>
    </w:rPr>
  </w:style>
  <w:style w:type="character" w:customStyle="1" w:styleId="581">
    <w:name w:val="环表头 Char4"/>
    <w:autoRedefine/>
    <w:qFormat/>
    <w:uiPriority w:val="0"/>
    <w:rPr>
      <w:rFonts w:ascii="宋体" w:hAnsi="宋体" w:eastAsia="宋体" w:cs="Courier New"/>
      <w:b/>
      <w:color w:val="000000"/>
      <w:sz w:val="24"/>
      <w:lang w:val="en-US" w:eastAsia="zh-CN" w:bidi="ar-SA"/>
    </w:rPr>
  </w:style>
  <w:style w:type="character" w:customStyle="1" w:styleId="582">
    <w:name w:val="work4"/>
    <w:autoRedefine/>
    <w:qFormat/>
    <w:uiPriority w:val="0"/>
    <w:rPr>
      <w:sz w:val="18"/>
      <w:szCs w:val="18"/>
      <w:u w:val="none"/>
    </w:rPr>
  </w:style>
  <w:style w:type="character" w:customStyle="1" w:styleId="583">
    <w:name w:val="word2"/>
    <w:basedOn w:val="90"/>
    <w:autoRedefine/>
    <w:qFormat/>
    <w:uiPriority w:val="0"/>
  </w:style>
  <w:style w:type="character" w:customStyle="1" w:styleId="584">
    <w:name w:val="Char Char10"/>
    <w:autoRedefine/>
    <w:qFormat/>
    <w:uiPriority w:val="0"/>
    <w:rPr>
      <w:rFonts w:eastAsia="宋体"/>
      <w:kern w:val="2"/>
      <w:sz w:val="21"/>
      <w:lang w:val="en-US" w:eastAsia="zh-CN" w:bidi="ar-SA"/>
    </w:rPr>
  </w:style>
  <w:style w:type="character" w:customStyle="1" w:styleId="585">
    <w:name w:val="正文文本缩进 3 Char1"/>
    <w:autoRedefine/>
    <w:qFormat/>
    <w:uiPriority w:val="0"/>
    <w:rPr>
      <w:rFonts w:ascii="Times New Roman" w:hAnsi="Times New Roman"/>
      <w:kern w:val="2"/>
      <w:sz w:val="16"/>
      <w:szCs w:val="16"/>
    </w:rPr>
  </w:style>
  <w:style w:type="character" w:customStyle="1" w:styleId="586">
    <w:name w:val="llb11"/>
    <w:autoRedefine/>
    <w:qFormat/>
    <w:uiPriority w:val="0"/>
    <w:rPr>
      <w:color w:val="000000"/>
      <w:sz w:val="32"/>
      <w:szCs w:val="32"/>
      <w:u w:val="none"/>
    </w:rPr>
  </w:style>
  <w:style w:type="character" w:customStyle="1" w:styleId="587">
    <w:name w:val="searchlistcont1"/>
    <w:autoRedefine/>
    <w:qFormat/>
    <w:uiPriority w:val="0"/>
    <w:rPr>
      <w:rFonts w:hint="default" w:ascii="Arial" w:hAnsi="Arial" w:cs="Arial"/>
      <w:color w:val="000000"/>
      <w:spacing w:val="17"/>
      <w:sz w:val="20"/>
      <w:szCs w:val="20"/>
    </w:rPr>
  </w:style>
  <w:style w:type="character" w:customStyle="1" w:styleId="588">
    <w:name w:val="t150ab1"/>
    <w:autoRedefine/>
    <w:qFormat/>
    <w:uiPriority w:val="0"/>
    <w:rPr>
      <w:sz w:val="21"/>
    </w:rPr>
  </w:style>
  <w:style w:type="character" w:customStyle="1" w:styleId="589">
    <w:name w:val="正文文本缩进 2 Char2"/>
    <w:autoRedefine/>
    <w:qFormat/>
    <w:uiPriority w:val="0"/>
    <w:rPr>
      <w:rFonts w:ascii="Times New Roman" w:hAnsi="Times New Roman"/>
      <w:kern w:val="2"/>
      <w:sz w:val="21"/>
    </w:rPr>
  </w:style>
  <w:style w:type="character" w:customStyle="1" w:styleId="590">
    <w:name w:val="keyword1"/>
    <w:autoRedefine/>
    <w:qFormat/>
    <w:uiPriority w:val="0"/>
    <w:rPr>
      <w:color w:val="FF0000"/>
    </w:rPr>
  </w:style>
  <w:style w:type="character" w:customStyle="1" w:styleId="591">
    <w:name w:val="图表 Char"/>
    <w:link w:val="592"/>
    <w:autoRedefine/>
    <w:qFormat/>
    <w:uiPriority w:val="0"/>
    <w:rPr>
      <w:rFonts w:eastAsia="仿宋_GB2312"/>
      <w:b/>
      <w:kern w:val="2"/>
      <w:sz w:val="24"/>
      <w:szCs w:val="24"/>
      <w:lang w:val="en-US" w:eastAsia="zh-CN" w:bidi="ar-SA"/>
    </w:rPr>
  </w:style>
  <w:style w:type="paragraph" w:customStyle="1" w:styleId="592">
    <w:name w:val="图表"/>
    <w:link w:val="591"/>
    <w:autoRedefine/>
    <w:qFormat/>
    <w:uiPriority w:val="0"/>
    <w:pPr>
      <w:jc w:val="center"/>
    </w:pPr>
    <w:rPr>
      <w:rFonts w:ascii="Times New Roman" w:hAnsi="Times New Roman" w:eastAsia="仿宋_GB2312" w:cs="Times New Roman"/>
      <w:b/>
      <w:kern w:val="2"/>
      <w:sz w:val="24"/>
      <w:szCs w:val="24"/>
      <w:lang w:val="en-US" w:eastAsia="zh-CN" w:bidi="ar-SA"/>
    </w:rPr>
  </w:style>
  <w:style w:type="character" w:customStyle="1" w:styleId="593">
    <w:name w:val="s0s4w"/>
    <w:basedOn w:val="90"/>
    <w:autoRedefine/>
    <w:qFormat/>
    <w:uiPriority w:val="0"/>
  </w:style>
  <w:style w:type="character" w:customStyle="1" w:styleId="594">
    <w:name w:val="样式 (西文) 宋体 小四"/>
    <w:autoRedefine/>
    <w:qFormat/>
    <w:uiPriority w:val="0"/>
    <w:rPr>
      <w:rFonts w:ascii="宋体" w:hAnsi="宋体" w:eastAsia="宋体"/>
      <w:sz w:val="24"/>
      <w:szCs w:val="24"/>
    </w:rPr>
  </w:style>
  <w:style w:type="character" w:customStyle="1" w:styleId="595">
    <w:name w:val="正文修改 Char131"/>
    <w:autoRedefine/>
    <w:qFormat/>
    <w:uiPriority w:val="0"/>
    <w:rPr>
      <w:rFonts w:ascii="宋体" w:hAnsi="宋体" w:eastAsia="宋体" w:cs="宋体"/>
      <w:color w:val="000000"/>
      <w:sz w:val="24"/>
      <w:szCs w:val="24"/>
    </w:rPr>
  </w:style>
  <w:style w:type="character" w:customStyle="1" w:styleId="596">
    <w:name w:val="Char Char122"/>
    <w:autoRedefine/>
    <w:qFormat/>
    <w:uiPriority w:val="0"/>
    <w:rPr>
      <w:rFonts w:ascii="黑体" w:hAnsi="Arial" w:eastAsia="黑体"/>
      <w:b/>
      <w:bCs/>
      <w:kern w:val="2"/>
      <w:sz w:val="30"/>
      <w:szCs w:val="30"/>
      <w:lang w:val="en-US" w:eastAsia="zh-CN" w:bidi="ar-SA"/>
    </w:rPr>
  </w:style>
  <w:style w:type="character" w:customStyle="1" w:styleId="597">
    <w:name w:val="批注框文本 Char1"/>
    <w:autoRedefine/>
    <w:qFormat/>
    <w:uiPriority w:val="0"/>
    <w:rPr>
      <w:rFonts w:ascii="Calibri" w:hAnsi="Calibri" w:eastAsia="宋体" w:cs="Times New Roman"/>
      <w:sz w:val="18"/>
      <w:szCs w:val="18"/>
    </w:rPr>
  </w:style>
  <w:style w:type="character" w:customStyle="1" w:styleId="598">
    <w:name w:val="标题 3 Char15"/>
    <w:autoRedefine/>
    <w:qFormat/>
    <w:uiPriority w:val="0"/>
    <w:rPr>
      <w:rFonts w:hAnsi="宋体" w:eastAsia="宋体"/>
      <w:bCs/>
      <w:kern w:val="2"/>
      <w:sz w:val="28"/>
      <w:szCs w:val="28"/>
      <w:lang w:val="en-US" w:eastAsia="zh-CN" w:bidi="ar-SA"/>
    </w:rPr>
  </w:style>
  <w:style w:type="character" w:customStyle="1" w:styleId="599">
    <w:name w:val="31"/>
    <w:autoRedefine/>
    <w:qFormat/>
    <w:uiPriority w:val="0"/>
    <w:rPr>
      <w:color w:val="000000"/>
      <w:sz w:val="18"/>
      <w:szCs w:val="18"/>
      <w:u w:val="none"/>
    </w:rPr>
  </w:style>
  <w:style w:type="character" w:customStyle="1" w:styleId="600">
    <w:name w:val="正文斜体 Char11"/>
    <w:autoRedefine/>
    <w:qFormat/>
    <w:uiPriority w:val="0"/>
    <w:rPr>
      <w:rFonts w:ascii="宋体" w:hAnsi="宋体" w:cs="宋体"/>
      <w:b/>
      <w:i/>
      <w:iCs/>
      <w:spacing w:val="10"/>
      <w:sz w:val="24"/>
      <w:szCs w:val="24"/>
    </w:rPr>
  </w:style>
  <w:style w:type="character" w:customStyle="1" w:styleId="601">
    <w:name w:val="正文文本 3 Char2"/>
    <w:autoRedefine/>
    <w:qFormat/>
    <w:uiPriority w:val="0"/>
    <w:rPr>
      <w:rFonts w:eastAsia="宋体"/>
      <w:kern w:val="2"/>
      <w:sz w:val="16"/>
      <w:szCs w:val="16"/>
      <w:lang w:val="en-US" w:eastAsia="zh-CN" w:bidi="ar-SA"/>
    </w:rPr>
  </w:style>
  <w:style w:type="character" w:customStyle="1" w:styleId="602">
    <w:name w:val="正文格式 Char11"/>
    <w:autoRedefine/>
    <w:qFormat/>
    <w:uiPriority w:val="0"/>
    <w:rPr>
      <w:rFonts w:ascii="宋体" w:hAnsi="宋体" w:eastAsia="宋体"/>
      <w:kern w:val="2"/>
      <w:sz w:val="24"/>
      <w:szCs w:val="24"/>
      <w:lang w:val="en-US" w:eastAsia="zh-CN" w:bidi="ar-SA"/>
    </w:rPr>
  </w:style>
  <w:style w:type="character" w:customStyle="1" w:styleId="603">
    <w:name w:val="表格内容 Char2"/>
    <w:autoRedefine/>
    <w:qFormat/>
    <w:uiPriority w:val="0"/>
    <w:rPr>
      <w:rFonts w:eastAsia="宋体"/>
      <w:kern w:val="2"/>
      <w:sz w:val="21"/>
      <w:szCs w:val="21"/>
      <w:lang w:val="en-US" w:eastAsia="zh-CN" w:bidi="ar-SA"/>
    </w:rPr>
  </w:style>
  <w:style w:type="character" w:customStyle="1" w:styleId="604">
    <w:name w:val="正文B Char"/>
    <w:link w:val="605"/>
    <w:autoRedefine/>
    <w:qFormat/>
    <w:uiPriority w:val="0"/>
    <w:rPr>
      <w:rFonts w:ascii="宋体" w:hAnsi="宋体" w:eastAsia="楷体_GB2312"/>
      <w:spacing w:val="8"/>
      <w:sz w:val="28"/>
    </w:rPr>
  </w:style>
  <w:style w:type="paragraph" w:customStyle="1" w:styleId="605">
    <w:name w:val="正文B"/>
    <w:basedOn w:val="1"/>
    <w:link w:val="604"/>
    <w:autoRedefine/>
    <w:qFormat/>
    <w:uiPriority w:val="0"/>
    <w:pPr>
      <w:adjustRightInd w:val="0"/>
      <w:spacing w:line="390" w:lineRule="atLeast"/>
      <w:ind w:firstLine="601"/>
    </w:pPr>
    <w:rPr>
      <w:rFonts w:ascii="宋体" w:hAnsi="宋体" w:eastAsia="楷体_GB2312"/>
      <w:spacing w:val="8"/>
      <w:kern w:val="0"/>
      <w:sz w:val="28"/>
      <w:szCs w:val="20"/>
      <w:lang w:val="zh-CN"/>
    </w:rPr>
  </w:style>
  <w:style w:type="character" w:customStyle="1" w:styleId="606">
    <w:name w:val="环标2 Char1"/>
    <w:link w:val="607"/>
    <w:autoRedefine/>
    <w:qFormat/>
    <w:locked/>
    <w:uiPriority w:val="0"/>
    <w:rPr>
      <w:rFonts w:ascii="Cambria" w:hAnsi="Cambria"/>
      <w:b/>
      <w:bCs/>
      <w:sz w:val="32"/>
      <w:szCs w:val="32"/>
    </w:rPr>
  </w:style>
  <w:style w:type="paragraph" w:customStyle="1" w:styleId="607">
    <w:name w:val="环标2"/>
    <w:basedOn w:val="4"/>
    <w:link w:val="606"/>
    <w:autoRedefine/>
    <w:qFormat/>
    <w:uiPriority w:val="0"/>
  </w:style>
  <w:style w:type="character" w:customStyle="1" w:styleId="608">
    <w:name w:val="表格文本 Char Char"/>
    <w:link w:val="609"/>
    <w:autoRedefine/>
    <w:qFormat/>
    <w:uiPriority w:val="0"/>
    <w:rPr>
      <w:rFonts w:ascii="Arial" w:hAnsi="Arial"/>
      <w:szCs w:val="24"/>
    </w:rPr>
  </w:style>
  <w:style w:type="paragraph" w:customStyle="1" w:styleId="609">
    <w:name w:val="表格文本 Char"/>
    <w:basedOn w:val="1"/>
    <w:next w:val="1"/>
    <w:link w:val="608"/>
    <w:autoRedefine/>
    <w:qFormat/>
    <w:uiPriority w:val="0"/>
    <w:pPr>
      <w:spacing w:before="60" w:after="60" w:line="312" w:lineRule="auto"/>
      <w:jc w:val="center"/>
    </w:pPr>
    <w:rPr>
      <w:rFonts w:ascii="Arial" w:hAnsi="Arial"/>
      <w:kern w:val="0"/>
      <w:sz w:val="20"/>
      <w:lang w:val="zh-CN"/>
    </w:rPr>
  </w:style>
  <w:style w:type="character" w:customStyle="1" w:styleId="610">
    <w:name w:val="章节 Char5"/>
    <w:autoRedefine/>
    <w:qFormat/>
    <w:uiPriority w:val="0"/>
    <w:rPr>
      <w:rFonts w:ascii="楷体_GB2312" w:eastAsia="楷体_GB2312"/>
      <w:b/>
      <w:kern w:val="44"/>
      <w:sz w:val="30"/>
      <w:szCs w:val="24"/>
      <w:lang w:val="en-US" w:eastAsia="zh-CN" w:bidi="ar-SA"/>
    </w:rPr>
  </w:style>
  <w:style w:type="character" w:customStyle="1" w:styleId="611">
    <w:name w:val="Char Char4"/>
    <w:autoRedefine/>
    <w:qFormat/>
    <w:uiPriority w:val="0"/>
    <w:rPr>
      <w:rFonts w:ascii="仿宋_GB2312" w:eastAsia="仿宋_GB2312"/>
      <w:kern w:val="2"/>
      <w:sz w:val="18"/>
      <w:szCs w:val="18"/>
      <w:lang w:val="en-US" w:eastAsia="zh-CN" w:bidi="ar-SA"/>
    </w:rPr>
  </w:style>
  <w:style w:type="character" w:customStyle="1" w:styleId="612">
    <w:name w:val="paragragh1"/>
    <w:autoRedefine/>
    <w:qFormat/>
    <w:uiPriority w:val="0"/>
    <w:rPr>
      <w:color w:val="004040"/>
      <w:sz w:val="21"/>
      <w:szCs w:val="21"/>
    </w:rPr>
  </w:style>
  <w:style w:type="character" w:customStyle="1" w:styleId="613">
    <w:name w:val="表中文字 Char231"/>
    <w:autoRedefine/>
    <w:qFormat/>
    <w:uiPriority w:val="0"/>
    <w:rPr>
      <w:rFonts w:ascii="宋体" w:eastAsia="宋体"/>
      <w:kern w:val="2"/>
      <w:sz w:val="21"/>
      <w:szCs w:val="21"/>
      <w:lang w:val="en-US" w:eastAsia="zh-CN" w:bidi="ar-SA"/>
    </w:rPr>
  </w:style>
  <w:style w:type="character" w:customStyle="1" w:styleId="614">
    <w:name w:val="Char Char132"/>
    <w:autoRedefine/>
    <w:qFormat/>
    <w:uiPriority w:val="0"/>
    <w:rPr>
      <w:rFonts w:eastAsia="宋体"/>
      <w:kern w:val="2"/>
      <w:sz w:val="21"/>
      <w:lang w:val="en-US" w:eastAsia="zh-CN" w:bidi="ar-SA"/>
    </w:rPr>
  </w:style>
  <w:style w:type="character" w:customStyle="1" w:styleId="615">
    <w:name w:val="题注 Char52"/>
    <w:autoRedefine/>
    <w:qFormat/>
    <w:uiPriority w:val="0"/>
    <w:rPr>
      <w:rFonts w:ascii="黑体" w:hAnsi="Arial" w:eastAsia="黑体" w:cs="Arial"/>
      <w:b/>
      <w:spacing w:val="10"/>
      <w:sz w:val="24"/>
      <w:szCs w:val="24"/>
    </w:rPr>
  </w:style>
  <w:style w:type="character" w:customStyle="1" w:styleId="616">
    <w:name w:val="页脚 Char4"/>
    <w:autoRedefine/>
    <w:qFormat/>
    <w:uiPriority w:val="0"/>
    <w:rPr>
      <w:rFonts w:ascii="Times New Roman" w:hAnsi="Times New Roman" w:eastAsia="宋体" w:cs="Times New Roman"/>
      <w:kern w:val="2"/>
      <w:sz w:val="18"/>
      <w:szCs w:val="18"/>
      <w:lang w:val="en-US" w:eastAsia="zh-CN" w:bidi="ar-SA"/>
    </w:rPr>
  </w:style>
  <w:style w:type="character" w:customStyle="1" w:styleId="617">
    <w:name w:val="纯文本 Char3"/>
    <w:autoRedefine/>
    <w:qFormat/>
    <w:uiPriority w:val="0"/>
    <w:rPr>
      <w:rFonts w:ascii="宋体" w:hAnsi="Courier New" w:eastAsia="宋体" w:cs="Courier New"/>
      <w:kern w:val="2"/>
      <w:sz w:val="24"/>
      <w:szCs w:val="21"/>
      <w:lang w:val="en-US" w:eastAsia="zh-CN" w:bidi="ar-SA"/>
    </w:rPr>
  </w:style>
  <w:style w:type="character" w:customStyle="1" w:styleId="618">
    <w:name w:val="题注 Char41"/>
    <w:autoRedefine/>
    <w:qFormat/>
    <w:uiPriority w:val="0"/>
    <w:rPr>
      <w:rFonts w:ascii="黑体" w:hAnsi="Arial" w:eastAsia="黑体" w:cs="Arial"/>
      <w:b/>
      <w:kern w:val="2"/>
      <w:sz w:val="24"/>
      <w:szCs w:val="24"/>
      <w:lang w:val="en-US" w:eastAsia="zh-CN" w:bidi="ar-SA"/>
    </w:rPr>
  </w:style>
  <w:style w:type="character" w:customStyle="1" w:styleId="619">
    <w:name w:val="正文首行缩进 2 + Times New Roman Char"/>
    <w:autoRedefine/>
    <w:qFormat/>
    <w:locked/>
    <w:uiPriority w:val="0"/>
    <w:rPr>
      <w:rFonts w:ascii="黑体" w:hAnsi="宋体" w:eastAsia="宋体"/>
      <w:b/>
      <w:spacing w:val="10"/>
      <w:kern w:val="2"/>
      <w:sz w:val="24"/>
      <w:szCs w:val="24"/>
      <w:lang w:val="en-US" w:eastAsia="zh-CN" w:bidi="ar-SA"/>
    </w:rPr>
  </w:style>
  <w:style w:type="character" w:customStyle="1" w:styleId="620">
    <w:name w:val="font21"/>
    <w:autoRedefine/>
    <w:qFormat/>
    <w:uiPriority w:val="0"/>
    <w:rPr>
      <w:rFonts w:hint="default" w:ascii="Times New Roman" w:hAnsi="Times New Roman" w:cs="Times New Roman"/>
      <w:color w:val="000000"/>
      <w:sz w:val="21"/>
      <w:szCs w:val="21"/>
      <w:u w:val="none"/>
    </w:rPr>
  </w:style>
  <w:style w:type="character" w:customStyle="1" w:styleId="621">
    <w:name w:val="大纲正文 Char"/>
    <w:link w:val="622"/>
    <w:autoRedefine/>
    <w:qFormat/>
    <w:uiPriority w:val="0"/>
    <w:rPr>
      <w:sz w:val="24"/>
      <w:szCs w:val="24"/>
    </w:rPr>
  </w:style>
  <w:style w:type="paragraph" w:customStyle="1" w:styleId="622">
    <w:name w:val="大纲正文"/>
    <w:basedOn w:val="1"/>
    <w:link w:val="621"/>
    <w:autoRedefine/>
    <w:qFormat/>
    <w:uiPriority w:val="0"/>
    <w:pPr>
      <w:widowControl/>
      <w:adjustRightInd w:val="0"/>
      <w:snapToGrid w:val="0"/>
      <w:spacing w:afterLines="50" w:line="300" w:lineRule="auto"/>
      <w:ind w:firstLine="480" w:firstLineChars="200"/>
    </w:pPr>
    <w:rPr>
      <w:kern w:val="0"/>
      <w:sz w:val="24"/>
      <w:lang w:val="zh-CN"/>
    </w:rPr>
  </w:style>
  <w:style w:type="character" w:customStyle="1" w:styleId="623">
    <w:name w:val="河石1 Char14"/>
    <w:autoRedefine/>
    <w:qFormat/>
    <w:uiPriority w:val="0"/>
    <w:rPr>
      <w:rFonts w:ascii="黑体" w:hAnsi="宋体" w:eastAsia="黑体"/>
      <w:bCs/>
      <w:kern w:val="44"/>
      <w:sz w:val="32"/>
      <w:szCs w:val="32"/>
      <w:lang w:val="en-US" w:eastAsia="zh-CN" w:bidi="ar-SA"/>
    </w:rPr>
  </w:style>
  <w:style w:type="character" w:customStyle="1" w:styleId="624">
    <w:name w:val="标题1新 Char"/>
    <w:link w:val="625"/>
    <w:autoRedefine/>
    <w:qFormat/>
    <w:locked/>
    <w:uiPriority w:val="0"/>
    <w:rPr>
      <w:rFonts w:eastAsia="黑体"/>
      <w:sz w:val="32"/>
    </w:rPr>
  </w:style>
  <w:style w:type="paragraph" w:customStyle="1" w:styleId="625">
    <w:name w:val="标题1新"/>
    <w:basedOn w:val="1"/>
    <w:link w:val="624"/>
    <w:autoRedefine/>
    <w:qFormat/>
    <w:uiPriority w:val="0"/>
    <w:pPr>
      <w:spacing w:line="900" w:lineRule="exact"/>
      <w:jc w:val="center"/>
      <w:outlineLvl w:val="0"/>
    </w:pPr>
    <w:rPr>
      <w:rFonts w:eastAsia="黑体"/>
      <w:kern w:val="0"/>
      <w:sz w:val="32"/>
      <w:szCs w:val="20"/>
      <w:lang w:val="zh-CN"/>
    </w:rPr>
  </w:style>
  <w:style w:type="character" w:customStyle="1" w:styleId="626">
    <w:name w:val="标题 5 Char1"/>
    <w:autoRedefine/>
    <w:qFormat/>
    <w:uiPriority w:val="0"/>
    <w:rPr>
      <w:b/>
      <w:bCs/>
      <w:kern w:val="2"/>
      <w:sz w:val="28"/>
      <w:szCs w:val="28"/>
    </w:rPr>
  </w:style>
  <w:style w:type="character" w:customStyle="1" w:styleId="627">
    <w:name w:val="Char Char93"/>
    <w:autoRedefine/>
    <w:qFormat/>
    <w:uiPriority w:val="0"/>
    <w:rPr>
      <w:rFonts w:eastAsia="宋体"/>
      <w:kern w:val="2"/>
      <w:sz w:val="18"/>
      <w:szCs w:val="18"/>
      <w:lang w:val="en-US" w:eastAsia="zh-CN" w:bidi="ar-SA"/>
    </w:rPr>
  </w:style>
  <w:style w:type="character" w:customStyle="1" w:styleId="628">
    <w:name w:val="search_content1"/>
    <w:autoRedefine/>
    <w:qFormat/>
    <w:uiPriority w:val="0"/>
    <w:rPr>
      <w:sz w:val="20"/>
      <w:szCs w:val="20"/>
    </w:rPr>
  </w:style>
  <w:style w:type="character" w:customStyle="1" w:styleId="629">
    <w:name w:val="特点标题 Char Char"/>
    <w:autoRedefine/>
    <w:qFormat/>
    <w:uiPriority w:val="0"/>
    <w:rPr>
      <w:rFonts w:ascii="仿宋_GB2312" w:hAnsi="Courier New" w:eastAsia="仿宋_GB2312"/>
      <w:sz w:val="28"/>
      <w:lang w:val="en-US" w:eastAsia="zh-CN" w:bidi="ar-SA"/>
    </w:rPr>
  </w:style>
  <w:style w:type="character" w:customStyle="1" w:styleId="630">
    <w:name w:val="表题1 Char31"/>
    <w:autoRedefine/>
    <w:qFormat/>
    <w:uiPriority w:val="0"/>
    <w:rPr>
      <w:rFonts w:ascii="黑体" w:hAnsi="Arial" w:eastAsia="黑体" w:cs="Arial"/>
      <w:b/>
      <w:kern w:val="2"/>
      <w:sz w:val="24"/>
      <w:szCs w:val="24"/>
      <w:lang w:val="en-US" w:eastAsia="zh-CN" w:bidi="ar-SA"/>
    </w:rPr>
  </w:style>
  <w:style w:type="character" w:customStyle="1" w:styleId="631">
    <w:name w:val="Char Char24"/>
    <w:autoRedefine/>
    <w:qFormat/>
    <w:uiPriority w:val="0"/>
    <w:rPr>
      <w:rFonts w:ascii="Arial" w:hAnsi="Arial" w:eastAsia="宋体" w:cs="Arial"/>
      <w:b/>
      <w:bCs/>
      <w:kern w:val="2"/>
      <w:sz w:val="36"/>
      <w:szCs w:val="32"/>
      <w:lang w:val="en-US" w:eastAsia="zh-CN" w:bidi="ar-SA"/>
    </w:rPr>
  </w:style>
  <w:style w:type="character" w:customStyle="1" w:styleId="632">
    <w:name w:val="正文修改 Char124"/>
    <w:autoRedefine/>
    <w:qFormat/>
    <w:uiPriority w:val="0"/>
    <w:rPr>
      <w:rFonts w:hAnsi="宋体"/>
      <w:color w:val="000000"/>
    </w:rPr>
  </w:style>
  <w:style w:type="character" w:customStyle="1" w:styleId="633">
    <w:name w:val="正文修改 Char1211"/>
    <w:autoRedefine/>
    <w:qFormat/>
    <w:uiPriority w:val="0"/>
    <w:rPr>
      <w:rFonts w:ascii="宋体" w:hAnsi="宋体" w:eastAsia="宋体" w:cs="宋体"/>
      <w:color w:val="000000"/>
      <w:sz w:val="24"/>
      <w:szCs w:val="24"/>
    </w:rPr>
  </w:style>
  <w:style w:type="character" w:customStyle="1" w:styleId="634">
    <w:name w:val="标题 3 Char3"/>
    <w:autoRedefine/>
    <w:qFormat/>
    <w:uiPriority w:val="0"/>
    <w:rPr>
      <w:rFonts w:ascii="黑体" w:hAnsi="宋体" w:eastAsia="黑体"/>
      <w:b/>
      <w:bCs/>
      <w:kern w:val="2"/>
      <w:sz w:val="28"/>
      <w:szCs w:val="28"/>
      <w:lang w:val="en-US" w:eastAsia="zh-CN" w:bidi="ar-SA"/>
    </w:rPr>
  </w:style>
  <w:style w:type="character" w:customStyle="1" w:styleId="635">
    <w:name w:val="表中文字 Char28"/>
    <w:autoRedefine/>
    <w:qFormat/>
    <w:uiPriority w:val="0"/>
    <w:rPr>
      <w:rFonts w:ascii="宋体" w:eastAsia="宋体"/>
      <w:kern w:val="2"/>
      <w:sz w:val="21"/>
      <w:szCs w:val="21"/>
      <w:lang w:val="en-US" w:eastAsia="zh-CN" w:bidi="ar-SA"/>
    </w:rPr>
  </w:style>
  <w:style w:type="character" w:customStyle="1" w:styleId="636">
    <w:name w:val="标题正文黑 Char11"/>
    <w:autoRedefine/>
    <w:qFormat/>
    <w:uiPriority w:val="0"/>
    <w:rPr>
      <w:rFonts w:ascii="黑体" w:eastAsia="黑体"/>
      <w:kern w:val="2"/>
      <w:sz w:val="28"/>
      <w:szCs w:val="28"/>
      <w:lang w:val="en-US" w:eastAsia="zh-CN" w:bidi="ar-SA"/>
    </w:rPr>
  </w:style>
  <w:style w:type="character" w:customStyle="1" w:styleId="637">
    <w:name w:val="标题 2 Char31"/>
    <w:autoRedefine/>
    <w:qFormat/>
    <w:uiPriority w:val="0"/>
    <w:rPr>
      <w:rFonts w:ascii="黑体" w:hAnsi="Arial" w:eastAsia="黑体"/>
      <w:bCs/>
      <w:kern w:val="2"/>
      <w:sz w:val="30"/>
      <w:szCs w:val="30"/>
      <w:lang w:val="en-US" w:eastAsia="zh-CN" w:bidi="ar-SA"/>
    </w:rPr>
  </w:style>
  <w:style w:type="character" w:customStyle="1" w:styleId="638">
    <w:name w:val="样式 表格内字体 + Char4"/>
    <w:autoRedefine/>
    <w:qFormat/>
    <w:uiPriority w:val="0"/>
    <w:rPr>
      <w:rFonts w:ascii="宋体" w:hAnsi="宋体"/>
      <w:szCs w:val="24"/>
    </w:rPr>
  </w:style>
  <w:style w:type="character" w:customStyle="1" w:styleId="639">
    <w:name w:val="福建正文缩进 Char2"/>
    <w:autoRedefine/>
    <w:qFormat/>
    <w:uiPriority w:val="0"/>
    <w:rPr>
      <w:rFonts w:ascii="宋体" w:hAnsi="宋体" w:eastAsia="宋体" w:cs="宋体"/>
      <w:color w:val="000000"/>
      <w:kern w:val="2"/>
      <w:sz w:val="24"/>
      <w:szCs w:val="24"/>
      <w:lang w:val="en-US" w:eastAsia="zh-CN" w:bidi="ar-SA"/>
    </w:rPr>
  </w:style>
  <w:style w:type="character" w:customStyle="1" w:styleId="640">
    <w:name w:val="正文缩进4"/>
    <w:autoRedefine/>
    <w:qFormat/>
    <w:uiPriority w:val="0"/>
    <w:rPr>
      <w:rFonts w:ascii="仿宋_GB2312" w:eastAsia="仿宋_GB2312"/>
      <w:kern w:val="2"/>
      <w:sz w:val="28"/>
      <w:lang w:val="en-US" w:eastAsia="zh-CN"/>
    </w:rPr>
  </w:style>
  <w:style w:type="character" w:customStyle="1" w:styleId="641">
    <w:name w:val="soqzabs"/>
    <w:basedOn w:val="90"/>
    <w:autoRedefine/>
    <w:qFormat/>
    <w:uiPriority w:val="0"/>
  </w:style>
  <w:style w:type="character" w:customStyle="1" w:styleId="642">
    <w:name w:val="燕山正文 Char111"/>
    <w:autoRedefine/>
    <w:qFormat/>
    <w:uiPriority w:val="0"/>
    <w:rPr>
      <w:rFonts w:ascii="宋体" w:eastAsia="宋体" w:cs="宋体"/>
      <w:kern w:val="2"/>
      <w:sz w:val="24"/>
      <w:szCs w:val="24"/>
      <w:lang w:val="en-US" w:eastAsia="zh-CN" w:bidi="ar-SA"/>
    </w:rPr>
  </w:style>
  <w:style w:type="character" w:customStyle="1" w:styleId="643">
    <w:name w:val="表格1 Char"/>
    <w:link w:val="644"/>
    <w:autoRedefine/>
    <w:qFormat/>
    <w:uiPriority w:val="0"/>
    <w:rPr>
      <w:rFonts w:ascii="仿宋_GB2312" w:eastAsia="仿宋_GB2312"/>
      <w:sz w:val="24"/>
    </w:rPr>
  </w:style>
  <w:style w:type="paragraph" w:customStyle="1" w:styleId="644">
    <w:name w:val="表格1"/>
    <w:basedOn w:val="1"/>
    <w:link w:val="643"/>
    <w:autoRedefine/>
    <w:qFormat/>
    <w:uiPriority w:val="0"/>
    <w:pPr>
      <w:snapToGrid w:val="0"/>
      <w:spacing w:line="320" w:lineRule="atLeast"/>
      <w:jc w:val="center"/>
    </w:pPr>
    <w:rPr>
      <w:rFonts w:ascii="仿宋_GB2312" w:eastAsia="仿宋_GB2312"/>
      <w:kern w:val="0"/>
      <w:sz w:val="24"/>
      <w:szCs w:val="20"/>
      <w:lang w:val="zh-CN"/>
    </w:rPr>
  </w:style>
  <w:style w:type="character" w:customStyle="1" w:styleId="645">
    <w:name w:val="表中文字 Char5"/>
    <w:autoRedefine/>
    <w:qFormat/>
    <w:uiPriority w:val="0"/>
    <w:rPr>
      <w:rFonts w:ascii="Arial" w:hAnsi="Arial" w:eastAsia="宋体"/>
      <w:kern w:val="2"/>
      <w:sz w:val="24"/>
      <w:szCs w:val="24"/>
      <w:lang w:val="en-US" w:eastAsia="zh-TW" w:bidi="ar-SA"/>
    </w:rPr>
  </w:style>
  <w:style w:type="character" w:customStyle="1" w:styleId="646">
    <w:name w:val="正文文本缩进 2 Char3"/>
    <w:autoRedefine/>
    <w:qFormat/>
    <w:uiPriority w:val="0"/>
    <w:rPr>
      <w:rFonts w:ascii="Times New Roman" w:hAnsi="Times New Roman" w:eastAsia="宋体" w:cs="Times New Roman"/>
      <w:kern w:val="2"/>
      <w:sz w:val="24"/>
      <w:szCs w:val="24"/>
      <w:lang w:val="en-US" w:eastAsia="zh-CN" w:bidi="ar-SA"/>
    </w:rPr>
  </w:style>
  <w:style w:type="character" w:customStyle="1" w:styleId="647">
    <w:name w:val="正文缩进 Char7"/>
    <w:autoRedefine/>
    <w:qFormat/>
    <w:uiPriority w:val="0"/>
    <w:rPr>
      <w:rFonts w:ascii="宋体" w:hAnsi="宋体" w:eastAsia="宋体"/>
      <w:kern w:val="2"/>
      <w:sz w:val="24"/>
      <w:szCs w:val="24"/>
      <w:lang w:val="en-US" w:eastAsia="zh-CN" w:bidi="ar-SA"/>
    </w:rPr>
  </w:style>
  <w:style w:type="character" w:customStyle="1" w:styleId="648">
    <w:name w:val="s8h0t"/>
    <w:basedOn w:val="90"/>
    <w:autoRedefine/>
    <w:qFormat/>
    <w:uiPriority w:val="0"/>
  </w:style>
  <w:style w:type="character" w:customStyle="1" w:styleId="649">
    <w:name w:val="注 Char3"/>
    <w:autoRedefine/>
    <w:qFormat/>
    <w:uiPriority w:val="0"/>
    <w:rPr>
      <w:rFonts w:ascii="Arial" w:hAnsi="Arial" w:eastAsia="黑体"/>
      <w:kern w:val="2"/>
      <w:sz w:val="24"/>
      <w:szCs w:val="24"/>
      <w:lang w:val="en-US" w:eastAsia="zh-CN" w:bidi="ar-SA"/>
    </w:rPr>
  </w:style>
  <w:style w:type="character" w:customStyle="1" w:styleId="650">
    <w:name w:val="正文格式 Char9"/>
    <w:autoRedefine/>
    <w:qFormat/>
    <w:uiPriority w:val="0"/>
    <w:rPr>
      <w:rFonts w:ascii="宋体" w:hAnsi="宋体" w:eastAsia="宋体"/>
      <w:kern w:val="2"/>
      <w:sz w:val="24"/>
      <w:szCs w:val="24"/>
      <w:lang w:val="en-US" w:eastAsia="zh-CN" w:bidi="ar-SA"/>
    </w:rPr>
  </w:style>
  <w:style w:type="character" w:customStyle="1" w:styleId="651">
    <w:name w:val="正文（首行缩进两字） Char Char1 Char Char Char Cha"/>
    <w:autoRedefine/>
    <w:qFormat/>
    <w:uiPriority w:val="0"/>
    <w:rPr>
      <w:rFonts w:ascii="仿宋_GB2312" w:eastAsia="仿宋_GB2312"/>
      <w:color w:val="000000"/>
      <w:kern w:val="2"/>
      <w:sz w:val="28"/>
      <w:szCs w:val="24"/>
      <w:lang w:val="en-US" w:eastAsia="zh-CN" w:bidi="ar-SA"/>
    </w:rPr>
  </w:style>
  <w:style w:type="character" w:customStyle="1" w:styleId="652">
    <w:name w:val="main14"/>
    <w:basedOn w:val="90"/>
    <w:autoRedefine/>
    <w:qFormat/>
    <w:uiPriority w:val="0"/>
  </w:style>
  <w:style w:type="character" w:customStyle="1" w:styleId="653">
    <w:name w:val="Char Char1111"/>
    <w:autoRedefine/>
    <w:qFormat/>
    <w:uiPriority w:val="0"/>
    <w:rPr>
      <w:rFonts w:ascii="黑体" w:hAnsi="Arial" w:eastAsia="黑体"/>
      <w:bCs/>
      <w:kern w:val="2"/>
      <w:sz w:val="30"/>
      <w:szCs w:val="30"/>
      <w:lang w:val="en-US" w:eastAsia="zh-CN" w:bidi="ar-SA"/>
    </w:rPr>
  </w:style>
  <w:style w:type="character" w:customStyle="1" w:styleId="654">
    <w:name w:val="正文格式 Char10"/>
    <w:autoRedefine/>
    <w:qFormat/>
    <w:uiPriority w:val="0"/>
    <w:rPr>
      <w:rFonts w:ascii="宋体" w:hAnsi="宋体" w:eastAsia="宋体"/>
      <w:kern w:val="2"/>
      <w:sz w:val="24"/>
      <w:szCs w:val="24"/>
      <w:lang w:val="en-US" w:eastAsia="zh-CN" w:bidi="ar-SA"/>
    </w:rPr>
  </w:style>
  <w:style w:type="character" w:customStyle="1" w:styleId="655">
    <w:name w:val="批注框文本 Char3"/>
    <w:autoRedefine/>
    <w:qFormat/>
    <w:uiPriority w:val="0"/>
    <w:rPr>
      <w:rFonts w:ascii="Times New Roman" w:hAnsi="Times New Roman" w:eastAsia="宋体" w:cs="Times New Roman"/>
      <w:kern w:val="2"/>
      <w:sz w:val="18"/>
      <w:szCs w:val="18"/>
      <w:lang w:val="en-US" w:eastAsia="zh-CN" w:bidi="ar-SA"/>
    </w:rPr>
  </w:style>
  <w:style w:type="character" w:customStyle="1" w:styleId="656">
    <w:name w:val="章节 Char4"/>
    <w:autoRedefine/>
    <w:qFormat/>
    <w:uiPriority w:val="0"/>
    <w:rPr>
      <w:rFonts w:ascii="楷体_GB2312" w:eastAsia="楷体_GB2312"/>
      <w:b/>
      <w:kern w:val="44"/>
      <w:sz w:val="30"/>
      <w:lang w:val="en-US" w:eastAsia="zh-CN" w:bidi="ar-SA"/>
    </w:rPr>
  </w:style>
  <w:style w:type="character" w:customStyle="1" w:styleId="657">
    <w:name w:val="st1"/>
    <w:basedOn w:val="90"/>
    <w:autoRedefine/>
    <w:qFormat/>
    <w:uiPriority w:val="0"/>
  </w:style>
  <w:style w:type="character" w:customStyle="1" w:styleId="658">
    <w:name w:val="newstxt"/>
    <w:basedOn w:val="90"/>
    <w:autoRedefine/>
    <w:qFormat/>
    <w:uiPriority w:val="0"/>
  </w:style>
  <w:style w:type="character" w:customStyle="1" w:styleId="659">
    <w:name w:val="s11"/>
    <w:autoRedefine/>
    <w:qFormat/>
    <w:uiPriority w:val="0"/>
    <w:rPr>
      <w:color w:val="000000"/>
      <w:sz w:val="20"/>
      <w:szCs w:val="20"/>
      <w:u w:val="none"/>
    </w:rPr>
  </w:style>
  <w:style w:type="character" w:customStyle="1" w:styleId="660">
    <w:name w:val="hhcwt表格内文字 Char"/>
    <w:link w:val="661"/>
    <w:autoRedefine/>
    <w:qFormat/>
    <w:uiPriority w:val="0"/>
    <w:rPr>
      <w:rFonts w:eastAsia="仿宋_GB2312" w:cs="宋体"/>
      <w:szCs w:val="21"/>
    </w:rPr>
  </w:style>
  <w:style w:type="paragraph" w:customStyle="1" w:styleId="661">
    <w:name w:val="hhcwt表格内文字"/>
    <w:basedOn w:val="1"/>
    <w:link w:val="660"/>
    <w:autoRedefine/>
    <w:qFormat/>
    <w:uiPriority w:val="0"/>
    <w:pPr>
      <w:jc w:val="center"/>
    </w:pPr>
    <w:rPr>
      <w:rFonts w:eastAsia="仿宋_GB2312"/>
      <w:kern w:val="0"/>
      <w:sz w:val="20"/>
      <w:szCs w:val="21"/>
      <w:lang w:val="zh-CN"/>
    </w:rPr>
  </w:style>
  <w:style w:type="character" w:customStyle="1" w:styleId="662">
    <w:name w:val="正文修改 Char1"/>
    <w:link w:val="663"/>
    <w:autoRedefine/>
    <w:qFormat/>
    <w:uiPriority w:val="0"/>
    <w:rPr>
      <w:rFonts w:ascii="宋体" w:hAnsi="宋体" w:cs="宋体"/>
      <w:color w:val="000000"/>
      <w:sz w:val="24"/>
      <w:szCs w:val="24"/>
    </w:rPr>
  </w:style>
  <w:style w:type="paragraph" w:customStyle="1" w:styleId="663">
    <w:name w:val="正文修改"/>
    <w:basedOn w:val="193"/>
    <w:link w:val="662"/>
    <w:autoRedefine/>
    <w:qFormat/>
    <w:uiPriority w:val="0"/>
    <w:rPr>
      <w:rFonts w:hAnsi="宋体"/>
      <w:color w:val="000000"/>
    </w:rPr>
  </w:style>
  <w:style w:type="character" w:customStyle="1" w:styleId="664">
    <w:name w:val="样式 表内小5 + 黑体 加粗 倾斜 下划线 Char5"/>
    <w:autoRedefine/>
    <w:qFormat/>
    <w:uiPriority w:val="0"/>
    <w:rPr>
      <w:rFonts w:ascii="黑体" w:hAnsi="黑体" w:eastAsia="黑体"/>
      <w:b/>
      <w:bCs/>
      <w:i/>
      <w:iCs/>
      <w:kern w:val="2"/>
      <w:sz w:val="18"/>
      <w:szCs w:val="24"/>
      <w:u w:val="single"/>
      <w:lang w:val="en-US" w:eastAsia="zh-CN" w:bidi="ar-SA"/>
    </w:rPr>
  </w:style>
  <w:style w:type="character" w:customStyle="1" w:styleId="665">
    <w:name w:val="环表头 Char1"/>
    <w:autoRedefine/>
    <w:qFormat/>
    <w:uiPriority w:val="0"/>
    <w:rPr>
      <w:rFonts w:ascii="黑体" w:hAnsi="宋体" w:eastAsia="黑体" w:cs="Courier New"/>
      <w:color w:val="000000"/>
      <w:sz w:val="24"/>
      <w:szCs w:val="24"/>
      <w:lang w:val="en-US" w:eastAsia="zh-CN" w:bidi="ar-SA"/>
    </w:rPr>
  </w:style>
  <w:style w:type="character" w:customStyle="1" w:styleId="666">
    <w:name w:val="style11"/>
    <w:autoRedefine/>
    <w:qFormat/>
    <w:uiPriority w:val="0"/>
    <w:rPr>
      <w:b/>
      <w:bCs/>
      <w:color w:val="000080"/>
      <w:sz w:val="30"/>
      <w:szCs w:val="30"/>
    </w:rPr>
  </w:style>
  <w:style w:type="character" w:customStyle="1" w:styleId="667">
    <w:name w:val="样式 表内小5 + 黑体 加粗 倾斜 下划线 Char51"/>
    <w:autoRedefine/>
    <w:qFormat/>
    <w:uiPriority w:val="0"/>
    <w:rPr>
      <w:rFonts w:ascii="黑体" w:hAnsi="黑体" w:eastAsia="黑体"/>
      <w:b/>
      <w:bCs/>
      <w:i/>
      <w:iCs/>
      <w:kern w:val="2"/>
      <w:sz w:val="18"/>
      <w:szCs w:val="24"/>
      <w:u w:val="single"/>
      <w:lang w:val="en-US" w:eastAsia="zh-CN" w:bidi="ar-SA"/>
    </w:rPr>
  </w:style>
  <w:style w:type="character" w:customStyle="1" w:styleId="668">
    <w:name w:val="正文修改 Char13"/>
    <w:autoRedefine/>
    <w:qFormat/>
    <w:uiPriority w:val="0"/>
    <w:rPr>
      <w:rFonts w:ascii="宋体" w:hAnsi="宋体" w:eastAsia="宋体" w:cs="宋体"/>
      <w:color w:val="000000"/>
      <w:sz w:val="24"/>
      <w:szCs w:val="24"/>
    </w:rPr>
  </w:style>
  <w:style w:type="character" w:customStyle="1" w:styleId="669">
    <w:name w:val="td11"/>
    <w:autoRedefine/>
    <w:qFormat/>
    <w:uiPriority w:val="0"/>
    <w:rPr>
      <w:sz w:val="20"/>
      <w:szCs w:val="20"/>
    </w:rPr>
  </w:style>
  <w:style w:type="character" w:customStyle="1" w:styleId="670">
    <w:name w:val="正文格式 Char7"/>
    <w:autoRedefine/>
    <w:qFormat/>
    <w:uiPriority w:val="0"/>
    <w:rPr>
      <w:rFonts w:ascii="宋体" w:hAnsi="宋体" w:eastAsia="宋体"/>
      <w:kern w:val="2"/>
      <w:sz w:val="24"/>
      <w:szCs w:val="24"/>
      <w:lang w:val="en-US" w:eastAsia="zh-CN" w:bidi="ar-SA"/>
    </w:rPr>
  </w:style>
  <w:style w:type="character" w:customStyle="1" w:styleId="671">
    <w:name w:val="sppkvsc"/>
    <w:basedOn w:val="90"/>
    <w:autoRedefine/>
    <w:qFormat/>
    <w:uiPriority w:val="0"/>
  </w:style>
  <w:style w:type="character" w:customStyle="1" w:styleId="672">
    <w:name w:val="正文文本缩进 Char3"/>
    <w:autoRedefine/>
    <w:qFormat/>
    <w:uiPriority w:val="0"/>
    <w:rPr>
      <w:rFonts w:ascii="宋体" w:hAnsi="宋体" w:eastAsia="宋体" w:cs="宋体"/>
      <w:color w:val="000000"/>
      <w:kern w:val="2"/>
      <w:sz w:val="24"/>
      <w:szCs w:val="24"/>
      <w:lang w:val="en-US" w:eastAsia="zh-CN" w:bidi="ar-SA"/>
    </w:rPr>
  </w:style>
  <w:style w:type="character" w:customStyle="1" w:styleId="673">
    <w:name w:val="页眉 Char1"/>
    <w:autoRedefine/>
    <w:qFormat/>
    <w:uiPriority w:val="0"/>
    <w:rPr>
      <w:rFonts w:ascii="Calibri" w:hAnsi="Calibri" w:eastAsia="宋体" w:cs="Times New Roman"/>
      <w:sz w:val="18"/>
      <w:szCs w:val="18"/>
    </w:rPr>
  </w:style>
  <w:style w:type="character" w:customStyle="1" w:styleId="674">
    <w:name w:val="正文文字缩进 Char"/>
    <w:autoRedefine/>
    <w:qFormat/>
    <w:uiPriority w:val="0"/>
    <w:rPr>
      <w:rFonts w:eastAsia="宋体"/>
      <w:kern w:val="2"/>
      <w:sz w:val="28"/>
      <w:lang w:val="en-US" w:eastAsia="zh-CN"/>
    </w:rPr>
  </w:style>
  <w:style w:type="character" w:customStyle="1" w:styleId="675">
    <w:name w:val="Char Char21"/>
    <w:autoRedefine/>
    <w:qFormat/>
    <w:uiPriority w:val="0"/>
    <w:rPr>
      <w:rFonts w:hint="default" w:ascii="Arial" w:hAnsi="Arial" w:eastAsia="黑体" w:cs="Arial"/>
      <w:kern w:val="2"/>
      <w:sz w:val="21"/>
      <w:szCs w:val="21"/>
      <w:lang w:val="en-US" w:eastAsia="zh-CN" w:bidi="ar-SA"/>
    </w:rPr>
  </w:style>
  <w:style w:type="character" w:customStyle="1" w:styleId="676">
    <w:name w:val="表中文字 Char4"/>
    <w:autoRedefine/>
    <w:qFormat/>
    <w:uiPriority w:val="0"/>
    <w:rPr>
      <w:rFonts w:ascii="Arial" w:hAnsi="Arial" w:eastAsia="宋体" w:cs="Times New Roman"/>
      <w:kern w:val="0"/>
      <w:sz w:val="20"/>
      <w:szCs w:val="24"/>
      <w:lang w:val="en-US" w:eastAsia="zh-TW" w:bidi="ar-SA"/>
    </w:rPr>
  </w:style>
  <w:style w:type="character" w:customStyle="1" w:styleId="677">
    <w:name w:val="zisiblack2"/>
    <w:basedOn w:val="90"/>
    <w:autoRedefine/>
    <w:qFormat/>
    <w:uiPriority w:val="0"/>
  </w:style>
  <w:style w:type="character" w:customStyle="1" w:styleId="678">
    <w:name w:val="si16"/>
    <w:basedOn w:val="90"/>
    <w:autoRedefine/>
    <w:qFormat/>
    <w:uiPriority w:val="0"/>
  </w:style>
  <w:style w:type="character" w:customStyle="1" w:styleId="679">
    <w:name w:val="msonormal"/>
    <w:basedOn w:val="90"/>
    <w:autoRedefine/>
    <w:qFormat/>
    <w:uiPriority w:val="0"/>
  </w:style>
  <w:style w:type="character" w:customStyle="1" w:styleId="680">
    <w:name w:val="题注 Char511"/>
    <w:autoRedefine/>
    <w:qFormat/>
    <w:uiPriority w:val="0"/>
    <w:rPr>
      <w:rFonts w:ascii="黑体" w:hAnsi="Arial" w:eastAsia="黑体" w:cs="Arial"/>
      <w:b/>
      <w:spacing w:val="10"/>
      <w:sz w:val="24"/>
      <w:szCs w:val="24"/>
    </w:rPr>
  </w:style>
  <w:style w:type="character" w:customStyle="1" w:styleId="681">
    <w:name w:val="question-title2"/>
    <w:basedOn w:val="90"/>
    <w:autoRedefine/>
    <w:qFormat/>
    <w:uiPriority w:val="0"/>
  </w:style>
  <w:style w:type="character" w:customStyle="1" w:styleId="682">
    <w:name w:val="正文修改 Char142"/>
    <w:autoRedefine/>
    <w:qFormat/>
    <w:uiPriority w:val="0"/>
    <w:rPr>
      <w:rFonts w:ascii="宋体" w:cs="宋体"/>
      <w:sz w:val="24"/>
      <w:szCs w:val="24"/>
    </w:rPr>
  </w:style>
  <w:style w:type="character" w:customStyle="1" w:styleId="683">
    <w:name w:val="gb21"/>
    <w:autoRedefine/>
    <w:qFormat/>
    <w:uiPriority w:val="0"/>
    <w:rPr>
      <w:spacing w:val="360"/>
      <w:sz w:val="18"/>
      <w:szCs w:val="18"/>
    </w:rPr>
  </w:style>
  <w:style w:type="character" w:customStyle="1" w:styleId="684">
    <w:name w:val="题注 Char311"/>
    <w:autoRedefine/>
    <w:qFormat/>
    <w:uiPriority w:val="0"/>
    <w:rPr>
      <w:rFonts w:ascii="黑体" w:hAnsi="Arial" w:eastAsia="黑体" w:cs="Arial"/>
      <w:b/>
      <w:spacing w:val="10"/>
      <w:sz w:val="24"/>
      <w:szCs w:val="24"/>
    </w:rPr>
  </w:style>
  <w:style w:type="character" w:customStyle="1" w:styleId="685">
    <w:name w:val="标题 3 Char14"/>
    <w:autoRedefine/>
    <w:qFormat/>
    <w:uiPriority w:val="0"/>
    <w:rPr>
      <w:rFonts w:ascii="黑体" w:hAnsi="宋体" w:eastAsia="黑体" w:cs="Times New Roman"/>
      <w:b/>
      <w:bCs/>
      <w:kern w:val="2"/>
      <w:sz w:val="28"/>
      <w:szCs w:val="28"/>
      <w:lang w:val="en-US" w:eastAsia="zh-CN" w:bidi="ar-SA"/>
    </w:rPr>
  </w:style>
  <w:style w:type="character" w:customStyle="1" w:styleId="686">
    <w:name w:val="sgiivq"/>
    <w:basedOn w:val="90"/>
    <w:autoRedefine/>
    <w:qFormat/>
    <w:uiPriority w:val="0"/>
  </w:style>
  <w:style w:type="character" w:customStyle="1" w:styleId="687">
    <w:name w:val="正文修改 Char152"/>
    <w:autoRedefine/>
    <w:qFormat/>
    <w:uiPriority w:val="0"/>
    <w:rPr>
      <w:rFonts w:ascii="宋体" w:hAnsi="宋体" w:eastAsia="宋体" w:cs="宋体"/>
      <w:color w:val="000000"/>
      <w:sz w:val="24"/>
      <w:szCs w:val="24"/>
    </w:rPr>
  </w:style>
  <w:style w:type="character" w:customStyle="1" w:styleId="688">
    <w:name w:val="12"/>
    <w:basedOn w:val="90"/>
    <w:autoRedefine/>
    <w:qFormat/>
    <w:uiPriority w:val="0"/>
  </w:style>
  <w:style w:type="character" w:customStyle="1" w:styleId="689">
    <w:name w:val="表中文字 Char27"/>
    <w:autoRedefine/>
    <w:qFormat/>
    <w:uiPriority w:val="0"/>
    <w:rPr>
      <w:rFonts w:ascii="宋体" w:hAnsi="Times New Roman" w:eastAsia="宋体" w:cs="Times New Roman"/>
      <w:kern w:val="0"/>
      <w:sz w:val="24"/>
      <w:szCs w:val="21"/>
      <w:lang w:val="en-US" w:eastAsia="zh-CN" w:bidi="ar-SA"/>
    </w:rPr>
  </w:style>
  <w:style w:type="character" w:customStyle="1" w:styleId="690">
    <w:name w:val="正文文本 3 Char3"/>
    <w:autoRedefine/>
    <w:qFormat/>
    <w:uiPriority w:val="0"/>
    <w:rPr>
      <w:rFonts w:ascii="Times New Roman" w:hAnsi="Times New Roman" w:eastAsia="宋体" w:cs="Times New Roman"/>
      <w:kern w:val="2"/>
      <w:sz w:val="16"/>
      <w:szCs w:val="16"/>
      <w:lang w:val="en-US" w:eastAsia="zh-CN" w:bidi="ar-SA"/>
    </w:rPr>
  </w:style>
  <w:style w:type="character" w:customStyle="1" w:styleId="691">
    <w:name w:val="word131"/>
    <w:autoRedefine/>
    <w:qFormat/>
    <w:uiPriority w:val="0"/>
    <w:rPr>
      <w:rFonts w:hint="default" w:ascii="ˎ̥" w:hAnsi="ˎ̥"/>
      <w:color w:val="000000"/>
      <w:sz w:val="20"/>
      <w:szCs w:val="20"/>
      <w:u w:val="none"/>
    </w:rPr>
  </w:style>
  <w:style w:type="character" w:customStyle="1" w:styleId="692">
    <w:name w:val="表蕊 Char1"/>
    <w:link w:val="693"/>
    <w:autoRedefine/>
    <w:qFormat/>
    <w:uiPriority w:val="0"/>
    <w:rPr>
      <w:spacing w:val="8"/>
      <w:szCs w:val="24"/>
    </w:rPr>
  </w:style>
  <w:style w:type="paragraph" w:customStyle="1" w:styleId="693">
    <w:name w:val="表蕊"/>
    <w:basedOn w:val="1"/>
    <w:link w:val="692"/>
    <w:autoRedefine/>
    <w:qFormat/>
    <w:uiPriority w:val="0"/>
    <w:pPr>
      <w:spacing w:line="320" w:lineRule="exact"/>
      <w:jc w:val="center"/>
    </w:pPr>
    <w:rPr>
      <w:spacing w:val="8"/>
      <w:kern w:val="0"/>
      <w:sz w:val="20"/>
      <w:lang w:val="zh-CN"/>
    </w:rPr>
  </w:style>
  <w:style w:type="character" w:customStyle="1" w:styleId="694">
    <w:name w:val="Char Char611"/>
    <w:autoRedefine/>
    <w:qFormat/>
    <w:uiPriority w:val="0"/>
    <w:rPr>
      <w:rFonts w:ascii="黑体" w:eastAsia="黑体"/>
      <w:b/>
      <w:bCs/>
      <w:kern w:val="2"/>
      <w:sz w:val="28"/>
      <w:szCs w:val="28"/>
      <w:lang w:val="en-US" w:eastAsia="zh-CN" w:bidi="ar-SA"/>
    </w:rPr>
  </w:style>
  <w:style w:type="character" w:customStyle="1" w:styleId="695">
    <w:name w:val="标题 3 Char91"/>
    <w:autoRedefine/>
    <w:qFormat/>
    <w:uiPriority w:val="0"/>
    <w:rPr>
      <w:rFonts w:ascii="黑体" w:hAnsi="宋体" w:eastAsia="黑体" w:cs="Times New Roman"/>
      <w:b/>
      <w:bCs/>
      <w:kern w:val="2"/>
      <w:sz w:val="28"/>
      <w:szCs w:val="28"/>
      <w:lang w:val="en-US" w:eastAsia="zh-CN" w:bidi="ar-SA"/>
    </w:rPr>
  </w:style>
  <w:style w:type="character" w:customStyle="1" w:styleId="696">
    <w:name w:val="环表头 Char6"/>
    <w:autoRedefine/>
    <w:qFormat/>
    <w:uiPriority w:val="0"/>
    <w:rPr>
      <w:rFonts w:ascii="宋体" w:hAnsi="宋体" w:eastAsia="宋体" w:cs="Courier New"/>
      <w:b/>
      <w:color w:val="000000"/>
      <w:kern w:val="2"/>
      <w:sz w:val="24"/>
      <w:szCs w:val="21"/>
      <w:lang w:val="en-US" w:eastAsia="zh-CN" w:bidi="ar-SA"/>
    </w:rPr>
  </w:style>
  <w:style w:type="character" w:customStyle="1" w:styleId="697">
    <w:name w:val="样式 标题 4 + 图案: 清除 (白色)1 Char"/>
    <w:autoRedefine/>
    <w:qFormat/>
    <w:uiPriority w:val="0"/>
    <w:rPr>
      <w:rFonts w:ascii="Arial Narrow" w:hAnsi="Arial Narrow" w:eastAsia="仿宋_GB2312"/>
      <w:kern w:val="2"/>
      <w:sz w:val="24"/>
      <w:szCs w:val="28"/>
      <w:shd w:val="clear" w:color="auto" w:fill="FFFFFF"/>
      <w:lang w:val="en-US" w:eastAsia="zh-CN" w:bidi="ar-SA"/>
    </w:rPr>
  </w:style>
  <w:style w:type="character" w:customStyle="1" w:styleId="698">
    <w:name w:val="表格标题新 Char Char"/>
    <w:autoRedefine/>
    <w:qFormat/>
    <w:uiPriority w:val="0"/>
    <w:rPr>
      <w:rFonts w:ascii="宋体" w:hAnsi="宋体" w:eastAsia="宋体"/>
      <w:b/>
      <w:snapToGrid w:val="0"/>
      <w:spacing w:val="10"/>
      <w:sz w:val="24"/>
      <w:szCs w:val="24"/>
    </w:rPr>
  </w:style>
  <w:style w:type="character" w:customStyle="1" w:styleId="699">
    <w:name w:val="环评正文 Char2"/>
    <w:autoRedefine/>
    <w:qFormat/>
    <w:uiPriority w:val="0"/>
    <w:rPr>
      <w:rFonts w:eastAsia="宋体"/>
      <w:bCs/>
      <w:kern w:val="2"/>
      <w:sz w:val="24"/>
      <w:szCs w:val="24"/>
      <w:lang w:val="en-US" w:eastAsia="zh-CN" w:bidi="ar-SA"/>
    </w:rPr>
  </w:style>
  <w:style w:type="character" w:customStyle="1" w:styleId="700">
    <w:name w:val="款标题1.1.1.1 Char Char"/>
    <w:autoRedefine/>
    <w:qFormat/>
    <w:uiPriority w:val="0"/>
    <w:rPr>
      <w:rFonts w:ascii="Arial" w:hAnsi="Arial" w:eastAsia="黑体"/>
      <w:b/>
      <w:bCs/>
      <w:sz w:val="28"/>
      <w:szCs w:val="28"/>
      <w:lang w:val="en-US" w:eastAsia="zh-CN" w:bidi="ar-SA"/>
    </w:rPr>
  </w:style>
  <w:style w:type="character" w:customStyle="1" w:styleId="701">
    <w:name w:val="样式 样式 宋体 小四 行距: 多倍行距 1.4 字行2 + 黑色 Char"/>
    <w:link w:val="702"/>
    <w:autoRedefine/>
    <w:qFormat/>
    <w:uiPriority w:val="0"/>
    <w:rPr>
      <w:rFonts w:cs="宋体"/>
      <w:b/>
      <w:color w:val="000000"/>
      <w:spacing w:val="10"/>
    </w:rPr>
  </w:style>
  <w:style w:type="paragraph" w:customStyle="1" w:styleId="702">
    <w:name w:val="样式 样式 宋体 小四 行距: 多倍行距 1.4 字行2 + 黑色"/>
    <w:basedOn w:val="1"/>
    <w:link w:val="701"/>
    <w:autoRedefine/>
    <w:qFormat/>
    <w:uiPriority w:val="0"/>
    <w:pPr>
      <w:spacing w:line="336" w:lineRule="auto"/>
      <w:ind w:firstLine="480" w:firstLineChars="200"/>
    </w:pPr>
    <w:rPr>
      <w:b/>
      <w:color w:val="000000"/>
      <w:spacing w:val="10"/>
      <w:kern w:val="0"/>
      <w:sz w:val="20"/>
      <w:szCs w:val="20"/>
      <w:lang w:val="zh-CN"/>
    </w:rPr>
  </w:style>
  <w:style w:type="character" w:customStyle="1" w:styleId="703">
    <w:name w:val="black1"/>
    <w:autoRedefine/>
    <w:qFormat/>
    <w:uiPriority w:val="0"/>
    <w:rPr>
      <w:rFonts w:ascii="黑体" w:hAnsi="黑体" w:eastAsia="宋体"/>
      <w:b/>
      <w:color w:val="000000"/>
      <w:spacing w:val="10"/>
      <w:kern w:val="2"/>
      <w:sz w:val="18"/>
      <w:szCs w:val="18"/>
      <w:u w:val="none"/>
      <w:lang w:val="en-US" w:eastAsia="zh-CN" w:bidi="ar-SA"/>
    </w:rPr>
  </w:style>
  <w:style w:type="character" w:customStyle="1" w:styleId="704">
    <w:name w:val="样式 表格内字体 + Char11"/>
    <w:autoRedefine/>
    <w:qFormat/>
    <w:uiPriority w:val="0"/>
    <w:rPr>
      <w:rFonts w:ascii="宋体" w:hAnsi="宋体"/>
      <w:szCs w:val="24"/>
    </w:rPr>
  </w:style>
  <w:style w:type="character" w:customStyle="1" w:styleId="705">
    <w:name w:val="txt21"/>
    <w:autoRedefine/>
    <w:qFormat/>
    <w:uiPriority w:val="0"/>
    <w:rPr>
      <w:color w:val="000066"/>
      <w:sz w:val="18"/>
      <w:szCs w:val="18"/>
    </w:rPr>
  </w:style>
  <w:style w:type="character" w:customStyle="1" w:styleId="706">
    <w:name w:val="表中文字 Char3"/>
    <w:autoRedefine/>
    <w:qFormat/>
    <w:uiPriority w:val="0"/>
    <w:rPr>
      <w:rFonts w:ascii="Arial" w:hAnsi="Arial" w:eastAsia="宋体"/>
      <w:kern w:val="2"/>
      <w:sz w:val="24"/>
      <w:szCs w:val="24"/>
      <w:lang w:val="en-US" w:eastAsia="zh-TW" w:bidi="ar-SA"/>
    </w:rPr>
  </w:style>
  <w:style w:type="character" w:customStyle="1" w:styleId="707">
    <w:name w:val="A正文 Char1"/>
    <w:autoRedefine/>
    <w:qFormat/>
    <w:uiPriority w:val="0"/>
    <w:rPr>
      <w:rFonts w:eastAsia="仿宋_GB2312"/>
      <w:kern w:val="2"/>
      <w:sz w:val="24"/>
      <w:szCs w:val="24"/>
      <w:lang w:val="en-US" w:eastAsia="zh-CN" w:bidi="ar-SA"/>
    </w:rPr>
  </w:style>
  <w:style w:type="character" w:customStyle="1" w:styleId="708">
    <w:name w:val="Char Char115"/>
    <w:autoRedefine/>
    <w:qFormat/>
    <w:uiPriority w:val="0"/>
    <w:rPr>
      <w:rFonts w:ascii="黑体" w:hAnsi="Arial" w:eastAsia="黑体"/>
      <w:bCs/>
      <w:kern w:val="2"/>
      <w:sz w:val="30"/>
      <w:szCs w:val="30"/>
      <w:lang w:val="en-US" w:eastAsia="zh-CN" w:bidi="ar-SA"/>
    </w:rPr>
  </w:style>
  <w:style w:type="character" w:customStyle="1" w:styleId="709">
    <w:name w:val="news_c_da1"/>
    <w:autoRedefine/>
    <w:qFormat/>
    <w:uiPriority w:val="0"/>
    <w:rPr>
      <w:rFonts w:hint="default" w:ascii="ˎ̥" w:hAnsi="ˎ̥"/>
      <w:b/>
      <w:bCs/>
      <w:color w:val="000000"/>
      <w:sz w:val="24"/>
      <w:szCs w:val="24"/>
    </w:rPr>
  </w:style>
  <w:style w:type="character" w:customStyle="1" w:styleId="710">
    <w:name w:val="表题1 Char43"/>
    <w:autoRedefine/>
    <w:qFormat/>
    <w:uiPriority w:val="0"/>
    <w:rPr>
      <w:rFonts w:ascii="黑体" w:hAnsi="Arial" w:eastAsia="黑体" w:cs="Arial"/>
      <w:b/>
      <w:kern w:val="2"/>
      <w:sz w:val="24"/>
      <w:szCs w:val="24"/>
      <w:lang w:val="en-US" w:eastAsia="zh-CN" w:bidi="ar-SA"/>
    </w:rPr>
  </w:style>
  <w:style w:type="character" w:customStyle="1" w:styleId="711">
    <w:name w:val="newstitle1"/>
    <w:autoRedefine/>
    <w:qFormat/>
    <w:uiPriority w:val="0"/>
    <w:rPr>
      <w:b/>
      <w:bCs/>
      <w:color w:val="444444"/>
      <w:sz w:val="24"/>
      <w:szCs w:val="24"/>
    </w:rPr>
  </w:style>
  <w:style w:type="character" w:customStyle="1" w:styleId="712">
    <w:name w:val="表格 Char1"/>
    <w:autoRedefine/>
    <w:qFormat/>
    <w:uiPriority w:val="0"/>
    <w:rPr>
      <w:rFonts w:eastAsia="仿宋_GB2312"/>
      <w:kern w:val="2"/>
      <w:sz w:val="21"/>
      <w:szCs w:val="24"/>
    </w:rPr>
  </w:style>
  <w:style w:type="character" w:customStyle="1" w:styleId="713">
    <w:name w:val="Char Char16"/>
    <w:autoRedefine/>
    <w:qFormat/>
    <w:locked/>
    <w:uiPriority w:val="0"/>
    <w:rPr>
      <w:rFonts w:ascii="Times New Roman" w:hAnsi="Times New Roman" w:cs="Times New Roman"/>
      <w:szCs w:val="24"/>
    </w:rPr>
  </w:style>
  <w:style w:type="character" w:customStyle="1" w:styleId="714">
    <w:name w:val="表头 Char Char"/>
    <w:autoRedefine/>
    <w:qFormat/>
    <w:uiPriority w:val="0"/>
    <w:rPr>
      <w:rFonts w:eastAsia="黑体"/>
      <w:spacing w:val="-10"/>
    </w:rPr>
  </w:style>
  <w:style w:type="character" w:customStyle="1" w:styleId="715">
    <w:name w:val="环正文 Char Char"/>
    <w:autoRedefine/>
    <w:qFormat/>
    <w:uiPriority w:val="0"/>
    <w:rPr>
      <w:rFonts w:ascii="宋体" w:hAnsi="宋体" w:eastAsia="宋体"/>
      <w:sz w:val="24"/>
      <w:lang w:val="en-US" w:eastAsia="zh-CN" w:bidi="ar-SA"/>
    </w:rPr>
  </w:style>
  <w:style w:type="character" w:customStyle="1" w:styleId="716">
    <w:name w:val="Char Char82"/>
    <w:autoRedefine/>
    <w:qFormat/>
    <w:uiPriority w:val="0"/>
    <w:rPr>
      <w:rFonts w:hint="eastAsia" w:ascii="仿宋_GB2312" w:eastAsia="仿宋_GB2312"/>
      <w:kern w:val="2"/>
      <w:sz w:val="28"/>
      <w:lang w:val="en-US" w:eastAsia="zh-CN" w:bidi="ar-SA"/>
    </w:rPr>
  </w:style>
  <w:style w:type="character" w:customStyle="1" w:styleId="717">
    <w:name w:val="环表头 Char3"/>
    <w:link w:val="718"/>
    <w:autoRedefine/>
    <w:qFormat/>
    <w:uiPriority w:val="0"/>
    <w:rPr>
      <w:rFonts w:ascii="仿宋_GB2312" w:hAnsi="宋体" w:eastAsia="仿宋_GB2312"/>
      <w:sz w:val="24"/>
    </w:rPr>
  </w:style>
  <w:style w:type="paragraph" w:customStyle="1" w:styleId="718">
    <w:name w:val="环表头"/>
    <w:basedOn w:val="317"/>
    <w:next w:val="1"/>
    <w:link w:val="717"/>
    <w:autoRedefine/>
    <w:qFormat/>
    <w:uiPriority w:val="0"/>
    <w:pPr>
      <w:tabs>
        <w:tab w:val="left" w:pos="283"/>
      </w:tabs>
      <w:suppressAutoHyphens w:val="0"/>
      <w:spacing w:beforeLines="20" w:afterLines="10" w:line="312" w:lineRule="atLeast"/>
      <w:ind w:right="28" w:firstLine="0" w:firstLineChars="0"/>
      <w:jc w:val="center"/>
    </w:pPr>
    <w:rPr>
      <w:rFonts w:ascii="仿宋_GB2312" w:eastAsia="仿宋_GB2312"/>
    </w:rPr>
  </w:style>
  <w:style w:type="character" w:customStyle="1" w:styleId="719">
    <w:name w:val="小五 Char Char Char1"/>
    <w:autoRedefine/>
    <w:qFormat/>
    <w:uiPriority w:val="0"/>
    <w:rPr>
      <w:rFonts w:ascii="宋体" w:hAnsi="宋体" w:eastAsia="宋体"/>
      <w:kern w:val="2"/>
      <w:sz w:val="21"/>
      <w:szCs w:val="21"/>
      <w:lang w:val="en-US" w:eastAsia="zh-CN" w:bidi="ar-SA"/>
    </w:rPr>
  </w:style>
  <w:style w:type="character" w:customStyle="1" w:styleId="720">
    <w:name w:val="Char Char67"/>
    <w:autoRedefine/>
    <w:qFormat/>
    <w:uiPriority w:val="0"/>
    <w:rPr>
      <w:rFonts w:eastAsia="宋体"/>
      <w:b/>
      <w:bCs/>
      <w:kern w:val="2"/>
      <w:sz w:val="28"/>
      <w:szCs w:val="28"/>
      <w:lang w:val="en-US" w:eastAsia="zh-CN" w:bidi="ar-SA"/>
    </w:rPr>
  </w:style>
  <w:style w:type="character" w:customStyle="1" w:styleId="721">
    <w:name w:val="下标 Char"/>
    <w:link w:val="722"/>
    <w:autoRedefine/>
    <w:qFormat/>
    <w:uiPriority w:val="0"/>
    <w:rPr>
      <w:rFonts w:ascii="仿宋_GB2312" w:eastAsia="仿宋_GB2312"/>
      <w:kern w:val="2"/>
      <w:sz w:val="28"/>
      <w:szCs w:val="28"/>
      <w:vertAlign w:val="subscript"/>
    </w:rPr>
  </w:style>
  <w:style w:type="paragraph" w:customStyle="1" w:styleId="722">
    <w:name w:val="下标"/>
    <w:basedOn w:val="723"/>
    <w:link w:val="721"/>
    <w:autoRedefine/>
    <w:qFormat/>
    <w:uiPriority w:val="0"/>
    <w:pPr>
      <w:ind w:firstLine="1200" w:firstLineChars="500"/>
    </w:pPr>
    <w:rPr>
      <w:vertAlign w:val="subscript"/>
    </w:rPr>
  </w:style>
  <w:style w:type="paragraph" w:customStyle="1" w:styleId="723">
    <w:name w:val="正文小四"/>
    <w:link w:val="724"/>
    <w:autoRedefine/>
    <w:qFormat/>
    <w:uiPriority w:val="0"/>
    <w:pPr>
      <w:adjustRightInd w:val="0"/>
      <w:snapToGrid w:val="0"/>
      <w:spacing w:line="360" w:lineRule="auto"/>
      <w:ind w:firstLine="560" w:firstLineChars="200"/>
      <w:jc w:val="both"/>
    </w:pPr>
    <w:rPr>
      <w:rFonts w:ascii="仿宋_GB2312" w:hAnsi="Times New Roman" w:eastAsia="仿宋_GB2312" w:cs="Times New Roman"/>
      <w:kern w:val="2"/>
      <w:sz w:val="28"/>
      <w:szCs w:val="28"/>
      <w:lang w:val="en-US" w:eastAsia="zh-CN" w:bidi="ar-SA"/>
    </w:rPr>
  </w:style>
  <w:style w:type="character" w:customStyle="1" w:styleId="724">
    <w:name w:val="正文小四 Char"/>
    <w:link w:val="723"/>
    <w:autoRedefine/>
    <w:qFormat/>
    <w:uiPriority w:val="0"/>
    <w:rPr>
      <w:rFonts w:ascii="仿宋_GB2312" w:eastAsia="仿宋_GB2312"/>
      <w:kern w:val="2"/>
      <w:sz w:val="28"/>
      <w:szCs w:val="28"/>
      <w:lang w:bidi="ar-SA"/>
    </w:rPr>
  </w:style>
  <w:style w:type="character" w:customStyle="1" w:styleId="725">
    <w:name w:val="样式 黑色1"/>
    <w:autoRedefine/>
    <w:qFormat/>
    <w:uiPriority w:val="0"/>
    <w:rPr>
      <w:rFonts w:eastAsia="宋体"/>
      <w:color w:val="auto"/>
      <w:kern w:val="2"/>
      <w:sz w:val="24"/>
      <w:szCs w:val="24"/>
      <w:lang w:val="en-US" w:eastAsia="zh-CN" w:bidi="ar-SA"/>
    </w:rPr>
  </w:style>
  <w:style w:type="character" w:customStyle="1" w:styleId="726">
    <w:name w:val="Char Char8"/>
    <w:autoRedefine/>
    <w:qFormat/>
    <w:uiPriority w:val="0"/>
    <w:rPr>
      <w:rFonts w:ascii="宋体" w:hAnsi="Courier New" w:eastAsia="宋体"/>
      <w:sz w:val="21"/>
      <w:lang w:val="en-US" w:eastAsia="zh-CN" w:bidi="ar-SA"/>
    </w:rPr>
  </w:style>
  <w:style w:type="character" w:customStyle="1" w:styleId="727">
    <w:name w:val="txt11"/>
    <w:autoRedefine/>
    <w:qFormat/>
    <w:uiPriority w:val="0"/>
    <w:rPr>
      <w:sz w:val="18"/>
      <w:szCs w:val="18"/>
    </w:rPr>
  </w:style>
  <w:style w:type="character" w:customStyle="1" w:styleId="728">
    <w:name w:val="样式 表格内字体 + Char12"/>
    <w:autoRedefine/>
    <w:qFormat/>
    <w:uiPriority w:val="0"/>
    <w:rPr>
      <w:rFonts w:cs="Times New Roman"/>
    </w:rPr>
  </w:style>
  <w:style w:type="character" w:customStyle="1" w:styleId="729">
    <w:name w:val="标题 5 Char2"/>
    <w:autoRedefine/>
    <w:qFormat/>
    <w:uiPriority w:val="0"/>
    <w:rPr>
      <w:rFonts w:ascii="Times New Roman" w:hAnsi="Times New Roman" w:eastAsia="宋体" w:cs="Times New Roman"/>
      <w:b/>
      <w:bCs/>
      <w:kern w:val="2"/>
      <w:sz w:val="28"/>
      <w:szCs w:val="28"/>
      <w:lang w:val="en-US" w:eastAsia="zh-CN" w:bidi="ar-SA"/>
    </w:rPr>
  </w:style>
  <w:style w:type="character" w:customStyle="1" w:styleId="730">
    <w:name w:val="正文格式 Char Char Char2 Char"/>
    <w:link w:val="731"/>
    <w:autoRedefine/>
    <w:qFormat/>
    <w:uiPriority w:val="0"/>
    <w:rPr>
      <w:rFonts w:ascii="宋体" w:cs="宋体"/>
      <w:sz w:val="24"/>
      <w:szCs w:val="24"/>
    </w:rPr>
  </w:style>
  <w:style w:type="paragraph" w:customStyle="1" w:styleId="731">
    <w:name w:val="正文格式 Char Char Char2"/>
    <w:basedOn w:val="1"/>
    <w:link w:val="730"/>
    <w:autoRedefine/>
    <w:qFormat/>
    <w:uiPriority w:val="0"/>
    <w:pPr>
      <w:spacing w:line="360" w:lineRule="auto"/>
      <w:ind w:firstLine="482"/>
    </w:pPr>
    <w:rPr>
      <w:rFonts w:ascii="宋体"/>
      <w:kern w:val="0"/>
      <w:sz w:val="24"/>
      <w:lang w:val="zh-CN"/>
    </w:rPr>
  </w:style>
  <w:style w:type="character" w:customStyle="1" w:styleId="732">
    <w:name w:val="Char Char66"/>
    <w:autoRedefine/>
    <w:qFormat/>
    <w:uiPriority w:val="0"/>
    <w:rPr>
      <w:rFonts w:ascii="黑体" w:eastAsia="黑体"/>
      <w:b/>
      <w:bCs/>
      <w:kern w:val="2"/>
      <w:sz w:val="28"/>
      <w:szCs w:val="28"/>
      <w:lang w:val="en-US" w:eastAsia="zh-CN" w:bidi="ar-SA"/>
    </w:rPr>
  </w:style>
  <w:style w:type="character" w:customStyle="1" w:styleId="733">
    <w:name w:val="样式 表格文字 + (中文) 宋体 Char"/>
    <w:link w:val="734"/>
    <w:autoRedefine/>
    <w:qFormat/>
    <w:uiPriority w:val="0"/>
    <w:rPr>
      <w:sz w:val="24"/>
      <w:szCs w:val="21"/>
    </w:rPr>
  </w:style>
  <w:style w:type="paragraph" w:customStyle="1" w:styleId="734">
    <w:name w:val="样式 表格文字 + (中文) 宋体"/>
    <w:basedOn w:val="149"/>
    <w:link w:val="733"/>
    <w:autoRedefine/>
    <w:qFormat/>
    <w:uiPriority w:val="0"/>
    <w:pPr>
      <w:widowControl w:val="0"/>
      <w:tabs>
        <w:tab w:val="left" w:pos="-66"/>
        <w:tab w:val="left" w:pos="425"/>
        <w:tab w:val="left" w:pos="600"/>
        <w:tab w:val="left" w:pos="2100"/>
      </w:tabs>
      <w:adjustRightInd w:val="0"/>
      <w:spacing w:line="400" w:lineRule="exact"/>
      <w:textAlignment w:val="baseline"/>
    </w:pPr>
    <w:rPr>
      <w:rFonts w:ascii="Times New Roman" w:hAnsi="Times New Roman" w:eastAsia="宋体"/>
      <w:kern w:val="0"/>
      <w:szCs w:val="21"/>
    </w:rPr>
  </w:style>
  <w:style w:type="character" w:customStyle="1" w:styleId="735">
    <w:name w:val="s5y7c"/>
    <w:basedOn w:val="90"/>
    <w:autoRedefine/>
    <w:qFormat/>
    <w:uiPriority w:val="0"/>
  </w:style>
  <w:style w:type="character" w:customStyle="1" w:styleId="736">
    <w:name w:val="sovnn"/>
    <w:basedOn w:val="90"/>
    <w:autoRedefine/>
    <w:qFormat/>
    <w:uiPriority w:val="0"/>
  </w:style>
  <w:style w:type="character" w:customStyle="1" w:styleId="737">
    <w:name w:val="sxuoj4"/>
    <w:basedOn w:val="90"/>
    <w:autoRedefine/>
    <w:qFormat/>
    <w:uiPriority w:val="0"/>
  </w:style>
  <w:style w:type="character" w:customStyle="1" w:styleId="738">
    <w:name w:val="scu4wkd"/>
    <w:basedOn w:val="90"/>
    <w:autoRedefine/>
    <w:qFormat/>
    <w:uiPriority w:val="0"/>
  </w:style>
  <w:style w:type="character" w:customStyle="1" w:styleId="739">
    <w:name w:val="infodetail1"/>
    <w:autoRedefine/>
    <w:qFormat/>
    <w:uiPriority w:val="0"/>
    <w:rPr>
      <w:rFonts w:hint="default" w:ascii="ˎ̥" w:hAnsi="ˎ̥" w:eastAsia="黑体"/>
      <w:b/>
      <w:color w:val="000000"/>
      <w:spacing w:val="10"/>
      <w:kern w:val="44"/>
      <w:sz w:val="24"/>
      <w:u w:val="none"/>
      <w:lang w:val="en-US" w:eastAsia="zh-CN"/>
    </w:rPr>
  </w:style>
  <w:style w:type="character" w:customStyle="1" w:styleId="740">
    <w:name w:val="表题1 Char42"/>
    <w:autoRedefine/>
    <w:qFormat/>
    <w:uiPriority w:val="0"/>
    <w:rPr>
      <w:rFonts w:ascii="黑体" w:hAnsi="Arial" w:eastAsia="黑体" w:cs="Arial"/>
      <w:b/>
      <w:kern w:val="2"/>
      <w:sz w:val="24"/>
      <w:szCs w:val="24"/>
      <w:lang w:val="en-US" w:eastAsia="zh-CN" w:bidi="ar-SA"/>
    </w:rPr>
  </w:style>
  <w:style w:type="character" w:customStyle="1" w:styleId="741">
    <w:name w:val="正文文本缩进 3 Char4"/>
    <w:autoRedefine/>
    <w:qFormat/>
    <w:uiPriority w:val="0"/>
    <w:rPr>
      <w:rFonts w:eastAsia="宋体"/>
      <w:kern w:val="2"/>
      <w:sz w:val="16"/>
      <w:szCs w:val="16"/>
      <w:lang w:val="en-US" w:eastAsia="zh-CN" w:bidi="ar-SA"/>
    </w:rPr>
  </w:style>
  <w:style w:type="character" w:customStyle="1" w:styleId="742">
    <w:name w:val="Char Char121"/>
    <w:autoRedefine/>
    <w:qFormat/>
    <w:uiPriority w:val="0"/>
    <w:rPr>
      <w:rFonts w:ascii="黑体" w:hAnsi="Arial" w:eastAsia="黑体"/>
      <w:b/>
      <w:bCs/>
      <w:kern w:val="2"/>
      <w:sz w:val="30"/>
      <w:szCs w:val="30"/>
      <w:lang w:val="en-US" w:eastAsia="zh-CN" w:bidi="ar-SA"/>
    </w:rPr>
  </w:style>
  <w:style w:type="character" w:customStyle="1" w:styleId="743">
    <w:name w:val="标题 3 Char21"/>
    <w:autoRedefine/>
    <w:qFormat/>
    <w:uiPriority w:val="0"/>
    <w:rPr>
      <w:rFonts w:ascii="黑体" w:hAnsi="宋体" w:eastAsia="黑体"/>
      <w:b/>
      <w:bCs/>
      <w:kern w:val="2"/>
      <w:sz w:val="28"/>
      <w:szCs w:val="28"/>
      <w:lang w:val="en-US" w:eastAsia="zh-CN" w:bidi="ar-SA"/>
    </w:rPr>
  </w:style>
  <w:style w:type="character" w:customStyle="1" w:styleId="744">
    <w:name w:val="题注 Char312"/>
    <w:autoRedefine/>
    <w:qFormat/>
    <w:uiPriority w:val="0"/>
    <w:rPr>
      <w:rFonts w:ascii="黑体" w:hAnsi="Arial" w:eastAsia="黑体" w:cs="Arial"/>
      <w:sz w:val="24"/>
      <w:szCs w:val="24"/>
    </w:rPr>
  </w:style>
  <w:style w:type="character" w:customStyle="1" w:styleId="745">
    <w:name w:val="ny_black2"/>
    <w:autoRedefine/>
    <w:qFormat/>
    <w:uiPriority w:val="0"/>
    <w:rPr>
      <w:color w:val="000000"/>
    </w:rPr>
  </w:style>
  <w:style w:type="character" w:customStyle="1" w:styleId="746">
    <w:name w:val="一级标题 Char"/>
    <w:link w:val="747"/>
    <w:autoRedefine/>
    <w:qFormat/>
    <w:locked/>
    <w:uiPriority w:val="0"/>
    <w:rPr>
      <w:rFonts w:eastAsia="黑体"/>
      <w:b/>
      <w:bCs/>
      <w:sz w:val="30"/>
      <w:szCs w:val="30"/>
    </w:rPr>
  </w:style>
  <w:style w:type="paragraph" w:customStyle="1" w:styleId="747">
    <w:name w:val="一级标题"/>
    <w:basedOn w:val="4"/>
    <w:next w:val="86"/>
    <w:link w:val="746"/>
    <w:autoRedefine/>
    <w:qFormat/>
    <w:uiPriority w:val="0"/>
    <w:pPr>
      <w:adjustRightInd w:val="0"/>
      <w:snapToGrid w:val="0"/>
      <w:spacing w:before="0" w:after="0" w:line="360" w:lineRule="auto"/>
    </w:pPr>
    <w:rPr>
      <w:rFonts w:ascii="Times New Roman" w:hAnsi="Times New Roman" w:eastAsia="黑体"/>
      <w:sz w:val="30"/>
      <w:szCs w:val="30"/>
    </w:rPr>
  </w:style>
  <w:style w:type="character" w:customStyle="1" w:styleId="748">
    <w:name w:val="A正文 Char2"/>
    <w:autoRedefine/>
    <w:qFormat/>
    <w:uiPriority w:val="0"/>
    <w:rPr>
      <w:rFonts w:eastAsia="仿宋_GB2312"/>
      <w:kern w:val="2"/>
      <w:sz w:val="24"/>
      <w:szCs w:val="24"/>
      <w:lang w:val="en-US" w:eastAsia="zh-CN" w:bidi="ar-SA"/>
    </w:rPr>
  </w:style>
  <w:style w:type="character" w:customStyle="1" w:styleId="749">
    <w:name w:val="Char Char6"/>
    <w:autoRedefine/>
    <w:qFormat/>
    <w:uiPriority w:val="0"/>
    <w:rPr>
      <w:rFonts w:ascii="Times New Roman" w:hAnsi="Times New Roman" w:eastAsia="仿宋_GB2312"/>
      <w:color w:val="000000"/>
      <w:kern w:val="2"/>
      <w:sz w:val="24"/>
    </w:rPr>
  </w:style>
  <w:style w:type="character" w:customStyle="1" w:styleId="750">
    <w:name w:val="页脚 Char3"/>
    <w:autoRedefine/>
    <w:qFormat/>
    <w:uiPriority w:val="0"/>
    <w:rPr>
      <w:rFonts w:eastAsia="宋体"/>
      <w:kern w:val="2"/>
      <w:sz w:val="18"/>
      <w:szCs w:val="18"/>
      <w:lang w:val="en-US" w:eastAsia="zh-CN" w:bidi="ar-SA"/>
    </w:rPr>
  </w:style>
  <w:style w:type="character" w:customStyle="1" w:styleId="751">
    <w:name w:val="无节 Char"/>
    <w:autoRedefine/>
    <w:qFormat/>
    <w:uiPriority w:val="0"/>
    <w:rPr>
      <w:rFonts w:ascii="Arial" w:hAnsi="Arial" w:eastAsia="黑体"/>
      <w:b/>
      <w:kern w:val="2"/>
      <w:sz w:val="24"/>
      <w:lang w:val="en-US" w:eastAsia="zh-CN" w:bidi="ar-SA"/>
    </w:rPr>
  </w:style>
  <w:style w:type="character" w:customStyle="1" w:styleId="752">
    <w:name w:val="样式 表内小5 + 黑体 加粗 倾斜 下划线 Char1"/>
    <w:autoRedefine/>
    <w:qFormat/>
    <w:uiPriority w:val="0"/>
    <w:rPr>
      <w:rFonts w:ascii="黑体" w:hAnsi="黑体" w:eastAsia="黑体"/>
      <w:b/>
      <w:bCs/>
      <w:i/>
      <w:iCs/>
      <w:kern w:val="2"/>
      <w:sz w:val="18"/>
      <w:szCs w:val="24"/>
      <w:u w:val="single"/>
      <w:lang w:val="en-US" w:eastAsia="zh-CN" w:bidi="ar-SA"/>
    </w:rPr>
  </w:style>
  <w:style w:type="character" w:customStyle="1" w:styleId="753">
    <w:name w:val="text31"/>
    <w:autoRedefine/>
    <w:qFormat/>
    <w:uiPriority w:val="0"/>
    <w:rPr>
      <w:rFonts w:hint="eastAsia" w:ascii="宋体" w:hAnsi="宋体" w:eastAsia="宋体"/>
      <w:color w:val="673434"/>
      <w:kern w:val="2"/>
      <w:sz w:val="22"/>
      <w:szCs w:val="22"/>
      <w:u w:val="none"/>
      <w:lang w:val="en-US" w:eastAsia="zh-CN" w:bidi="ar-SA"/>
    </w:rPr>
  </w:style>
  <w:style w:type="character" w:customStyle="1" w:styleId="754">
    <w:name w:val="河石1 Char21"/>
    <w:autoRedefine/>
    <w:qFormat/>
    <w:uiPriority w:val="0"/>
    <w:rPr>
      <w:rFonts w:ascii="黑体" w:hAnsi="宋体" w:eastAsia="黑体" w:cs="Times New Roman"/>
      <w:bCs/>
      <w:kern w:val="44"/>
      <w:sz w:val="32"/>
      <w:szCs w:val="32"/>
      <w:lang w:val="en-US" w:eastAsia="zh-CN" w:bidi="ar-SA"/>
    </w:rPr>
  </w:style>
  <w:style w:type="character" w:customStyle="1" w:styleId="755">
    <w:name w:val="H23 Char1"/>
    <w:autoRedefine/>
    <w:qFormat/>
    <w:uiPriority w:val="0"/>
    <w:rPr>
      <w:rFonts w:ascii="仿宋_GB2312" w:eastAsia="仿宋_GB2312"/>
      <w:b/>
      <w:kern w:val="2"/>
      <w:sz w:val="28"/>
      <w:lang w:val="en-US" w:eastAsia="zh-CN" w:bidi="ar-SA"/>
    </w:rPr>
  </w:style>
  <w:style w:type="character" w:customStyle="1" w:styleId="756">
    <w:name w:val="detailinfo1"/>
    <w:basedOn w:val="90"/>
    <w:autoRedefine/>
    <w:qFormat/>
    <w:uiPriority w:val="0"/>
  </w:style>
  <w:style w:type="character" w:customStyle="1" w:styleId="757">
    <w:name w:val="正文图 Char Char1"/>
    <w:autoRedefine/>
    <w:qFormat/>
    <w:uiPriority w:val="0"/>
    <w:rPr>
      <w:rFonts w:ascii="宋体" w:eastAsia="宋体"/>
      <w:sz w:val="24"/>
      <w:lang w:val="en-US" w:eastAsia="zh-CN" w:bidi="ar-SA"/>
    </w:rPr>
  </w:style>
  <w:style w:type="character" w:customStyle="1" w:styleId="758">
    <w:name w:val="s"/>
    <w:basedOn w:val="90"/>
    <w:autoRedefine/>
    <w:qFormat/>
    <w:uiPriority w:val="0"/>
  </w:style>
  <w:style w:type="character" w:customStyle="1" w:styleId="759">
    <w:name w:val="正文格式 Char4"/>
    <w:autoRedefine/>
    <w:qFormat/>
    <w:uiPriority w:val="0"/>
    <w:rPr>
      <w:rFonts w:ascii="宋体" w:hAnsi="宋体" w:eastAsia="宋体"/>
      <w:kern w:val="2"/>
      <w:sz w:val="24"/>
      <w:szCs w:val="24"/>
      <w:lang w:val="en-US" w:eastAsia="zh-CN" w:bidi="ar-SA"/>
    </w:rPr>
  </w:style>
  <w:style w:type="character" w:customStyle="1" w:styleId="760">
    <w:name w:val="正文文本 3 Char1"/>
    <w:autoRedefine/>
    <w:qFormat/>
    <w:uiPriority w:val="0"/>
    <w:rPr>
      <w:rFonts w:eastAsia="宋体"/>
      <w:kern w:val="2"/>
      <w:sz w:val="16"/>
      <w:szCs w:val="16"/>
      <w:lang w:val="en-US" w:eastAsia="zh-CN" w:bidi="ar-SA"/>
    </w:rPr>
  </w:style>
  <w:style w:type="character" w:customStyle="1" w:styleId="761">
    <w:name w:val="环表头 Char"/>
    <w:autoRedefine/>
    <w:qFormat/>
    <w:uiPriority w:val="0"/>
    <w:rPr>
      <w:rFonts w:ascii="黑体" w:hAnsi="宋体" w:eastAsia="黑体" w:cs="Courier New"/>
      <w:color w:val="000000"/>
      <w:sz w:val="24"/>
      <w:szCs w:val="24"/>
      <w:lang w:val="en-US" w:eastAsia="zh-CN" w:bidi="ar-SA"/>
    </w:rPr>
  </w:style>
  <w:style w:type="character" w:customStyle="1" w:styleId="762">
    <w:name w:val="样式 标题 2 + (西文) Times New Roman (中文) 宋体 Char"/>
    <w:link w:val="763"/>
    <w:autoRedefine/>
    <w:qFormat/>
    <w:uiPriority w:val="0"/>
    <w:rPr>
      <w:rFonts w:ascii="Cambria" w:hAnsi="Cambria"/>
      <w:b/>
      <w:bCs/>
      <w:sz w:val="32"/>
      <w:szCs w:val="32"/>
    </w:rPr>
  </w:style>
  <w:style w:type="paragraph" w:customStyle="1" w:styleId="763">
    <w:name w:val="样式 标题 2 + (西文) Times New Roman (中文) 宋体"/>
    <w:basedOn w:val="4"/>
    <w:link w:val="762"/>
    <w:autoRedefine/>
    <w:qFormat/>
    <w:uiPriority w:val="0"/>
  </w:style>
  <w:style w:type="character" w:customStyle="1" w:styleId="764">
    <w:name w:val="p3"/>
    <w:basedOn w:val="90"/>
    <w:autoRedefine/>
    <w:qFormat/>
    <w:uiPriority w:val="0"/>
  </w:style>
  <w:style w:type="character" w:customStyle="1" w:styleId="765">
    <w:name w:val="sz3evj"/>
    <w:basedOn w:val="90"/>
    <w:autoRedefine/>
    <w:qFormat/>
    <w:uiPriority w:val="0"/>
  </w:style>
  <w:style w:type="character" w:customStyle="1" w:styleId="766">
    <w:name w:val="正文1 Char"/>
    <w:autoRedefine/>
    <w:qFormat/>
    <w:uiPriority w:val="0"/>
    <w:rPr>
      <w:rFonts w:eastAsia="楷体_GB2312"/>
      <w:kern w:val="2"/>
      <w:sz w:val="24"/>
      <w:szCs w:val="24"/>
      <w:lang w:val="en-US" w:eastAsia="zh-CN" w:bidi="ar-SA"/>
    </w:rPr>
  </w:style>
  <w:style w:type="character" w:customStyle="1" w:styleId="767">
    <w:name w:val="博泵正文"/>
    <w:autoRedefine/>
    <w:qFormat/>
    <w:uiPriority w:val="0"/>
    <w:rPr>
      <w:rFonts w:eastAsia="宋体"/>
      <w:spacing w:val="-25"/>
      <w:sz w:val="24"/>
    </w:rPr>
  </w:style>
  <w:style w:type="character" w:customStyle="1" w:styleId="768">
    <w:name w:val="表题1 Char11"/>
    <w:autoRedefine/>
    <w:qFormat/>
    <w:uiPriority w:val="0"/>
    <w:rPr>
      <w:rFonts w:hAnsi="Arial" w:eastAsia="宋体" w:cs="Arial"/>
      <w:kern w:val="2"/>
      <w:sz w:val="24"/>
      <w:szCs w:val="24"/>
      <w:lang w:val="en-US" w:eastAsia="zh-CN" w:bidi="ar-SA"/>
    </w:rPr>
  </w:style>
  <w:style w:type="character" w:customStyle="1" w:styleId="769">
    <w:name w:val="正文修改 Char1411"/>
    <w:autoRedefine/>
    <w:qFormat/>
    <w:uiPriority w:val="0"/>
    <w:rPr>
      <w:rFonts w:ascii="宋体" w:cs="宋体"/>
      <w:sz w:val="24"/>
      <w:szCs w:val="24"/>
    </w:rPr>
  </w:style>
  <w:style w:type="character" w:customStyle="1" w:styleId="770">
    <w:name w:val="javascript"/>
    <w:autoRedefine/>
    <w:qFormat/>
    <w:uiPriority w:val="0"/>
    <w:rPr>
      <w:rFonts w:ascii="黑体" w:hAnsi="黑体" w:eastAsia="宋体"/>
      <w:b/>
      <w:spacing w:val="10"/>
      <w:kern w:val="2"/>
      <w:sz w:val="28"/>
      <w:szCs w:val="28"/>
      <w:lang w:val="en-US" w:eastAsia="zh-CN" w:bidi="ar-SA"/>
    </w:rPr>
  </w:style>
  <w:style w:type="character" w:customStyle="1" w:styleId="771">
    <w:name w:val="Char Char7"/>
    <w:autoRedefine/>
    <w:qFormat/>
    <w:locked/>
    <w:uiPriority w:val="0"/>
    <w:rPr>
      <w:rFonts w:hint="eastAsia" w:ascii="仿宋_GB2312" w:hAnsi="Courier New" w:eastAsia="仿宋_GB2312"/>
      <w:sz w:val="28"/>
      <w:lang w:val="en-US" w:eastAsia="zh-CN" w:bidi="ar-SA"/>
    </w:rPr>
  </w:style>
  <w:style w:type="character" w:customStyle="1" w:styleId="772">
    <w:name w:val="题注 Char212"/>
    <w:autoRedefine/>
    <w:qFormat/>
    <w:uiPriority w:val="0"/>
    <w:rPr>
      <w:rFonts w:ascii="黑体" w:hAnsi="Arial" w:eastAsia="黑体" w:cs="Arial"/>
      <w:b/>
      <w:spacing w:val="10"/>
      <w:sz w:val="24"/>
      <w:szCs w:val="24"/>
    </w:rPr>
  </w:style>
  <w:style w:type="character" w:customStyle="1" w:styleId="773">
    <w:name w:val="图题 Char"/>
    <w:link w:val="774"/>
    <w:autoRedefine/>
    <w:qFormat/>
    <w:uiPriority w:val="0"/>
    <w:rPr>
      <w:rFonts w:ascii="黑体" w:hAnsi="宋体" w:eastAsia="黑体" w:cs="宋体"/>
      <w:b/>
      <w:bCs/>
      <w:sz w:val="24"/>
      <w:szCs w:val="24"/>
    </w:rPr>
  </w:style>
  <w:style w:type="paragraph" w:customStyle="1" w:styleId="774">
    <w:name w:val="图题6"/>
    <w:basedOn w:val="418"/>
    <w:next w:val="418"/>
    <w:link w:val="773"/>
    <w:autoRedefine/>
    <w:qFormat/>
    <w:uiPriority w:val="0"/>
    <w:pPr>
      <w:ind w:firstLine="0"/>
      <w:jc w:val="center"/>
    </w:pPr>
    <w:rPr>
      <w:rFonts w:ascii="黑体" w:hAnsi="宋体" w:eastAsia="黑体"/>
      <w:bCs/>
      <w:spacing w:val="0"/>
      <w:sz w:val="24"/>
      <w:szCs w:val="24"/>
    </w:rPr>
  </w:style>
  <w:style w:type="character" w:customStyle="1" w:styleId="775">
    <w:name w:val="标题2新 Char"/>
    <w:link w:val="776"/>
    <w:autoRedefine/>
    <w:qFormat/>
    <w:locked/>
    <w:uiPriority w:val="0"/>
    <w:rPr>
      <w:rFonts w:ascii="楷体" w:hAnsi="楷体" w:eastAsia="楷体"/>
      <w:bCs/>
      <w:sz w:val="32"/>
      <w:szCs w:val="32"/>
    </w:rPr>
  </w:style>
  <w:style w:type="paragraph" w:customStyle="1" w:styleId="776">
    <w:name w:val="标题2新"/>
    <w:basedOn w:val="4"/>
    <w:link w:val="775"/>
    <w:autoRedefine/>
    <w:qFormat/>
    <w:uiPriority w:val="0"/>
    <w:pPr>
      <w:spacing w:before="0" w:after="0" w:line="560" w:lineRule="exact"/>
      <w:jc w:val="center"/>
    </w:pPr>
    <w:rPr>
      <w:rFonts w:ascii="楷体" w:hAnsi="楷体" w:eastAsia="楷体"/>
      <w:b w:val="0"/>
    </w:rPr>
  </w:style>
  <w:style w:type="character" w:customStyle="1" w:styleId="777">
    <w:name w:val="unnamed111"/>
    <w:autoRedefine/>
    <w:qFormat/>
    <w:uiPriority w:val="0"/>
    <w:rPr>
      <w:color w:val="003366"/>
      <w:sz w:val="24"/>
      <w:szCs w:val="24"/>
      <w:u w:val="none"/>
    </w:rPr>
  </w:style>
  <w:style w:type="character" w:customStyle="1" w:styleId="778">
    <w:name w:val="td71"/>
    <w:autoRedefine/>
    <w:qFormat/>
    <w:uiPriority w:val="0"/>
    <w:rPr>
      <w:rFonts w:eastAsia="宋体"/>
      <w:color w:val="3B3B3B"/>
      <w:kern w:val="2"/>
      <w:sz w:val="18"/>
      <w:szCs w:val="18"/>
      <w:lang w:val="en-US" w:eastAsia="zh-CN" w:bidi="ar-SA"/>
    </w:rPr>
  </w:style>
  <w:style w:type="character" w:customStyle="1" w:styleId="779">
    <w:name w:val="tpc_content"/>
    <w:basedOn w:val="90"/>
    <w:autoRedefine/>
    <w:qFormat/>
    <w:uiPriority w:val="0"/>
  </w:style>
  <w:style w:type="character" w:customStyle="1" w:styleId="780">
    <w:name w:val="题注 Char512"/>
    <w:autoRedefine/>
    <w:qFormat/>
    <w:uiPriority w:val="0"/>
    <w:rPr>
      <w:rFonts w:ascii="黑体" w:hAnsi="Arial" w:eastAsia="黑体" w:cs="Arial"/>
      <w:sz w:val="24"/>
      <w:szCs w:val="24"/>
    </w:rPr>
  </w:style>
  <w:style w:type="character" w:customStyle="1" w:styleId="781">
    <w:name w:val="样式 表内小5 + 黑体 加粗 倾斜 下划线 Char"/>
    <w:link w:val="782"/>
    <w:autoRedefine/>
    <w:qFormat/>
    <w:uiPriority w:val="0"/>
    <w:rPr>
      <w:rFonts w:ascii="黑体" w:hAnsi="黑体" w:eastAsia="黑体"/>
      <w:b/>
      <w:bCs/>
      <w:i/>
      <w:iCs/>
      <w:sz w:val="18"/>
      <w:szCs w:val="24"/>
      <w:u w:val="single"/>
    </w:rPr>
  </w:style>
  <w:style w:type="paragraph" w:customStyle="1" w:styleId="782">
    <w:name w:val="样式 表内小5 + 黑体 加粗 倾斜 下划线"/>
    <w:basedOn w:val="1"/>
    <w:link w:val="781"/>
    <w:autoRedefine/>
    <w:qFormat/>
    <w:uiPriority w:val="0"/>
    <w:pPr>
      <w:adjustRightInd w:val="0"/>
      <w:snapToGrid w:val="0"/>
      <w:spacing w:line="300" w:lineRule="auto"/>
      <w:jc w:val="left"/>
    </w:pPr>
    <w:rPr>
      <w:rFonts w:ascii="黑体" w:hAnsi="黑体" w:eastAsia="黑体"/>
      <w:b/>
      <w:bCs/>
      <w:i/>
      <w:iCs/>
      <w:kern w:val="0"/>
      <w:sz w:val="18"/>
      <w:u w:val="single"/>
      <w:lang w:val="zh-CN"/>
    </w:rPr>
  </w:style>
  <w:style w:type="character" w:customStyle="1" w:styleId="783">
    <w:name w:val="texhtml"/>
    <w:basedOn w:val="90"/>
    <w:autoRedefine/>
    <w:qFormat/>
    <w:uiPriority w:val="0"/>
  </w:style>
  <w:style w:type="character" w:customStyle="1" w:styleId="784">
    <w:name w:val="标题 3 Char11"/>
    <w:autoRedefine/>
    <w:qFormat/>
    <w:uiPriority w:val="0"/>
    <w:rPr>
      <w:rFonts w:ascii="黑体" w:hAnsi="宋体" w:eastAsia="黑体"/>
      <w:b/>
      <w:bCs/>
      <w:kern w:val="2"/>
      <w:sz w:val="28"/>
      <w:szCs w:val="28"/>
      <w:lang w:val="en-US" w:eastAsia="zh-CN" w:bidi="ar-SA"/>
    </w:rPr>
  </w:style>
  <w:style w:type="character" w:customStyle="1" w:styleId="785">
    <w:name w:val="图题 Char3"/>
    <w:autoRedefine/>
    <w:qFormat/>
    <w:uiPriority w:val="0"/>
    <w:rPr>
      <w:rFonts w:ascii="黑体" w:hAnsi="宋体" w:eastAsia="黑体" w:cs="宋体"/>
      <w:b/>
      <w:bCs/>
      <w:kern w:val="2"/>
      <w:sz w:val="24"/>
      <w:szCs w:val="24"/>
      <w:lang w:val="en-US" w:eastAsia="zh-CN" w:bidi="ar-SA"/>
    </w:rPr>
  </w:style>
  <w:style w:type="character" w:customStyle="1" w:styleId="786">
    <w:name w:val="l12"/>
    <w:autoRedefine/>
    <w:qFormat/>
    <w:uiPriority w:val="0"/>
    <w:rPr>
      <w:rFonts w:eastAsia="宋体"/>
      <w:kern w:val="2"/>
      <w:sz w:val="28"/>
      <w:szCs w:val="28"/>
      <w:lang w:val="en-US" w:eastAsia="zh-CN" w:bidi="ar-SA"/>
    </w:rPr>
  </w:style>
  <w:style w:type="character" w:customStyle="1" w:styleId="787">
    <w:name w:val="gray s"/>
    <w:basedOn w:val="90"/>
    <w:autoRedefine/>
    <w:qFormat/>
    <w:uiPriority w:val="0"/>
  </w:style>
  <w:style w:type="character" w:customStyle="1" w:styleId="788">
    <w:name w:val="标题4改 Char"/>
    <w:link w:val="789"/>
    <w:autoRedefine/>
    <w:qFormat/>
    <w:locked/>
    <w:uiPriority w:val="0"/>
    <w:rPr>
      <w:rFonts w:ascii="黑体" w:hAnsi="黑体" w:eastAsia="黑体"/>
      <w:sz w:val="28"/>
      <w:szCs w:val="28"/>
    </w:rPr>
  </w:style>
  <w:style w:type="paragraph" w:customStyle="1" w:styleId="789">
    <w:name w:val="标题4改"/>
    <w:basedOn w:val="1"/>
    <w:link w:val="788"/>
    <w:autoRedefine/>
    <w:qFormat/>
    <w:uiPriority w:val="0"/>
    <w:pPr>
      <w:spacing w:line="560" w:lineRule="exact"/>
      <w:ind w:firstLine="200" w:firstLineChars="200"/>
      <w:outlineLvl w:val="3"/>
    </w:pPr>
    <w:rPr>
      <w:rFonts w:ascii="黑体" w:hAnsi="黑体" w:eastAsia="黑体"/>
      <w:kern w:val="0"/>
      <w:sz w:val="28"/>
      <w:szCs w:val="28"/>
      <w:lang w:val="zh-CN"/>
    </w:rPr>
  </w:style>
  <w:style w:type="character" w:customStyle="1" w:styleId="790">
    <w:name w:val="font01"/>
    <w:autoRedefine/>
    <w:qFormat/>
    <w:uiPriority w:val="0"/>
    <w:rPr>
      <w:rFonts w:hint="eastAsia" w:ascii="宋体" w:hAnsi="宋体" w:eastAsia="宋体" w:cs="宋体"/>
      <w:color w:val="000000"/>
      <w:sz w:val="21"/>
      <w:szCs w:val="21"/>
      <w:u w:val="none"/>
      <w:vertAlign w:val="superscript"/>
    </w:rPr>
  </w:style>
  <w:style w:type="character" w:customStyle="1" w:styleId="791">
    <w:name w:val="表内5 Char1"/>
    <w:autoRedefine/>
    <w:qFormat/>
    <w:uiPriority w:val="0"/>
    <w:rPr>
      <w:rFonts w:ascii="宋体" w:hAnsi="宋体" w:eastAsia="宋体" w:cs="Times New Roman"/>
      <w:kern w:val="2"/>
      <w:sz w:val="24"/>
      <w:szCs w:val="24"/>
      <w:lang w:val="en-US" w:eastAsia="zh-CN" w:bidi="ar-SA"/>
    </w:rPr>
  </w:style>
  <w:style w:type="character" w:customStyle="1" w:styleId="792">
    <w:name w:val="Char Char65"/>
    <w:autoRedefine/>
    <w:qFormat/>
    <w:uiPriority w:val="0"/>
    <w:rPr>
      <w:rFonts w:ascii="黑体" w:eastAsia="黑体"/>
      <w:b/>
      <w:bCs/>
      <w:kern w:val="2"/>
      <w:sz w:val="28"/>
      <w:szCs w:val="28"/>
      <w:lang w:val="en-US" w:eastAsia="zh-CN" w:bidi="ar-SA"/>
    </w:rPr>
  </w:style>
  <w:style w:type="character" w:customStyle="1" w:styleId="793">
    <w:name w:val="正文修改 Char143"/>
    <w:autoRedefine/>
    <w:qFormat/>
    <w:uiPriority w:val="0"/>
    <w:rPr>
      <w:rFonts w:ascii="宋体" w:cs="宋体"/>
      <w:sz w:val="24"/>
      <w:szCs w:val="24"/>
    </w:rPr>
  </w:style>
  <w:style w:type="character" w:customStyle="1" w:styleId="794">
    <w:name w:val="detail_style1"/>
    <w:autoRedefine/>
    <w:qFormat/>
    <w:uiPriority w:val="0"/>
    <w:rPr>
      <w:sz w:val="26"/>
      <w:szCs w:val="26"/>
      <w:u w:val="none"/>
    </w:rPr>
  </w:style>
  <w:style w:type="character" w:customStyle="1" w:styleId="795">
    <w:name w:val="小四+首行缩进 Char2"/>
    <w:link w:val="796"/>
    <w:autoRedefine/>
    <w:qFormat/>
    <w:locked/>
    <w:uiPriority w:val="0"/>
    <w:rPr>
      <w:rFonts w:cs="宋体"/>
    </w:rPr>
  </w:style>
  <w:style w:type="paragraph" w:customStyle="1" w:styleId="796">
    <w:name w:val="小四+首行缩进"/>
    <w:basedOn w:val="1"/>
    <w:link w:val="795"/>
    <w:autoRedefine/>
    <w:qFormat/>
    <w:uiPriority w:val="0"/>
    <w:pPr>
      <w:spacing w:line="360" w:lineRule="auto"/>
      <w:ind w:firstLine="482"/>
    </w:pPr>
    <w:rPr>
      <w:kern w:val="0"/>
      <w:sz w:val="20"/>
      <w:szCs w:val="20"/>
      <w:lang w:val="zh-CN"/>
    </w:rPr>
  </w:style>
  <w:style w:type="character" w:customStyle="1" w:styleId="797">
    <w:name w:val="样式 标题 2 + Times New Roman 加粗 Char"/>
    <w:link w:val="798"/>
    <w:autoRedefine/>
    <w:qFormat/>
    <w:uiPriority w:val="0"/>
    <w:rPr>
      <w:bCs/>
      <w:kern w:val="44"/>
      <w:sz w:val="28"/>
      <w:szCs w:val="32"/>
    </w:rPr>
  </w:style>
  <w:style w:type="paragraph" w:customStyle="1" w:styleId="798">
    <w:name w:val="样式 标题 2 + Times New Roman 加粗"/>
    <w:basedOn w:val="4"/>
    <w:link w:val="797"/>
    <w:autoRedefine/>
    <w:qFormat/>
    <w:uiPriority w:val="0"/>
    <w:pPr>
      <w:spacing w:before="0" w:after="0" w:line="240" w:lineRule="auto"/>
    </w:pPr>
    <w:rPr>
      <w:rFonts w:ascii="Times New Roman" w:hAnsi="Times New Roman"/>
      <w:b w:val="0"/>
      <w:kern w:val="44"/>
      <w:sz w:val="28"/>
    </w:rPr>
  </w:style>
  <w:style w:type="character" w:customStyle="1" w:styleId="799">
    <w:name w:val="第一层条 Char3"/>
    <w:autoRedefine/>
    <w:qFormat/>
    <w:uiPriority w:val="0"/>
    <w:rPr>
      <w:rFonts w:ascii="仿宋_GB2312" w:eastAsia="仿宋_GB2312"/>
      <w:b/>
      <w:kern w:val="2"/>
      <w:sz w:val="28"/>
      <w:lang w:val="en-US" w:eastAsia="zh-CN" w:bidi="ar-SA"/>
    </w:rPr>
  </w:style>
  <w:style w:type="character" w:customStyle="1" w:styleId="800">
    <w:name w:val="节标题 1.1 Char Char"/>
    <w:autoRedefine/>
    <w:qFormat/>
    <w:uiPriority w:val="0"/>
    <w:rPr>
      <w:rFonts w:ascii="仿宋_GB2312" w:hAnsi="Arial" w:eastAsia="仿宋_GB2312"/>
      <w:b/>
      <w:bCs/>
      <w:kern w:val="2"/>
      <w:sz w:val="32"/>
      <w:szCs w:val="32"/>
      <w:lang w:val="en-US" w:eastAsia="zh-CN" w:bidi="ar-SA"/>
    </w:rPr>
  </w:style>
  <w:style w:type="character" w:customStyle="1" w:styleId="801">
    <w:name w:val="style191"/>
    <w:autoRedefine/>
    <w:qFormat/>
    <w:uiPriority w:val="0"/>
    <w:rPr>
      <w:b/>
      <w:bCs/>
      <w:color w:val="FF0000"/>
    </w:rPr>
  </w:style>
  <w:style w:type="character" w:customStyle="1" w:styleId="802">
    <w:name w:val="参加人员 Char"/>
    <w:link w:val="803"/>
    <w:autoRedefine/>
    <w:qFormat/>
    <w:uiPriority w:val="0"/>
    <w:rPr>
      <w:sz w:val="24"/>
    </w:rPr>
  </w:style>
  <w:style w:type="paragraph" w:customStyle="1" w:styleId="803">
    <w:name w:val="参加人员"/>
    <w:basedOn w:val="1"/>
    <w:link w:val="802"/>
    <w:autoRedefine/>
    <w:qFormat/>
    <w:uiPriority w:val="0"/>
    <w:rPr>
      <w:kern w:val="0"/>
      <w:sz w:val="24"/>
      <w:szCs w:val="20"/>
      <w:lang w:val="zh-CN"/>
    </w:rPr>
  </w:style>
  <w:style w:type="character" w:customStyle="1" w:styleId="804">
    <w:name w:val="正文改 Char"/>
    <w:link w:val="805"/>
    <w:autoRedefine/>
    <w:qFormat/>
    <w:locked/>
    <w:uiPriority w:val="0"/>
    <w:rPr>
      <w:sz w:val="28"/>
    </w:rPr>
  </w:style>
  <w:style w:type="paragraph" w:customStyle="1" w:styleId="805">
    <w:name w:val="正文改"/>
    <w:basedOn w:val="1"/>
    <w:link w:val="804"/>
    <w:autoRedefine/>
    <w:qFormat/>
    <w:uiPriority w:val="0"/>
    <w:pPr>
      <w:spacing w:line="560" w:lineRule="exact"/>
      <w:ind w:firstLine="200" w:firstLineChars="200"/>
      <w:jc w:val="left"/>
    </w:pPr>
    <w:rPr>
      <w:kern w:val="0"/>
      <w:sz w:val="28"/>
      <w:szCs w:val="20"/>
      <w:lang w:val="zh-CN"/>
    </w:rPr>
  </w:style>
  <w:style w:type="character" w:customStyle="1" w:styleId="806">
    <w:name w:val="f141"/>
    <w:autoRedefine/>
    <w:qFormat/>
    <w:uiPriority w:val="0"/>
    <w:rPr>
      <w:sz w:val="21"/>
      <w:szCs w:val="21"/>
    </w:rPr>
  </w:style>
  <w:style w:type="character" w:customStyle="1" w:styleId="807">
    <w:name w:val="content1"/>
    <w:autoRedefine/>
    <w:qFormat/>
    <w:uiPriority w:val="0"/>
    <w:rPr>
      <w:sz w:val="20"/>
      <w:szCs w:val="20"/>
    </w:rPr>
  </w:style>
  <w:style w:type="character" w:customStyle="1" w:styleId="808">
    <w:name w:val="宋体四号 Char"/>
    <w:link w:val="809"/>
    <w:autoRedefine/>
    <w:qFormat/>
    <w:uiPriority w:val="0"/>
    <w:rPr>
      <w:sz w:val="28"/>
      <w:szCs w:val="28"/>
    </w:rPr>
  </w:style>
  <w:style w:type="paragraph" w:customStyle="1" w:styleId="809">
    <w:name w:val="宋体四号"/>
    <w:basedOn w:val="1"/>
    <w:link w:val="808"/>
    <w:autoRedefine/>
    <w:qFormat/>
    <w:uiPriority w:val="0"/>
    <w:pPr>
      <w:spacing w:line="360" w:lineRule="auto"/>
      <w:ind w:firstLine="200" w:firstLineChars="200"/>
    </w:pPr>
    <w:rPr>
      <w:kern w:val="0"/>
      <w:sz w:val="28"/>
      <w:szCs w:val="28"/>
      <w:lang w:val="zh-CN"/>
    </w:rPr>
  </w:style>
  <w:style w:type="character" w:customStyle="1" w:styleId="810">
    <w:name w:val="正文文字 3 Char Char"/>
    <w:autoRedefine/>
    <w:qFormat/>
    <w:uiPriority w:val="0"/>
    <w:rPr>
      <w:rFonts w:eastAsia="宋体"/>
      <w:kern w:val="2"/>
      <w:sz w:val="16"/>
      <w:szCs w:val="16"/>
      <w:lang w:val="en-US" w:eastAsia="zh-CN" w:bidi="ar-SA"/>
    </w:rPr>
  </w:style>
  <w:style w:type="character" w:customStyle="1" w:styleId="811">
    <w:name w:val="样式 表格文字 + (中文) 仿宋_GB23121 Char"/>
    <w:autoRedefine/>
    <w:qFormat/>
    <w:uiPriority w:val="0"/>
    <w:rPr>
      <w:rFonts w:ascii="仿宋_GB2312" w:hAnsi="仿宋_GB2312" w:eastAsia="仿宋_GB2312" w:cs="Times New Roman"/>
      <w:spacing w:val="10"/>
      <w:kern w:val="44"/>
      <w:sz w:val="24"/>
      <w:szCs w:val="24"/>
      <w:lang w:val="zh-CN"/>
    </w:rPr>
  </w:style>
  <w:style w:type="character" w:customStyle="1" w:styleId="812">
    <w:name w:val="正文(首行缩进)宋旭峰 Char Char"/>
    <w:link w:val="813"/>
    <w:autoRedefine/>
    <w:qFormat/>
    <w:uiPriority w:val="0"/>
    <w:rPr>
      <w:rFonts w:ascii="楷体_GB2312" w:hAnsi="宋体" w:eastAsia="楷体_GB2312" w:cs="Arial"/>
      <w:snapToGrid w:val="0"/>
      <w:sz w:val="28"/>
      <w:szCs w:val="28"/>
    </w:rPr>
  </w:style>
  <w:style w:type="paragraph" w:customStyle="1" w:styleId="813">
    <w:name w:val="正文(首行缩进)宋旭峰"/>
    <w:basedOn w:val="9"/>
    <w:link w:val="812"/>
    <w:autoRedefine/>
    <w:qFormat/>
    <w:uiPriority w:val="0"/>
    <w:pPr>
      <w:spacing w:line="500" w:lineRule="exact"/>
      <w:ind w:firstLine="560"/>
      <w:contextualSpacing/>
    </w:pPr>
    <w:rPr>
      <w:rFonts w:ascii="楷体_GB2312" w:hAnsi="宋体" w:eastAsia="楷体_GB2312"/>
      <w:snapToGrid w:val="0"/>
      <w:kern w:val="0"/>
      <w:sz w:val="28"/>
      <w:szCs w:val="28"/>
    </w:rPr>
  </w:style>
  <w:style w:type="character" w:customStyle="1" w:styleId="814">
    <w:name w:val="正文修改 Char112"/>
    <w:autoRedefine/>
    <w:qFormat/>
    <w:uiPriority w:val="0"/>
    <w:rPr>
      <w:rFonts w:ascii="宋体" w:hAnsi="宋体" w:eastAsia="宋体" w:cs="宋体"/>
      <w:color w:val="000000"/>
      <w:sz w:val="24"/>
      <w:szCs w:val="24"/>
    </w:rPr>
  </w:style>
  <w:style w:type="character" w:customStyle="1" w:styleId="815">
    <w:name w:val="正文修改 Char16"/>
    <w:autoRedefine/>
    <w:qFormat/>
    <w:uiPriority w:val="0"/>
    <w:rPr>
      <w:rFonts w:ascii="宋体" w:hAnsi="宋体" w:eastAsia="宋体" w:cs="宋体"/>
      <w:color w:val="000000"/>
      <w:sz w:val="24"/>
      <w:szCs w:val="24"/>
    </w:rPr>
  </w:style>
  <w:style w:type="character" w:customStyle="1" w:styleId="816">
    <w:name w:val="题注 Char31"/>
    <w:autoRedefine/>
    <w:qFormat/>
    <w:uiPriority w:val="0"/>
    <w:rPr>
      <w:rFonts w:ascii="黑体" w:hAnsi="Arial" w:eastAsia="黑体" w:cs="Arial"/>
      <w:b/>
      <w:spacing w:val="10"/>
      <w:sz w:val="24"/>
      <w:szCs w:val="24"/>
    </w:rPr>
  </w:style>
  <w:style w:type="character" w:customStyle="1" w:styleId="817">
    <w:name w:val="chen正文字体11 Char"/>
    <w:link w:val="818"/>
    <w:autoRedefine/>
    <w:qFormat/>
    <w:uiPriority w:val="0"/>
    <w:rPr>
      <w:rFonts w:cs="宋体"/>
      <w:color w:val="000000"/>
      <w:sz w:val="24"/>
      <w:szCs w:val="24"/>
    </w:rPr>
  </w:style>
  <w:style w:type="paragraph" w:customStyle="1" w:styleId="818">
    <w:name w:val="chen正文字体11"/>
    <w:basedOn w:val="1"/>
    <w:link w:val="817"/>
    <w:autoRedefine/>
    <w:qFormat/>
    <w:uiPriority w:val="0"/>
    <w:pPr>
      <w:spacing w:line="360" w:lineRule="auto"/>
      <w:ind w:firstLine="480" w:firstLineChars="200"/>
    </w:pPr>
    <w:rPr>
      <w:color w:val="000000"/>
      <w:kern w:val="0"/>
      <w:sz w:val="24"/>
      <w:lang w:val="zh-CN"/>
    </w:rPr>
  </w:style>
  <w:style w:type="character" w:customStyle="1" w:styleId="819">
    <w:name w:val="批注文字 Char1"/>
    <w:autoRedefine/>
    <w:qFormat/>
    <w:uiPriority w:val="0"/>
    <w:rPr>
      <w:rFonts w:ascii="Calibri" w:hAnsi="Calibri" w:eastAsia="宋体" w:cs="Times New Roman"/>
    </w:rPr>
  </w:style>
  <w:style w:type="character" w:customStyle="1" w:styleId="820">
    <w:name w:val="页脚 Char2"/>
    <w:autoRedefine/>
    <w:qFormat/>
    <w:locked/>
    <w:uiPriority w:val="0"/>
    <w:rPr>
      <w:rFonts w:eastAsia="宋体"/>
      <w:kern w:val="2"/>
      <w:sz w:val="18"/>
      <w:lang w:val="en-US" w:eastAsia="zh-CN" w:bidi="ar-SA"/>
    </w:rPr>
  </w:style>
  <w:style w:type="character" w:customStyle="1" w:styleId="821">
    <w:name w:val="正文斜体 Char2"/>
    <w:autoRedefine/>
    <w:qFormat/>
    <w:uiPriority w:val="0"/>
    <w:rPr>
      <w:rFonts w:ascii="宋体" w:hAnsi="宋体" w:cs="宋体"/>
      <w:b/>
      <w:i/>
      <w:iCs/>
      <w:spacing w:val="10"/>
      <w:sz w:val="24"/>
      <w:szCs w:val="24"/>
    </w:rPr>
  </w:style>
  <w:style w:type="character" w:customStyle="1" w:styleId="822">
    <w:name w:val="Char Char631"/>
    <w:autoRedefine/>
    <w:qFormat/>
    <w:uiPriority w:val="0"/>
    <w:rPr>
      <w:rFonts w:ascii="黑体" w:eastAsia="黑体"/>
      <w:b/>
      <w:bCs/>
      <w:kern w:val="2"/>
      <w:sz w:val="28"/>
      <w:szCs w:val="28"/>
      <w:lang w:val="en-US" w:eastAsia="zh-CN" w:bidi="ar-SA"/>
    </w:rPr>
  </w:style>
  <w:style w:type="character" w:customStyle="1" w:styleId="823">
    <w:name w:val="标题 6 Char1"/>
    <w:autoRedefine/>
    <w:qFormat/>
    <w:uiPriority w:val="0"/>
    <w:rPr>
      <w:rFonts w:ascii="Arial" w:hAnsi="Arial" w:eastAsia="黑体"/>
      <w:b/>
      <w:sz w:val="24"/>
    </w:rPr>
  </w:style>
  <w:style w:type="character" w:customStyle="1" w:styleId="824">
    <w:name w:val="页脚 Char1"/>
    <w:autoRedefine/>
    <w:qFormat/>
    <w:uiPriority w:val="0"/>
    <w:rPr>
      <w:rFonts w:ascii="Calibri" w:hAnsi="Calibri" w:eastAsia="宋体" w:cs="Times New Roman"/>
      <w:sz w:val="18"/>
      <w:szCs w:val="18"/>
    </w:rPr>
  </w:style>
  <w:style w:type="character" w:customStyle="1" w:styleId="825">
    <w:name w:val="标题 7 Char1"/>
    <w:autoRedefine/>
    <w:qFormat/>
    <w:uiPriority w:val="0"/>
    <w:rPr>
      <w:b/>
      <w:bCs/>
      <w:kern w:val="2"/>
      <w:sz w:val="24"/>
      <w:szCs w:val="24"/>
    </w:rPr>
  </w:style>
  <w:style w:type="character" w:customStyle="1" w:styleId="826">
    <w:name w:val="正文首行缩进 2 Char3"/>
    <w:autoRedefine/>
    <w:qFormat/>
    <w:uiPriority w:val="0"/>
    <w:rPr>
      <w:rFonts w:ascii="Times New Roman" w:hAnsi="Times New Roman" w:eastAsia="宋体" w:cs="Times New Roman"/>
      <w:kern w:val="2"/>
      <w:sz w:val="21"/>
      <w:szCs w:val="24"/>
      <w:lang w:val="en-US" w:eastAsia="zh-CN" w:bidi="ar-SA"/>
    </w:rPr>
  </w:style>
  <w:style w:type="character" w:customStyle="1" w:styleId="827">
    <w:name w:val="text_green_bold1"/>
    <w:autoRedefine/>
    <w:qFormat/>
    <w:uiPriority w:val="0"/>
    <w:rPr>
      <w:b/>
      <w:bCs/>
      <w:color w:val="056E7B"/>
      <w:sz w:val="18"/>
      <w:szCs w:val="18"/>
    </w:rPr>
  </w:style>
  <w:style w:type="character" w:customStyle="1" w:styleId="828">
    <w:name w:val="表题1 Char9"/>
    <w:autoRedefine/>
    <w:qFormat/>
    <w:uiPriority w:val="0"/>
    <w:rPr>
      <w:rFonts w:ascii="黑体" w:hAnsi="Arial" w:eastAsia="黑体" w:cs="Arial"/>
      <w:b/>
      <w:kern w:val="2"/>
      <w:sz w:val="24"/>
      <w:szCs w:val="24"/>
      <w:lang w:val="en-US" w:eastAsia="zh-CN" w:bidi="ar-SA"/>
    </w:rPr>
  </w:style>
  <w:style w:type="character" w:customStyle="1" w:styleId="829">
    <w:name w:val="article1"/>
    <w:autoRedefine/>
    <w:qFormat/>
    <w:uiPriority w:val="0"/>
    <w:rPr>
      <w:color w:val="000000"/>
      <w:spacing w:val="600"/>
      <w:sz w:val="18"/>
      <w:szCs w:val="18"/>
    </w:rPr>
  </w:style>
  <w:style w:type="character" w:customStyle="1" w:styleId="830">
    <w:name w:val="标题 8 Char1"/>
    <w:autoRedefine/>
    <w:qFormat/>
    <w:uiPriority w:val="0"/>
    <w:rPr>
      <w:rFonts w:ascii="Cambria" w:hAnsi="Cambria" w:eastAsia="宋体" w:cs="Times New Roman"/>
      <w:kern w:val="2"/>
      <w:sz w:val="24"/>
      <w:szCs w:val="24"/>
    </w:rPr>
  </w:style>
  <w:style w:type="character" w:customStyle="1" w:styleId="831">
    <w:name w:val="m"/>
    <w:basedOn w:val="90"/>
    <w:autoRedefine/>
    <w:qFormat/>
    <w:uiPriority w:val="0"/>
  </w:style>
  <w:style w:type="character" w:customStyle="1" w:styleId="832">
    <w:name w:val="样式 表内小5 + 黑体 加粗 倾斜 下划线 Char3"/>
    <w:autoRedefine/>
    <w:qFormat/>
    <w:uiPriority w:val="0"/>
    <w:rPr>
      <w:rFonts w:ascii="黑体" w:hAnsi="黑体" w:eastAsia="黑体" w:cs="Times New Roman"/>
      <w:b/>
      <w:bCs/>
      <w:i/>
      <w:iCs/>
      <w:kern w:val="2"/>
      <w:sz w:val="18"/>
      <w:szCs w:val="24"/>
      <w:u w:val="single"/>
      <w:lang w:val="en-US" w:eastAsia="zh-CN" w:bidi="ar-SA"/>
    </w:rPr>
  </w:style>
  <w:style w:type="character" w:customStyle="1" w:styleId="833">
    <w:name w:val="正文文本缩进 3 Char5"/>
    <w:autoRedefine/>
    <w:qFormat/>
    <w:uiPriority w:val="0"/>
    <w:rPr>
      <w:rFonts w:ascii="Times New Roman" w:hAnsi="Times New Roman" w:eastAsia="宋体" w:cs="Times New Roman"/>
      <w:kern w:val="2"/>
      <w:sz w:val="16"/>
      <w:szCs w:val="16"/>
      <w:lang w:val="en-US" w:eastAsia="zh-CN" w:bidi="ar-SA"/>
    </w:rPr>
  </w:style>
  <w:style w:type="character" w:customStyle="1" w:styleId="834">
    <w:name w:val="Char Char61"/>
    <w:autoRedefine/>
    <w:qFormat/>
    <w:locked/>
    <w:uiPriority w:val="0"/>
    <w:rPr>
      <w:rFonts w:hint="eastAsia" w:ascii="宋体" w:hAnsi="宋体" w:eastAsia="宋体"/>
      <w:kern w:val="2"/>
      <w:sz w:val="21"/>
      <w:lang w:val="en-US" w:eastAsia="zh-CN" w:bidi="ar-SA"/>
    </w:rPr>
  </w:style>
  <w:style w:type="character" w:customStyle="1" w:styleId="835">
    <w:name w:val="Char Char153"/>
    <w:basedOn w:val="90"/>
    <w:autoRedefine/>
    <w:qFormat/>
    <w:locked/>
    <w:uiPriority w:val="0"/>
  </w:style>
  <w:style w:type="character" w:customStyle="1" w:styleId="836">
    <w:name w:val="表格内文字 Char Char"/>
    <w:autoRedefine/>
    <w:qFormat/>
    <w:uiPriority w:val="0"/>
    <w:rPr>
      <w:rFonts w:eastAsia="仿宋_GB2312"/>
      <w:sz w:val="24"/>
      <w:szCs w:val="24"/>
    </w:rPr>
  </w:style>
  <w:style w:type="character" w:customStyle="1" w:styleId="837">
    <w:name w:val="样式 表头 + 黑色 Char"/>
    <w:link w:val="838"/>
    <w:autoRedefine/>
    <w:qFormat/>
    <w:uiPriority w:val="0"/>
    <w:rPr>
      <w:b/>
      <w:bCs/>
      <w:snapToGrid w:val="0"/>
      <w:color w:val="000000"/>
      <w:spacing w:val="-4"/>
      <w:sz w:val="24"/>
      <w:szCs w:val="24"/>
    </w:rPr>
  </w:style>
  <w:style w:type="paragraph" w:customStyle="1" w:styleId="838">
    <w:name w:val="样式 表头 + 黑色"/>
    <w:basedOn w:val="220"/>
    <w:link w:val="837"/>
    <w:autoRedefine/>
    <w:qFormat/>
    <w:uiPriority w:val="0"/>
    <w:pPr>
      <w:spacing w:line="360" w:lineRule="auto"/>
    </w:pPr>
    <w:rPr>
      <w:rFonts w:eastAsia="宋体"/>
      <w:b/>
      <w:bCs/>
      <w:color w:val="000000"/>
      <w:spacing w:val="-4"/>
      <w:sz w:val="24"/>
    </w:rPr>
  </w:style>
  <w:style w:type="character" w:customStyle="1" w:styleId="839">
    <w:name w:val="正文文字 Char Char Char Char Char3"/>
    <w:autoRedefine/>
    <w:qFormat/>
    <w:uiPriority w:val="0"/>
    <w:rPr>
      <w:rFonts w:eastAsia="宋体"/>
      <w:kern w:val="2"/>
      <w:sz w:val="21"/>
      <w:szCs w:val="24"/>
      <w:lang w:val="en-US" w:eastAsia="zh-CN" w:bidi="ar-SA"/>
    </w:rPr>
  </w:style>
  <w:style w:type="character" w:customStyle="1" w:styleId="840">
    <w:name w:val="标题4 Char3"/>
    <w:autoRedefine/>
    <w:qFormat/>
    <w:uiPriority w:val="0"/>
    <w:rPr>
      <w:rFonts w:ascii="黑体" w:hAnsi="Arial" w:eastAsia="黑体" w:cs="Times New Roman"/>
      <w:b/>
      <w:bCs/>
      <w:kern w:val="2"/>
      <w:sz w:val="24"/>
      <w:szCs w:val="28"/>
      <w:lang w:val="en-US" w:eastAsia="zh-CN" w:bidi="ar-SA"/>
    </w:rPr>
  </w:style>
  <w:style w:type="character" w:customStyle="1" w:styleId="841">
    <w:name w:val="Char Char142"/>
    <w:autoRedefine/>
    <w:qFormat/>
    <w:locked/>
    <w:uiPriority w:val="0"/>
    <w:rPr>
      <w:rFonts w:ascii="Times New Roman" w:hAnsi="Times New Roman" w:eastAsia="宋体" w:cs="宋体"/>
      <w:kern w:val="2"/>
      <w:szCs w:val="24"/>
      <w:lang w:val="en-US" w:eastAsia="zh-CN" w:bidi="ar-SA"/>
    </w:rPr>
  </w:style>
  <w:style w:type="character" w:customStyle="1" w:styleId="842">
    <w:name w:val="14p1"/>
    <w:autoRedefine/>
    <w:qFormat/>
    <w:uiPriority w:val="0"/>
    <w:rPr>
      <w:sz w:val="21"/>
      <w:szCs w:val="21"/>
    </w:rPr>
  </w:style>
  <w:style w:type="character" w:customStyle="1" w:styleId="843">
    <w:name w:val="text_edit editable-title"/>
    <w:basedOn w:val="90"/>
    <w:autoRedefine/>
    <w:qFormat/>
    <w:uiPriority w:val="0"/>
  </w:style>
  <w:style w:type="character" w:customStyle="1" w:styleId="844">
    <w:name w:val="scs62"/>
    <w:basedOn w:val="90"/>
    <w:autoRedefine/>
    <w:qFormat/>
    <w:uiPriority w:val="0"/>
  </w:style>
  <w:style w:type="character" w:customStyle="1" w:styleId="845">
    <w:name w:val="sfrxxz"/>
    <w:basedOn w:val="90"/>
    <w:autoRedefine/>
    <w:qFormat/>
    <w:uiPriority w:val="0"/>
  </w:style>
  <w:style w:type="character" w:customStyle="1" w:styleId="846">
    <w:name w:val="apple-style-span"/>
    <w:basedOn w:val="90"/>
    <w:autoRedefine/>
    <w:qFormat/>
    <w:uiPriority w:val="0"/>
  </w:style>
  <w:style w:type="character" w:customStyle="1" w:styleId="847">
    <w:name w:val="正文格式 Char8"/>
    <w:autoRedefine/>
    <w:qFormat/>
    <w:uiPriority w:val="0"/>
    <w:rPr>
      <w:rFonts w:ascii="宋体" w:hAnsi="宋体" w:eastAsia="宋体"/>
      <w:kern w:val="2"/>
      <w:sz w:val="24"/>
      <w:szCs w:val="24"/>
      <w:lang w:val="en-US" w:eastAsia="zh-CN" w:bidi="ar-SA"/>
    </w:rPr>
  </w:style>
  <w:style w:type="character" w:customStyle="1" w:styleId="848">
    <w:name w:val="表头1 Char"/>
    <w:link w:val="849"/>
    <w:autoRedefine/>
    <w:qFormat/>
    <w:uiPriority w:val="0"/>
    <w:rPr>
      <w:rFonts w:cs="Courier New"/>
      <w:color w:val="0000FF"/>
      <w:szCs w:val="21"/>
    </w:rPr>
  </w:style>
  <w:style w:type="paragraph" w:customStyle="1" w:styleId="849">
    <w:name w:val="表头1"/>
    <w:basedOn w:val="45"/>
    <w:link w:val="848"/>
    <w:autoRedefine/>
    <w:qFormat/>
    <w:uiPriority w:val="0"/>
    <w:pPr>
      <w:spacing w:line="240" w:lineRule="exact"/>
      <w:jc w:val="center"/>
    </w:pPr>
    <w:rPr>
      <w:rFonts w:ascii="Times New Roman" w:hAnsi="Times New Roman"/>
      <w:color w:val="0000FF"/>
    </w:rPr>
  </w:style>
  <w:style w:type="character" w:customStyle="1" w:styleId="850">
    <w:name w:val="题注 Char33"/>
    <w:autoRedefine/>
    <w:qFormat/>
    <w:uiPriority w:val="0"/>
    <w:rPr>
      <w:rFonts w:ascii="黑体" w:hAnsi="Arial" w:eastAsia="黑体" w:cs="Arial"/>
      <w:b/>
      <w:spacing w:val="10"/>
      <w:sz w:val="24"/>
      <w:szCs w:val="24"/>
    </w:rPr>
  </w:style>
  <w:style w:type="character" w:customStyle="1" w:styleId="851">
    <w:name w:val="fsl1"/>
    <w:autoRedefine/>
    <w:qFormat/>
    <w:uiPriority w:val="0"/>
    <w:rPr>
      <w:rFonts w:ascii="黑体" w:hAnsi="黑体" w:eastAsia="黑体"/>
      <w:b/>
      <w:color w:val="0082C6"/>
      <w:spacing w:val="10"/>
      <w:kern w:val="44"/>
      <w:sz w:val="21"/>
      <w:lang w:val="en-US" w:eastAsia="zh-CN"/>
    </w:rPr>
  </w:style>
  <w:style w:type="character" w:customStyle="1" w:styleId="852">
    <w:name w:val="表题1 Char612"/>
    <w:autoRedefine/>
    <w:qFormat/>
    <w:uiPriority w:val="0"/>
    <w:rPr>
      <w:rFonts w:ascii="黑体" w:hAnsi="Arial" w:eastAsia="黑体" w:cs="Arial"/>
      <w:b/>
      <w:kern w:val="2"/>
      <w:sz w:val="24"/>
      <w:szCs w:val="24"/>
      <w:lang w:val="en-US" w:eastAsia="zh-CN" w:bidi="ar-SA"/>
    </w:rPr>
  </w:style>
  <w:style w:type="character" w:customStyle="1" w:styleId="853">
    <w:name w:val="链接"/>
    <w:autoRedefine/>
    <w:qFormat/>
    <w:uiPriority w:val="0"/>
    <w:rPr>
      <w:rFonts w:ascii="Times New Roman" w:eastAsia="宋体"/>
      <w:color w:val="0000FF"/>
      <w:sz w:val="21"/>
      <w:u w:val="single" w:color="0000FF"/>
      <w:vertAlign w:val="baseline"/>
      <w:lang w:val="en-US" w:eastAsia="zh-CN"/>
    </w:rPr>
  </w:style>
  <w:style w:type="character" w:customStyle="1" w:styleId="854">
    <w:name w:val="3zw1"/>
    <w:autoRedefine/>
    <w:qFormat/>
    <w:uiPriority w:val="0"/>
    <w:rPr>
      <w:color w:val="000000"/>
      <w:sz w:val="28"/>
      <w:szCs w:val="28"/>
      <w:u w:val="none"/>
    </w:rPr>
  </w:style>
  <w:style w:type="character" w:customStyle="1" w:styleId="855">
    <w:name w:val="表题2 Char"/>
    <w:autoRedefine/>
    <w:qFormat/>
    <w:uiPriority w:val="0"/>
    <w:rPr>
      <w:rFonts w:ascii="Arial" w:hAnsi="Arial" w:eastAsia="黑体" w:cs="Times New Roman"/>
      <w:sz w:val="20"/>
      <w:szCs w:val="20"/>
    </w:rPr>
  </w:style>
  <w:style w:type="character" w:customStyle="1" w:styleId="856">
    <w:name w:val="seecix"/>
    <w:basedOn w:val="90"/>
    <w:autoRedefine/>
    <w:qFormat/>
    <w:uiPriority w:val="0"/>
  </w:style>
  <w:style w:type="character" w:customStyle="1" w:styleId="857">
    <w:name w:val="篇号"/>
    <w:autoRedefine/>
    <w:qFormat/>
    <w:uiPriority w:val="0"/>
    <w:rPr>
      <w:rFonts w:eastAsia="宋体"/>
    </w:rPr>
  </w:style>
  <w:style w:type="character" w:customStyle="1" w:styleId="858">
    <w:name w:val="题注 Char51"/>
    <w:autoRedefine/>
    <w:qFormat/>
    <w:uiPriority w:val="0"/>
    <w:rPr>
      <w:rFonts w:ascii="黑体" w:hAnsi="Arial" w:eastAsia="黑体" w:cs="Arial"/>
      <w:b/>
      <w:spacing w:val="10"/>
      <w:sz w:val="24"/>
      <w:szCs w:val="24"/>
    </w:rPr>
  </w:style>
  <w:style w:type="character" w:customStyle="1" w:styleId="859">
    <w:name w:val="表题1 Char10"/>
    <w:autoRedefine/>
    <w:qFormat/>
    <w:uiPriority w:val="0"/>
    <w:rPr>
      <w:rFonts w:hAnsi="Arial" w:eastAsia="宋体" w:cs="Arial"/>
      <w:kern w:val="2"/>
      <w:sz w:val="24"/>
      <w:szCs w:val="24"/>
      <w:lang w:val="en-US" w:eastAsia="zh-CN" w:bidi="ar-SA"/>
    </w:rPr>
  </w:style>
  <w:style w:type="character" w:customStyle="1" w:styleId="860">
    <w:name w:val="样式 标题 3 + 黑色 Char Char Char Char Char"/>
    <w:link w:val="861"/>
    <w:autoRedefine/>
    <w:qFormat/>
    <w:uiPriority w:val="0"/>
    <w:rPr>
      <w:b/>
      <w:bCs/>
      <w:sz w:val="32"/>
      <w:szCs w:val="32"/>
    </w:rPr>
  </w:style>
  <w:style w:type="paragraph" w:customStyle="1" w:styleId="861">
    <w:name w:val="样式 标题 3 + 黑色 Char Char Char Char"/>
    <w:basedOn w:val="5"/>
    <w:link w:val="860"/>
    <w:autoRedefine/>
    <w:qFormat/>
    <w:uiPriority w:val="0"/>
    <w:pPr>
      <w:ind w:left="720" w:hanging="432"/>
    </w:pPr>
    <w:rPr>
      <w:kern w:val="0"/>
    </w:rPr>
  </w:style>
  <w:style w:type="character" w:customStyle="1" w:styleId="862">
    <w:name w:val="第二层条 Char3"/>
    <w:autoRedefine/>
    <w:qFormat/>
    <w:uiPriority w:val="0"/>
    <w:rPr>
      <w:rFonts w:ascii="仿宋_GB2312" w:eastAsia="仿宋_GB2312"/>
      <w:kern w:val="2"/>
      <w:sz w:val="28"/>
      <w:szCs w:val="24"/>
      <w:lang w:val="en-US" w:eastAsia="zh-CN" w:bidi="ar-SA"/>
    </w:rPr>
  </w:style>
  <w:style w:type="character" w:customStyle="1" w:styleId="863">
    <w:name w:val="正文缩进 Char4"/>
    <w:autoRedefine/>
    <w:qFormat/>
    <w:uiPriority w:val="0"/>
    <w:rPr>
      <w:rFonts w:ascii="宋体" w:hAnsi="宋体" w:eastAsia="宋体" w:cs="宋体"/>
      <w:color w:val="000000"/>
      <w:kern w:val="2"/>
      <w:sz w:val="24"/>
      <w:szCs w:val="24"/>
      <w:lang w:val="en-US" w:eastAsia="zh-CN" w:bidi="ar-SA"/>
    </w:rPr>
  </w:style>
  <w:style w:type="character" w:customStyle="1" w:styleId="864">
    <w:name w:val="hg1"/>
    <w:basedOn w:val="90"/>
    <w:autoRedefine/>
    <w:qFormat/>
    <w:uiPriority w:val="0"/>
  </w:style>
  <w:style w:type="character" w:customStyle="1" w:styleId="865">
    <w:name w:val="mnpmenulabel1"/>
    <w:autoRedefine/>
    <w:qFormat/>
    <w:uiPriority w:val="0"/>
    <w:rPr>
      <w:rFonts w:hint="default" w:ascii="Verdana" w:hAnsi="Verdana"/>
      <w:b/>
      <w:bCs/>
      <w:i/>
      <w:iCs/>
      <w:color w:val="000000"/>
      <w:sz w:val="18"/>
      <w:szCs w:val="18"/>
      <w:shd w:val="clear" w:color="auto" w:fill="F1F1F1"/>
    </w:rPr>
  </w:style>
  <w:style w:type="character" w:customStyle="1" w:styleId="866">
    <w:name w:val="章节 Char3"/>
    <w:autoRedefine/>
    <w:qFormat/>
    <w:uiPriority w:val="0"/>
    <w:rPr>
      <w:rFonts w:ascii="楷体_GB2312" w:eastAsia="楷体_GB2312"/>
      <w:b/>
      <w:kern w:val="44"/>
      <w:sz w:val="30"/>
      <w:lang w:val="en-US" w:eastAsia="zh-CN" w:bidi="ar-SA"/>
    </w:rPr>
  </w:style>
  <w:style w:type="character" w:customStyle="1" w:styleId="867">
    <w:name w:val="ourfont11"/>
    <w:autoRedefine/>
    <w:qFormat/>
    <w:uiPriority w:val="0"/>
    <w:rPr>
      <w:sz w:val="20"/>
      <w:szCs w:val="20"/>
    </w:rPr>
  </w:style>
  <w:style w:type="character" w:customStyle="1" w:styleId="868">
    <w:name w:val="color_huei1"/>
    <w:autoRedefine/>
    <w:qFormat/>
    <w:uiPriority w:val="0"/>
    <w:rPr>
      <w:color w:val="666666"/>
    </w:rPr>
  </w:style>
  <w:style w:type="character" w:customStyle="1" w:styleId="869">
    <w:name w:val="表蕊居中 Char"/>
    <w:link w:val="870"/>
    <w:autoRedefine/>
    <w:qFormat/>
    <w:uiPriority w:val="0"/>
    <w:rPr>
      <w:rFonts w:ascii="仿宋_GB2312" w:hAnsi="宋体" w:eastAsia="仿宋_GB2312"/>
      <w:sz w:val="28"/>
      <w:szCs w:val="28"/>
    </w:rPr>
  </w:style>
  <w:style w:type="paragraph" w:customStyle="1" w:styleId="870">
    <w:name w:val="表蕊居中"/>
    <w:basedOn w:val="1"/>
    <w:link w:val="869"/>
    <w:autoRedefine/>
    <w:qFormat/>
    <w:uiPriority w:val="0"/>
    <w:pPr>
      <w:spacing w:line="300" w:lineRule="exact"/>
      <w:jc w:val="center"/>
    </w:pPr>
    <w:rPr>
      <w:rFonts w:ascii="仿宋_GB2312" w:hAnsi="宋体" w:eastAsia="仿宋_GB2312"/>
      <w:kern w:val="0"/>
      <w:sz w:val="28"/>
      <w:szCs w:val="28"/>
      <w:lang w:val="zh-CN"/>
    </w:rPr>
  </w:style>
  <w:style w:type="character" w:customStyle="1" w:styleId="871">
    <w:name w:val="H23 Char Char"/>
    <w:autoRedefine/>
    <w:qFormat/>
    <w:uiPriority w:val="0"/>
    <w:rPr>
      <w:rFonts w:ascii="仿宋_GB2312" w:eastAsia="仿宋_GB2312"/>
      <w:b/>
      <w:kern w:val="2"/>
      <w:sz w:val="28"/>
      <w:lang w:val="en-US" w:eastAsia="zh-CN" w:bidi="ar-SA"/>
    </w:rPr>
  </w:style>
  <w:style w:type="character" w:customStyle="1" w:styleId="872">
    <w:name w:val="三级标题 Char23"/>
    <w:autoRedefine/>
    <w:qFormat/>
    <w:uiPriority w:val="0"/>
    <w:rPr>
      <w:rFonts w:ascii="黑体" w:hAnsi="宋体" w:eastAsia="黑体"/>
      <w:bCs/>
      <w:kern w:val="2"/>
      <w:sz w:val="28"/>
      <w:szCs w:val="28"/>
      <w:lang w:val="en-US" w:eastAsia="zh-CN" w:bidi="ar-SA"/>
    </w:rPr>
  </w:style>
  <w:style w:type="character" w:customStyle="1" w:styleId="873">
    <w:name w:val="环标2 Char"/>
    <w:autoRedefine/>
    <w:qFormat/>
    <w:uiPriority w:val="0"/>
    <w:rPr>
      <w:rFonts w:ascii="黑体" w:hAnsi="Arial" w:eastAsia="黑体"/>
      <w:color w:val="000000"/>
      <w:sz w:val="28"/>
      <w:lang w:val="en-US" w:eastAsia="zh-CN" w:bidi="ar-SA"/>
    </w:rPr>
  </w:style>
  <w:style w:type="character" w:customStyle="1" w:styleId="874">
    <w:name w:val="表格内字体 Char9"/>
    <w:autoRedefine/>
    <w:qFormat/>
    <w:uiPriority w:val="0"/>
    <w:rPr>
      <w:rFonts w:ascii="宋体" w:hAnsi="宋体" w:eastAsia="宋体"/>
      <w:kern w:val="2"/>
      <w:sz w:val="21"/>
      <w:szCs w:val="24"/>
      <w:lang w:val="en-US" w:eastAsia="zh-CN" w:bidi="ar-SA"/>
    </w:rPr>
  </w:style>
  <w:style w:type="character" w:customStyle="1" w:styleId="875">
    <w:name w:val="Char Char113"/>
    <w:autoRedefine/>
    <w:qFormat/>
    <w:uiPriority w:val="0"/>
    <w:rPr>
      <w:rFonts w:ascii="黑体" w:hAnsi="Arial" w:eastAsia="黑体"/>
      <w:bCs/>
      <w:kern w:val="2"/>
      <w:sz w:val="30"/>
      <w:szCs w:val="30"/>
      <w:lang w:val="en-US" w:eastAsia="zh-CN" w:bidi="ar-SA"/>
    </w:rPr>
  </w:style>
  <w:style w:type="character" w:customStyle="1" w:styleId="876">
    <w:name w:val="样式8 Char"/>
    <w:link w:val="877"/>
    <w:autoRedefine/>
    <w:qFormat/>
    <w:uiPriority w:val="0"/>
    <w:rPr>
      <w:rFonts w:ascii="宋体" w:hAnsi="Arial Black" w:cs="宋体"/>
      <w:sz w:val="24"/>
      <w:szCs w:val="24"/>
    </w:rPr>
  </w:style>
  <w:style w:type="paragraph" w:customStyle="1" w:styleId="877">
    <w:name w:val="样式8"/>
    <w:basedOn w:val="1"/>
    <w:next w:val="1"/>
    <w:link w:val="876"/>
    <w:autoRedefine/>
    <w:qFormat/>
    <w:uiPriority w:val="0"/>
    <w:pPr>
      <w:ind w:firstLine="420"/>
    </w:pPr>
    <w:rPr>
      <w:rFonts w:ascii="宋体" w:hAnsi="Arial Black"/>
      <w:kern w:val="0"/>
      <w:sz w:val="24"/>
      <w:lang w:val="zh-CN"/>
    </w:rPr>
  </w:style>
  <w:style w:type="character" w:customStyle="1" w:styleId="878">
    <w:name w:val="Char Char44"/>
    <w:autoRedefine/>
    <w:qFormat/>
    <w:uiPriority w:val="0"/>
    <w:rPr>
      <w:rFonts w:ascii="黑体" w:hAnsi="Arial" w:eastAsia="黑体"/>
      <w:b/>
      <w:bCs/>
      <w:kern w:val="2"/>
      <w:sz w:val="30"/>
      <w:szCs w:val="30"/>
      <w:lang w:val="en-US" w:eastAsia="zh-CN" w:bidi="ar-SA"/>
    </w:rPr>
  </w:style>
  <w:style w:type="character" w:customStyle="1" w:styleId="879">
    <w:name w:val="Char Char Char11"/>
    <w:autoRedefine/>
    <w:qFormat/>
    <w:uiPriority w:val="0"/>
    <w:rPr>
      <w:rFonts w:hint="default" w:ascii="Arial" w:hAnsi="Arial" w:eastAsia="黑体" w:cs="Arial"/>
      <w:b/>
      <w:bCs/>
      <w:kern w:val="2"/>
      <w:sz w:val="24"/>
      <w:szCs w:val="24"/>
      <w:lang w:val="en-US" w:eastAsia="zh-CN" w:bidi="ar-SA"/>
    </w:rPr>
  </w:style>
  <w:style w:type="character" w:customStyle="1" w:styleId="880">
    <w:name w:val="Char Char63"/>
    <w:autoRedefine/>
    <w:qFormat/>
    <w:uiPriority w:val="0"/>
    <w:rPr>
      <w:rFonts w:ascii="黑体" w:eastAsia="黑体"/>
      <w:b/>
      <w:bCs/>
      <w:kern w:val="2"/>
      <w:sz w:val="28"/>
      <w:szCs w:val="28"/>
      <w:lang w:val="en-US" w:eastAsia="zh-CN" w:bidi="ar-SA"/>
    </w:rPr>
  </w:style>
  <w:style w:type="character" w:customStyle="1" w:styleId="881">
    <w:name w:val="Char Char111"/>
    <w:autoRedefine/>
    <w:qFormat/>
    <w:uiPriority w:val="0"/>
    <w:rPr>
      <w:rFonts w:ascii="黑体" w:hAnsi="Arial" w:eastAsia="黑体"/>
      <w:b/>
      <w:bCs/>
      <w:kern w:val="2"/>
      <w:sz w:val="30"/>
      <w:szCs w:val="30"/>
      <w:lang w:val="en-US" w:eastAsia="zh-CN" w:bidi="ar-SA"/>
    </w:rPr>
  </w:style>
  <w:style w:type="character" w:customStyle="1" w:styleId="882">
    <w:name w:val="head121"/>
    <w:autoRedefine/>
    <w:qFormat/>
    <w:uiPriority w:val="0"/>
    <w:rPr>
      <w:sz w:val="22"/>
      <w:szCs w:val="22"/>
    </w:rPr>
  </w:style>
  <w:style w:type="character" w:customStyle="1" w:styleId="883">
    <w:name w:val="p9l1"/>
    <w:autoRedefine/>
    <w:qFormat/>
    <w:uiPriority w:val="0"/>
    <w:rPr>
      <w:rFonts w:ascii="黑体" w:hAnsi="黑体" w:eastAsia="宋体"/>
      <w:b/>
      <w:spacing w:val="10"/>
      <w:kern w:val="2"/>
      <w:sz w:val="18"/>
      <w:szCs w:val="18"/>
      <w:u w:val="none"/>
      <w:lang w:val="en-US" w:eastAsia="zh-CN" w:bidi="ar-SA"/>
    </w:rPr>
  </w:style>
  <w:style w:type="character" w:customStyle="1" w:styleId="884">
    <w:name w:val="yqlink"/>
    <w:basedOn w:val="90"/>
    <w:autoRedefine/>
    <w:qFormat/>
    <w:uiPriority w:val="0"/>
  </w:style>
  <w:style w:type="character" w:customStyle="1" w:styleId="885">
    <w:name w:val="样式 正文缩进 + 宋体 黑色 Char"/>
    <w:link w:val="886"/>
    <w:autoRedefine/>
    <w:qFormat/>
    <w:uiPriority w:val="0"/>
    <w:rPr>
      <w:rFonts w:ascii="宋体" w:hAnsi="宋体"/>
      <w:color w:val="000000"/>
      <w:sz w:val="24"/>
      <w:szCs w:val="24"/>
    </w:rPr>
  </w:style>
  <w:style w:type="paragraph" w:customStyle="1" w:styleId="886">
    <w:name w:val="样式 正文缩进 + 宋体 黑色"/>
    <w:basedOn w:val="9"/>
    <w:link w:val="885"/>
    <w:autoRedefine/>
    <w:qFormat/>
    <w:uiPriority w:val="0"/>
    <w:pPr>
      <w:spacing w:line="360" w:lineRule="auto"/>
      <w:ind w:firstLine="200"/>
      <w:jc w:val="left"/>
    </w:pPr>
    <w:rPr>
      <w:rFonts w:ascii="宋体" w:hAnsi="宋体"/>
      <w:color w:val="000000"/>
      <w:kern w:val="0"/>
      <w:sz w:val="24"/>
    </w:rPr>
  </w:style>
  <w:style w:type="character" w:customStyle="1" w:styleId="887">
    <w:name w:val="批注框文本 Char6"/>
    <w:autoRedefine/>
    <w:qFormat/>
    <w:uiPriority w:val="0"/>
    <w:rPr>
      <w:rFonts w:eastAsia="宋体"/>
      <w:kern w:val="2"/>
      <w:sz w:val="18"/>
      <w:szCs w:val="18"/>
      <w:lang w:val="en-US" w:eastAsia="zh-CN" w:bidi="ar-SA"/>
    </w:rPr>
  </w:style>
  <w:style w:type="character" w:customStyle="1" w:styleId="888">
    <w:name w:val="content"/>
    <w:autoRedefine/>
    <w:qFormat/>
    <w:uiPriority w:val="0"/>
    <w:rPr>
      <w:rFonts w:ascii="宋体" w:hAnsi="宋体" w:eastAsia="宋体"/>
      <w:b/>
      <w:spacing w:val="10"/>
      <w:kern w:val="2"/>
      <w:sz w:val="24"/>
      <w:szCs w:val="24"/>
      <w:lang w:val="en-US" w:eastAsia="zh-CN" w:bidi="ar-SA"/>
    </w:rPr>
  </w:style>
  <w:style w:type="character" w:customStyle="1" w:styleId="889">
    <w:name w:val="正文修改 Char15"/>
    <w:autoRedefine/>
    <w:qFormat/>
    <w:uiPriority w:val="0"/>
    <w:rPr>
      <w:rFonts w:ascii="宋体" w:hAnsi="宋体" w:eastAsia="宋体" w:cs="宋体"/>
      <w:color w:val="000000"/>
      <w:sz w:val="24"/>
      <w:szCs w:val="24"/>
    </w:rPr>
  </w:style>
  <w:style w:type="character" w:customStyle="1" w:styleId="890">
    <w:name w:val="标题1 Char"/>
    <w:autoRedefine/>
    <w:qFormat/>
    <w:uiPriority w:val="0"/>
    <w:rPr>
      <w:rFonts w:ascii="Times New Roman" w:hAnsi="Times New Roman" w:eastAsia="黑体"/>
      <w:kern w:val="2"/>
      <w:sz w:val="44"/>
      <w:szCs w:val="44"/>
    </w:rPr>
  </w:style>
  <w:style w:type="character" w:customStyle="1" w:styleId="891">
    <w:name w:val="环正文 Char2"/>
    <w:autoRedefine/>
    <w:qFormat/>
    <w:uiPriority w:val="0"/>
    <w:rPr>
      <w:rFonts w:ascii="宋体" w:hAnsi="宋体" w:eastAsia="宋体"/>
      <w:sz w:val="24"/>
      <w:lang w:val="en-US" w:eastAsia="zh-CN" w:bidi="ar-SA"/>
    </w:rPr>
  </w:style>
  <w:style w:type="character" w:customStyle="1" w:styleId="892">
    <w:name w:val="catalog1"/>
    <w:autoRedefine/>
    <w:qFormat/>
    <w:uiPriority w:val="0"/>
    <w:rPr>
      <w:rFonts w:eastAsia="宋体"/>
      <w:color w:val="000000"/>
      <w:kern w:val="2"/>
      <w:sz w:val="15"/>
      <w:szCs w:val="15"/>
      <w:u w:val="none"/>
      <w:lang w:val="en-US" w:eastAsia="zh-CN" w:bidi="ar-SA"/>
    </w:rPr>
  </w:style>
  <w:style w:type="character" w:customStyle="1" w:styleId="893">
    <w:name w:val="Char Char51"/>
    <w:autoRedefine/>
    <w:qFormat/>
    <w:uiPriority w:val="0"/>
    <w:rPr>
      <w:rFonts w:ascii="黑体" w:hAnsi="宋体" w:eastAsia="黑体"/>
      <w:bCs/>
      <w:kern w:val="2"/>
      <w:sz w:val="28"/>
      <w:szCs w:val="28"/>
      <w:lang w:val="en-US" w:eastAsia="zh-CN" w:bidi="ar-SA"/>
    </w:rPr>
  </w:style>
  <w:style w:type="character" w:customStyle="1" w:styleId="894">
    <w:name w:val="标题 2 Char1 Char"/>
    <w:autoRedefine/>
    <w:qFormat/>
    <w:uiPriority w:val="0"/>
    <w:rPr>
      <w:rFonts w:ascii="黑体" w:hAnsi="Arial" w:eastAsia="黑体"/>
      <w:b/>
      <w:bCs/>
      <w:kern w:val="2"/>
      <w:sz w:val="30"/>
      <w:szCs w:val="30"/>
      <w:lang w:val="en-US" w:eastAsia="zh-CN" w:bidi="ar-SA"/>
    </w:rPr>
  </w:style>
  <w:style w:type="character" w:customStyle="1" w:styleId="895">
    <w:name w:val="textlarge1"/>
    <w:autoRedefine/>
    <w:qFormat/>
    <w:uiPriority w:val="0"/>
    <w:rPr>
      <w:sz w:val="18"/>
      <w:szCs w:val="18"/>
    </w:rPr>
  </w:style>
  <w:style w:type="character" w:customStyle="1" w:styleId="896">
    <w:name w:val="Char Char161"/>
    <w:autoRedefine/>
    <w:qFormat/>
    <w:locked/>
    <w:uiPriority w:val="0"/>
    <w:rPr>
      <w:rFonts w:ascii="Times New Roman" w:hAnsi="Times New Roman" w:cs="Times New Roman"/>
      <w:szCs w:val="24"/>
    </w:rPr>
  </w:style>
  <w:style w:type="character" w:customStyle="1" w:styleId="897">
    <w:name w:val="small14"/>
    <w:basedOn w:val="90"/>
    <w:autoRedefine/>
    <w:qFormat/>
    <w:uiPriority w:val="0"/>
  </w:style>
  <w:style w:type="character" w:customStyle="1" w:styleId="898">
    <w:name w:val="size9"/>
    <w:basedOn w:val="90"/>
    <w:autoRedefine/>
    <w:qFormat/>
    <w:uiPriority w:val="0"/>
  </w:style>
  <w:style w:type="character" w:customStyle="1" w:styleId="899">
    <w:name w:val="样式 正文缩进 + 宋体 黑色 Char1"/>
    <w:autoRedefine/>
    <w:qFormat/>
    <w:uiPriority w:val="0"/>
    <w:rPr>
      <w:rFonts w:ascii="宋体" w:hAnsi="宋体" w:eastAsia="宋体"/>
      <w:color w:val="000000"/>
      <w:kern w:val="2"/>
      <w:sz w:val="24"/>
      <w:szCs w:val="24"/>
      <w:lang w:val="en-US" w:eastAsia="zh-CN" w:bidi="ar-SA"/>
    </w:rPr>
  </w:style>
  <w:style w:type="character" w:customStyle="1" w:styleId="900">
    <w:name w:val="表格内字体 Char21"/>
    <w:autoRedefine/>
    <w:qFormat/>
    <w:uiPriority w:val="0"/>
    <w:rPr>
      <w:rFonts w:ascii="宋体" w:hAnsi="宋体" w:eastAsia="宋体"/>
      <w:kern w:val="2"/>
      <w:sz w:val="21"/>
      <w:szCs w:val="24"/>
      <w:lang w:val="en-US" w:eastAsia="zh-CN" w:bidi="ar-SA"/>
    </w:rPr>
  </w:style>
  <w:style w:type="character" w:customStyle="1" w:styleId="901">
    <w:name w:val="title1"/>
    <w:autoRedefine/>
    <w:qFormat/>
    <w:uiPriority w:val="0"/>
    <w:rPr>
      <w:b/>
      <w:bCs/>
      <w:color w:val="D90000"/>
      <w:spacing w:val="330"/>
      <w:sz w:val="27"/>
      <w:szCs w:val="27"/>
    </w:rPr>
  </w:style>
  <w:style w:type="character" w:customStyle="1" w:styleId="902">
    <w:name w:val="正文格式 Char6"/>
    <w:autoRedefine/>
    <w:qFormat/>
    <w:uiPriority w:val="0"/>
    <w:rPr>
      <w:rFonts w:ascii="宋体" w:hAnsi="宋体" w:eastAsia="宋体" w:cs="Times New Roman"/>
      <w:kern w:val="2"/>
      <w:sz w:val="24"/>
      <w:szCs w:val="24"/>
      <w:lang w:val="en-US" w:eastAsia="zh-CN" w:bidi="ar-SA"/>
    </w:rPr>
  </w:style>
  <w:style w:type="character" w:customStyle="1" w:styleId="903">
    <w:name w:val="占位符文本1"/>
    <w:autoRedefine/>
    <w:qFormat/>
    <w:uiPriority w:val="0"/>
    <w:rPr>
      <w:rFonts w:eastAsia="宋体"/>
      <w:color w:val="808080"/>
      <w:kern w:val="2"/>
      <w:sz w:val="24"/>
      <w:szCs w:val="24"/>
      <w:lang w:val="en-US" w:eastAsia="zh-CN" w:bidi="ar-SA"/>
    </w:rPr>
  </w:style>
  <w:style w:type="character" w:customStyle="1" w:styleId="904">
    <w:name w:val="style401"/>
    <w:autoRedefine/>
    <w:qFormat/>
    <w:uiPriority w:val="0"/>
    <w:rPr>
      <w:color w:val="000000"/>
    </w:rPr>
  </w:style>
  <w:style w:type="character" w:customStyle="1" w:styleId="905">
    <w:name w:val="表格内字体 Char3"/>
    <w:autoRedefine/>
    <w:qFormat/>
    <w:uiPriority w:val="0"/>
    <w:rPr>
      <w:rFonts w:ascii="宋体" w:hAnsi="宋体" w:eastAsia="宋体"/>
      <w:kern w:val="2"/>
      <w:sz w:val="21"/>
      <w:szCs w:val="24"/>
      <w:lang w:val="en-US" w:eastAsia="zh-CN" w:bidi="ar-SA"/>
    </w:rPr>
  </w:style>
  <w:style w:type="character" w:customStyle="1" w:styleId="906">
    <w:name w:val="表中文字 Char25"/>
    <w:autoRedefine/>
    <w:qFormat/>
    <w:uiPriority w:val="0"/>
    <w:rPr>
      <w:rFonts w:ascii="宋体" w:eastAsia="宋体"/>
      <w:kern w:val="2"/>
      <w:sz w:val="21"/>
      <w:szCs w:val="21"/>
      <w:lang w:val="en-US" w:eastAsia="zh-CN" w:bidi="ar-SA"/>
    </w:rPr>
  </w:style>
  <w:style w:type="character" w:customStyle="1" w:styleId="907">
    <w:name w:val="题注 Char112"/>
    <w:autoRedefine/>
    <w:qFormat/>
    <w:uiPriority w:val="0"/>
    <w:rPr>
      <w:rFonts w:ascii="黑体" w:hAnsi="Arial" w:eastAsia="黑体" w:cs="Arial"/>
      <w:b/>
      <w:spacing w:val="10"/>
      <w:sz w:val="24"/>
      <w:szCs w:val="24"/>
    </w:rPr>
  </w:style>
  <w:style w:type="character" w:customStyle="1" w:styleId="908">
    <w:name w:val="题注 Char5"/>
    <w:autoRedefine/>
    <w:qFormat/>
    <w:uiPriority w:val="0"/>
    <w:rPr>
      <w:rFonts w:ascii="黑体" w:hAnsi="Arial" w:eastAsia="黑体" w:cs="Arial"/>
      <w:b/>
      <w:spacing w:val="10"/>
      <w:sz w:val="24"/>
      <w:szCs w:val="24"/>
    </w:rPr>
  </w:style>
  <w:style w:type="character" w:customStyle="1" w:styleId="909">
    <w:name w:val="style441"/>
    <w:autoRedefine/>
    <w:qFormat/>
    <w:uiPriority w:val="0"/>
    <w:rPr>
      <w:sz w:val="18"/>
      <w:szCs w:val="18"/>
    </w:rPr>
  </w:style>
  <w:style w:type="character" w:customStyle="1" w:styleId="910">
    <w:name w:val="正文修改 Char1112"/>
    <w:autoRedefine/>
    <w:qFormat/>
    <w:uiPriority w:val="0"/>
    <w:rPr>
      <w:rFonts w:ascii="宋体" w:hAnsi="宋体" w:eastAsia="宋体" w:cs="宋体"/>
      <w:color w:val="000000"/>
      <w:sz w:val="24"/>
      <w:szCs w:val="24"/>
    </w:rPr>
  </w:style>
  <w:style w:type="character" w:customStyle="1" w:styleId="911">
    <w:name w:val="style3 style1 style4"/>
    <w:basedOn w:val="90"/>
    <w:autoRedefine/>
    <w:qFormat/>
    <w:uiPriority w:val="0"/>
  </w:style>
  <w:style w:type="character" w:customStyle="1" w:styleId="912">
    <w:name w:val="样式 正文缩进 + 宋体 黑色 Char3"/>
    <w:autoRedefine/>
    <w:qFormat/>
    <w:uiPriority w:val="0"/>
    <w:rPr>
      <w:rFonts w:ascii="宋体" w:hAnsi="宋体" w:eastAsia="宋体" w:cs="Times New Roman"/>
      <w:color w:val="000000"/>
      <w:kern w:val="2"/>
      <w:sz w:val="24"/>
      <w:szCs w:val="24"/>
      <w:lang w:val="en-US" w:eastAsia="zh-CN" w:bidi="ar-SA"/>
    </w:rPr>
  </w:style>
  <w:style w:type="character" w:customStyle="1" w:styleId="913">
    <w:name w:val="Char Char102"/>
    <w:autoRedefine/>
    <w:qFormat/>
    <w:locked/>
    <w:uiPriority w:val="0"/>
    <w:rPr>
      <w:rFonts w:eastAsia="宋体"/>
      <w:kern w:val="2"/>
      <w:sz w:val="21"/>
      <w:lang w:val="en-US" w:eastAsia="zh-CN" w:bidi="ar-SA"/>
    </w:rPr>
  </w:style>
  <w:style w:type="character" w:customStyle="1" w:styleId="914">
    <w:name w:val="谏壁正文chen Char"/>
    <w:link w:val="915"/>
    <w:autoRedefine/>
    <w:qFormat/>
    <w:uiPriority w:val="0"/>
    <w:rPr>
      <w:sz w:val="24"/>
      <w:szCs w:val="24"/>
    </w:rPr>
  </w:style>
  <w:style w:type="paragraph" w:customStyle="1" w:styleId="915">
    <w:name w:val="谏壁正文chen"/>
    <w:basedOn w:val="1"/>
    <w:link w:val="914"/>
    <w:autoRedefine/>
    <w:qFormat/>
    <w:uiPriority w:val="0"/>
    <w:pPr>
      <w:spacing w:line="360" w:lineRule="auto"/>
      <w:ind w:firstLine="200" w:firstLineChars="200"/>
    </w:pPr>
    <w:rPr>
      <w:kern w:val="0"/>
      <w:sz w:val="24"/>
      <w:lang w:val="zh-CN"/>
    </w:rPr>
  </w:style>
  <w:style w:type="character" w:customStyle="1" w:styleId="916">
    <w:name w:val="环评正文 Char1"/>
    <w:autoRedefine/>
    <w:qFormat/>
    <w:uiPriority w:val="0"/>
    <w:rPr>
      <w:rFonts w:eastAsia="宋体"/>
      <w:bCs/>
      <w:kern w:val="2"/>
      <w:sz w:val="24"/>
      <w:szCs w:val="24"/>
      <w:lang w:val="en-US" w:eastAsia="zh-CN" w:bidi="ar-SA"/>
    </w:rPr>
  </w:style>
  <w:style w:type="character" w:customStyle="1" w:styleId="917">
    <w:name w:val="表格内容 Char Char"/>
    <w:autoRedefine/>
    <w:qFormat/>
    <w:uiPriority w:val="0"/>
    <w:rPr>
      <w:rFonts w:ascii="Times New Roman" w:hAnsi="Times New Roman" w:cs="Arial Unicode MS"/>
      <w:color w:val="000000"/>
      <w:kern w:val="2"/>
      <w:sz w:val="18"/>
      <w:szCs w:val="24"/>
    </w:rPr>
  </w:style>
  <w:style w:type="character" w:customStyle="1" w:styleId="918">
    <w:name w:val="Char Char152"/>
    <w:autoRedefine/>
    <w:qFormat/>
    <w:uiPriority w:val="0"/>
    <w:rPr>
      <w:rFonts w:hint="eastAsia" w:ascii="宋体" w:hAnsi="Courier New" w:eastAsia="宋体"/>
      <w:sz w:val="18"/>
      <w:lang w:val="en-US" w:eastAsia="zh-CN" w:bidi="ar-SA"/>
    </w:rPr>
  </w:style>
  <w:style w:type="character" w:customStyle="1" w:styleId="919">
    <w:name w:val="图表题 Char3"/>
    <w:autoRedefine/>
    <w:qFormat/>
    <w:uiPriority w:val="0"/>
    <w:rPr>
      <w:rFonts w:ascii="黑体" w:hAnsi="宋体" w:eastAsia="黑体" w:cs="宋体"/>
      <w:b/>
      <w:bCs/>
      <w:spacing w:val="10"/>
      <w:sz w:val="24"/>
      <w:szCs w:val="24"/>
    </w:rPr>
  </w:style>
  <w:style w:type="character" w:customStyle="1" w:styleId="920">
    <w:name w:val="headline-content"/>
    <w:basedOn w:val="90"/>
    <w:autoRedefine/>
    <w:qFormat/>
    <w:uiPriority w:val="0"/>
  </w:style>
  <w:style w:type="character" w:customStyle="1" w:styleId="921">
    <w:name w:val="Char Char13"/>
    <w:autoRedefine/>
    <w:qFormat/>
    <w:uiPriority w:val="0"/>
    <w:rPr>
      <w:rFonts w:eastAsia="宋体"/>
      <w:kern w:val="2"/>
      <w:sz w:val="21"/>
      <w:lang w:val="en-US" w:eastAsia="zh-CN" w:bidi="ar-SA"/>
    </w:rPr>
  </w:style>
  <w:style w:type="character" w:customStyle="1" w:styleId="922">
    <w:name w:val="Char Char114"/>
    <w:autoRedefine/>
    <w:qFormat/>
    <w:uiPriority w:val="0"/>
    <w:rPr>
      <w:rFonts w:ascii="黑体" w:hAnsi="Arial" w:eastAsia="黑体"/>
      <w:bCs/>
      <w:kern w:val="2"/>
      <w:sz w:val="30"/>
      <w:szCs w:val="30"/>
      <w:lang w:val="en-US" w:eastAsia="zh-CN" w:bidi="ar-SA"/>
    </w:rPr>
  </w:style>
  <w:style w:type="character" w:customStyle="1" w:styleId="923">
    <w:name w:val="题注 Char211"/>
    <w:autoRedefine/>
    <w:qFormat/>
    <w:uiPriority w:val="0"/>
    <w:rPr>
      <w:rFonts w:ascii="黑体" w:hAnsi="Arial" w:eastAsia="黑体" w:cs="Arial"/>
      <w:b/>
      <w:spacing w:val="10"/>
      <w:sz w:val="24"/>
      <w:szCs w:val="24"/>
    </w:rPr>
  </w:style>
  <w:style w:type="character" w:customStyle="1" w:styleId="924">
    <w:name w:val="题注 Char61"/>
    <w:autoRedefine/>
    <w:qFormat/>
    <w:uiPriority w:val="0"/>
    <w:rPr>
      <w:rFonts w:ascii="黑体" w:hAnsi="Arial" w:eastAsia="黑体" w:cs="Arial"/>
      <w:b/>
      <w:spacing w:val="10"/>
      <w:sz w:val="24"/>
      <w:szCs w:val="24"/>
    </w:rPr>
  </w:style>
  <w:style w:type="character" w:customStyle="1" w:styleId="925">
    <w:name w:val="Char Char14"/>
    <w:autoRedefine/>
    <w:qFormat/>
    <w:locked/>
    <w:uiPriority w:val="0"/>
    <w:rPr>
      <w:rFonts w:ascii="Times New Roman" w:hAnsi="Times New Roman" w:eastAsia="宋体" w:cs="宋体"/>
      <w:kern w:val="2"/>
      <w:szCs w:val="24"/>
      <w:lang w:val="en-US" w:eastAsia="zh-CN" w:bidi="ar-SA"/>
    </w:rPr>
  </w:style>
  <w:style w:type="character" w:customStyle="1" w:styleId="926">
    <w:name w:val="Char Char15"/>
    <w:basedOn w:val="90"/>
    <w:autoRedefine/>
    <w:qFormat/>
    <w:locked/>
    <w:uiPriority w:val="0"/>
  </w:style>
  <w:style w:type="character" w:customStyle="1" w:styleId="927">
    <w:name w:val="正文修改 Char1111"/>
    <w:autoRedefine/>
    <w:qFormat/>
    <w:uiPriority w:val="0"/>
    <w:rPr>
      <w:rFonts w:ascii="宋体" w:hAnsi="宋体" w:eastAsia="宋体" w:cs="宋体"/>
      <w:color w:val="000000"/>
      <w:sz w:val="24"/>
      <w:szCs w:val="24"/>
    </w:rPr>
  </w:style>
  <w:style w:type="character" w:customStyle="1" w:styleId="928">
    <w:name w:val="表题1 Char611"/>
    <w:autoRedefine/>
    <w:qFormat/>
    <w:uiPriority w:val="0"/>
    <w:rPr>
      <w:rFonts w:ascii="黑体" w:hAnsi="Arial" w:eastAsia="黑体" w:cs="Arial"/>
      <w:b/>
      <w:kern w:val="2"/>
      <w:sz w:val="24"/>
      <w:szCs w:val="24"/>
      <w:lang w:val="en-US" w:eastAsia="zh-CN" w:bidi="ar-SA"/>
    </w:rPr>
  </w:style>
  <w:style w:type="character" w:customStyle="1" w:styleId="929">
    <w:name w:val="图表题 Char11"/>
    <w:autoRedefine/>
    <w:qFormat/>
    <w:uiPriority w:val="0"/>
    <w:rPr>
      <w:rFonts w:ascii="黑体" w:hAnsi="宋体" w:eastAsia="黑体" w:cs="宋体"/>
      <w:b/>
      <w:bCs/>
      <w:spacing w:val="10"/>
      <w:sz w:val="24"/>
      <w:szCs w:val="24"/>
    </w:rPr>
  </w:style>
  <w:style w:type="character" w:customStyle="1" w:styleId="930">
    <w:name w:val="Char4 Char Char"/>
    <w:autoRedefine/>
    <w:qFormat/>
    <w:locked/>
    <w:uiPriority w:val="0"/>
    <w:rPr>
      <w:sz w:val="18"/>
      <w:szCs w:val="18"/>
    </w:rPr>
  </w:style>
  <w:style w:type="character" w:customStyle="1" w:styleId="931">
    <w:name w:val="特点标题 Char1"/>
    <w:autoRedefine/>
    <w:qFormat/>
    <w:uiPriority w:val="0"/>
    <w:rPr>
      <w:rFonts w:ascii="Calibri" w:hAnsi="Calibri" w:eastAsia="宋体" w:cs="Times New Roman"/>
    </w:rPr>
  </w:style>
  <w:style w:type="character" w:customStyle="1" w:styleId="932">
    <w:name w:val="兴武正文 Char"/>
    <w:link w:val="933"/>
    <w:autoRedefine/>
    <w:qFormat/>
    <w:uiPriority w:val="0"/>
    <w:rPr>
      <w:sz w:val="24"/>
    </w:rPr>
  </w:style>
  <w:style w:type="paragraph" w:customStyle="1" w:styleId="933">
    <w:name w:val="兴武正文"/>
    <w:basedOn w:val="1"/>
    <w:link w:val="932"/>
    <w:autoRedefine/>
    <w:qFormat/>
    <w:uiPriority w:val="0"/>
    <w:pPr>
      <w:spacing w:line="480" w:lineRule="exact"/>
      <w:ind w:firstLine="200" w:firstLineChars="200"/>
    </w:pPr>
    <w:rPr>
      <w:kern w:val="0"/>
      <w:sz w:val="24"/>
      <w:szCs w:val="20"/>
      <w:lang w:val="zh-CN"/>
    </w:rPr>
  </w:style>
  <w:style w:type="character" w:customStyle="1" w:styleId="934">
    <w:name w:val="正文格式 Char12"/>
    <w:autoRedefine/>
    <w:qFormat/>
    <w:uiPriority w:val="0"/>
    <w:rPr>
      <w:rFonts w:ascii="宋体" w:hAnsi="宋体" w:eastAsia="宋体" w:cs="Times New Roman"/>
      <w:kern w:val="2"/>
      <w:sz w:val="24"/>
      <w:szCs w:val="24"/>
      <w:lang w:val="en-US" w:eastAsia="zh-CN" w:bidi="ar-SA"/>
    </w:rPr>
  </w:style>
  <w:style w:type="character" w:customStyle="1" w:styleId="935">
    <w:name w:val="标题 1 Char5"/>
    <w:autoRedefine/>
    <w:qFormat/>
    <w:uiPriority w:val="0"/>
    <w:rPr>
      <w:rFonts w:ascii="黑体" w:hAnsi="宋体" w:eastAsia="黑体" w:cs="Times New Roman"/>
      <w:bCs/>
      <w:kern w:val="44"/>
      <w:sz w:val="32"/>
      <w:szCs w:val="32"/>
      <w:lang w:val="en-US" w:eastAsia="zh-CN" w:bidi="ar-SA"/>
    </w:rPr>
  </w:style>
  <w:style w:type="character" w:customStyle="1" w:styleId="936">
    <w:name w:val="style3 grey"/>
    <w:basedOn w:val="90"/>
    <w:autoRedefine/>
    <w:qFormat/>
    <w:uiPriority w:val="0"/>
  </w:style>
  <w:style w:type="character" w:customStyle="1" w:styleId="937">
    <w:name w:val="题注 Char13"/>
    <w:autoRedefine/>
    <w:qFormat/>
    <w:uiPriority w:val="0"/>
    <w:rPr>
      <w:rFonts w:ascii="黑体" w:hAnsi="Arial" w:eastAsia="黑体" w:cs="Arial"/>
      <w:b/>
      <w:spacing w:val="10"/>
      <w:sz w:val="24"/>
      <w:szCs w:val="24"/>
    </w:rPr>
  </w:style>
  <w:style w:type="character" w:customStyle="1" w:styleId="938">
    <w:name w:val="正文文本 2 Char1"/>
    <w:autoRedefine/>
    <w:qFormat/>
    <w:uiPriority w:val="0"/>
    <w:rPr>
      <w:rFonts w:ascii="Calibri" w:hAnsi="Calibri" w:eastAsia="宋体" w:cs="Times New Roman"/>
    </w:rPr>
  </w:style>
  <w:style w:type="character" w:customStyle="1" w:styleId="939">
    <w:name w:val="日期 Char1"/>
    <w:autoRedefine/>
    <w:qFormat/>
    <w:uiPriority w:val="0"/>
    <w:rPr>
      <w:rFonts w:ascii="Calibri" w:hAnsi="Calibri" w:eastAsia="宋体" w:cs="Times New Roman"/>
    </w:rPr>
  </w:style>
  <w:style w:type="character" w:customStyle="1" w:styleId="940">
    <w:name w:val="9css21"/>
    <w:autoRedefine/>
    <w:qFormat/>
    <w:uiPriority w:val="0"/>
    <w:rPr>
      <w:spacing w:val="268"/>
      <w:sz w:val="20"/>
      <w:szCs w:val="20"/>
    </w:rPr>
  </w:style>
  <w:style w:type="character" w:customStyle="1" w:styleId="941">
    <w:name w:val="Balloon Text Char"/>
    <w:autoRedefine/>
    <w:qFormat/>
    <w:locked/>
    <w:uiPriority w:val="0"/>
    <w:rPr>
      <w:rFonts w:ascii="宋体" w:hAnsi="宋体" w:eastAsia="宋体"/>
      <w:kern w:val="2"/>
      <w:sz w:val="18"/>
      <w:szCs w:val="18"/>
      <w:lang w:val="en-US" w:eastAsia="zh-CN" w:bidi="ar-SA"/>
    </w:rPr>
  </w:style>
  <w:style w:type="character" w:customStyle="1" w:styleId="942">
    <w:name w:val="文档结构图 Char4"/>
    <w:autoRedefine/>
    <w:qFormat/>
    <w:uiPriority w:val="0"/>
    <w:rPr>
      <w:rFonts w:ascii="Times New Roman" w:hAnsi="Times New Roman" w:eastAsia="宋体" w:cs="Times New Roman"/>
      <w:kern w:val="2"/>
      <w:sz w:val="24"/>
      <w:szCs w:val="24"/>
      <w:shd w:val="clear" w:color="auto" w:fill="000080"/>
      <w:lang w:val="en-US" w:eastAsia="zh-CN" w:bidi="ar-SA"/>
    </w:rPr>
  </w:style>
  <w:style w:type="character" w:customStyle="1" w:styleId="943">
    <w:name w:val="目标题 1) Char1"/>
    <w:autoRedefine/>
    <w:qFormat/>
    <w:locked/>
    <w:uiPriority w:val="0"/>
    <w:rPr>
      <w:rFonts w:ascii="Arial" w:hAnsi="Arial" w:eastAsia="黑体"/>
      <w:sz w:val="24"/>
      <w:lang w:val="en-US" w:eastAsia="zh-CN" w:bidi="ar-SA"/>
    </w:rPr>
  </w:style>
  <w:style w:type="character" w:customStyle="1" w:styleId="944">
    <w:name w:val="tex-biaoti1"/>
    <w:autoRedefine/>
    <w:qFormat/>
    <w:uiPriority w:val="0"/>
  </w:style>
  <w:style w:type="character" w:customStyle="1" w:styleId="945">
    <w:name w:val="表题1 Char62"/>
    <w:autoRedefine/>
    <w:qFormat/>
    <w:uiPriority w:val="0"/>
    <w:rPr>
      <w:rFonts w:ascii="黑体" w:hAnsi="Arial" w:eastAsia="黑体" w:cs="Arial"/>
      <w:b/>
      <w:kern w:val="2"/>
      <w:sz w:val="24"/>
      <w:szCs w:val="24"/>
      <w:lang w:val="en-US" w:eastAsia="zh-CN" w:bidi="ar-SA"/>
    </w:rPr>
  </w:style>
  <w:style w:type="character" w:customStyle="1" w:styleId="946">
    <w:name w:val="Char Char"/>
    <w:autoRedefine/>
    <w:qFormat/>
    <w:uiPriority w:val="0"/>
    <w:rPr>
      <w:rFonts w:ascii="Times New Roman" w:hAnsi="Times New Roman"/>
      <w:kern w:val="2"/>
      <w:sz w:val="24"/>
      <w:szCs w:val="24"/>
    </w:rPr>
  </w:style>
  <w:style w:type="character" w:customStyle="1" w:styleId="947">
    <w:name w:val="jj1"/>
    <w:basedOn w:val="90"/>
    <w:autoRedefine/>
    <w:qFormat/>
    <w:uiPriority w:val="0"/>
  </w:style>
  <w:style w:type="character" w:customStyle="1" w:styleId="948">
    <w:name w:val="段 Char"/>
    <w:link w:val="949"/>
    <w:autoRedefine/>
    <w:qFormat/>
    <w:uiPriority w:val="0"/>
    <w:rPr>
      <w:rFonts w:ascii="宋体"/>
      <w:sz w:val="24"/>
      <w:szCs w:val="24"/>
    </w:rPr>
  </w:style>
  <w:style w:type="paragraph" w:customStyle="1" w:styleId="949">
    <w:name w:val="段"/>
    <w:basedOn w:val="1"/>
    <w:link w:val="948"/>
    <w:autoRedefine/>
    <w:qFormat/>
    <w:uiPriority w:val="0"/>
    <w:pPr>
      <w:ind w:firstLine="200" w:firstLineChars="200"/>
      <w:jc w:val="left"/>
    </w:pPr>
    <w:rPr>
      <w:rFonts w:ascii="宋体"/>
      <w:kern w:val="0"/>
      <w:sz w:val="24"/>
      <w:lang w:val="zh-CN"/>
    </w:rPr>
  </w:style>
  <w:style w:type="character" w:customStyle="1" w:styleId="950">
    <w:name w:val="x1"/>
    <w:basedOn w:val="90"/>
    <w:autoRedefine/>
    <w:qFormat/>
    <w:uiPriority w:val="0"/>
  </w:style>
  <w:style w:type="character" w:customStyle="1" w:styleId="951">
    <w:name w:val="正文1-1 Char"/>
    <w:link w:val="952"/>
    <w:autoRedefine/>
    <w:qFormat/>
    <w:uiPriority w:val="0"/>
    <w:rPr>
      <w:rFonts w:eastAsia="仿宋_GB2312"/>
      <w:sz w:val="28"/>
    </w:rPr>
  </w:style>
  <w:style w:type="paragraph" w:customStyle="1" w:styleId="952">
    <w:name w:val="正文1-1"/>
    <w:basedOn w:val="1"/>
    <w:link w:val="951"/>
    <w:autoRedefine/>
    <w:qFormat/>
    <w:uiPriority w:val="0"/>
    <w:pPr>
      <w:widowControl/>
      <w:snapToGrid w:val="0"/>
      <w:spacing w:line="360" w:lineRule="auto"/>
      <w:ind w:firstLine="200" w:firstLineChars="200"/>
      <w:jc w:val="left"/>
    </w:pPr>
    <w:rPr>
      <w:rFonts w:eastAsia="仿宋_GB2312"/>
      <w:kern w:val="0"/>
      <w:sz w:val="28"/>
      <w:szCs w:val="20"/>
      <w:lang w:val="zh-CN"/>
    </w:rPr>
  </w:style>
  <w:style w:type="character" w:customStyle="1" w:styleId="953">
    <w:name w:val="样式 标题 2节标题 1.1节第一章 标题 2Heading 2 HiddenHeading 2 CCBSheadi... Char Char"/>
    <w:link w:val="954"/>
    <w:autoRedefine/>
    <w:qFormat/>
    <w:uiPriority w:val="0"/>
    <w:rPr>
      <w:rFonts w:ascii="Arial" w:hAnsi="Arial"/>
      <w:b/>
      <w:bCs/>
      <w:sz w:val="30"/>
      <w:szCs w:val="32"/>
    </w:rPr>
  </w:style>
  <w:style w:type="paragraph" w:customStyle="1" w:styleId="954">
    <w:name w:val="样式 标题 2节标题 1.1节第一章 标题 2Heading 2 HiddenHeading 2 CCBSheadi..."/>
    <w:basedOn w:val="4"/>
    <w:link w:val="953"/>
    <w:autoRedefine/>
    <w:qFormat/>
    <w:uiPriority w:val="0"/>
    <w:pPr>
      <w:spacing w:beforeLines="50" w:after="0" w:line="480" w:lineRule="auto"/>
    </w:pPr>
    <w:rPr>
      <w:rFonts w:ascii="Arial" w:hAnsi="Arial"/>
      <w:sz w:val="30"/>
    </w:rPr>
  </w:style>
  <w:style w:type="character" w:customStyle="1" w:styleId="955">
    <w:name w:val="标题 3 Char2"/>
    <w:autoRedefine/>
    <w:qFormat/>
    <w:uiPriority w:val="0"/>
    <w:rPr>
      <w:rFonts w:eastAsia="宋体"/>
      <w:b/>
      <w:kern w:val="2"/>
      <w:sz w:val="32"/>
      <w:lang w:val="en-US" w:eastAsia="zh-CN"/>
    </w:rPr>
  </w:style>
  <w:style w:type="character" w:customStyle="1" w:styleId="956">
    <w:name w:val="style611"/>
    <w:autoRedefine/>
    <w:qFormat/>
    <w:uiPriority w:val="0"/>
    <w:rPr>
      <w:rFonts w:eastAsia="宋体"/>
      <w:color w:val="000000"/>
      <w:kern w:val="2"/>
      <w:sz w:val="28"/>
      <w:szCs w:val="28"/>
      <w:lang w:val="en-US" w:eastAsia="zh-CN" w:bidi="ar-SA"/>
    </w:rPr>
  </w:style>
  <w:style w:type="character" w:customStyle="1" w:styleId="957">
    <w:name w:val="表中文字 Char1"/>
    <w:link w:val="958"/>
    <w:autoRedefine/>
    <w:qFormat/>
    <w:uiPriority w:val="0"/>
  </w:style>
  <w:style w:type="paragraph" w:customStyle="1" w:styleId="958">
    <w:name w:val="表中文字"/>
    <w:basedOn w:val="1"/>
    <w:link w:val="957"/>
    <w:autoRedefine/>
    <w:qFormat/>
    <w:uiPriority w:val="0"/>
    <w:pPr>
      <w:jc w:val="center"/>
    </w:pPr>
    <w:rPr>
      <w:kern w:val="0"/>
      <w:sz w:val="20"/>
      <w:szCs w:val="20"/>
    </w:rPr>
  </w:style>
  <w:style w:type="character" w:customStyle="1" w:styleId="959">
    <w:name w:val="e91"/>
    <w:autoRedefine/>
    <w:qFormat/>
    <w:uiPriority w:val="0"/>
    <w:rPr>
      <w:rFonts w:hint="default" w:ascii="Arial" w:hAnsi="Arial" w:eastAsia="仿宋_GB2312" w:cs="Arial"/>
      <w:spacing w:val="10"/>
      <w:kern w:val="2"/>
      <w:sz w:val="21"/>
      <w:szCs w:val="21"/>
      <w:lang w:val="zh-CN" w:eastAsia="zh-CN" w:bidi="ar-SA"/>
    </w:rPr>
  </w:style>
  <w:style w:type="character" w:customStyle="1" w:styleId="960">
    <w:name w:val="style10"/>
    <w:basedOn w:val="90"/>
    <w:autoRedefine/>
    <w:qFormat/>
    <w:uiPriority w:val="0"/>
  </w:style>
  <w:style w:type="character" w:customStyle="1" w:styleId="961">
    <w:name w:val="正文aa Char"/>
    <w:autoRedefine/>
    <w:qFormat/>
    <w:uiPriority w:val="0"/>
    <w:rPr>
      <w:rFonts w:ascii="仿宋_GB2312" w:hAnsi="黑体" w:eastAsia="宋体"/>
      <w:spacing w:val="10"/>
      <w:kern w:val="2"/>
      <w:sz w:val="24"/>
      <w:szCs w:val="24"/>
      <w:lang w:val="en-US" w:eastAsia="zh-CN" w:bidi="ar-SA"/>
    </w:rPr>
  </w:style>
  <w:style w:type="character" w:customStyle="1" w:styleId="962">
    <w:name w:val="edit"/>
    <w:autoRedefine/>
    <w:qFormat/>
    <w:uiPriority w:val="0"/>
    <w:rPr>
      <w:rFonts w:eastAsia="宋体"/>
      <w:kern w:val="2"/>
      <w:sz w:val="28"/>
      <w:szCs w:val="28"/>
      <w:lang w:val="en-US" w:eastAsia="zh-CN" w:bidi="ar-SA"/>
    </w:rPr>
  </w:style>
  <w:style w:type="character" w:customStyle="1" w:styleId="963">
    <w:name w:val="unnamed11"/>
    <w:autoRedefine/>
    <w:qFormat/>
    <w:uiPriority w:val="0"/>
    <w:rPr>
      <w:sz w:val="18"/>
      <w:szCs w:val="18"/>
      <w:u w:val="none"/>
    </w:rPr>
  </w:style>
  <w:style w:type="character" w:customStyle="1" w:styleId="964">
    <w:name w:val="正文缩进2"/>
    <w:autoRedefine/>
    <w:qFormat/>
    <w:uiPriority w:val="0"/>
  </w:style>
  <w:style w:type="character" w:customStyle="1" w:styleId="965">
    <w:name w:val="副标题1"/>
    <w:autoRedefine/>
    <w:qFormat/>
    <w:uiPriority w:val="0"/>
    <w:rPr>
      <w:rFonts w:eastAsia="宋体"/>
      <w:kern w:val="2"/>
      <w:sz w:val="28"/>
      <w:szCs w:val="28"/>
      <w:lang w:val="en-US" w:eastAsia="zh-CN" w:bidi="ar-SA"/>
    </w:rPr>
  </w:style>
  <w:style w:type="character" w:customStyle="1" w:styleId="966">
    <w:name w:val="Char Char20"/>
    <w:autoRedefine/>
    <w:qFormat/>
    <w:uiPriority w:val="0"/>
    <w:rPr>
      <w:rFonts w:ascii="宋体" w:hAnsi="黑体" w:eastAsia="宋体"/>
      <w:b/>
      <w:spacing w:val="10"/>
      <w:kern w:val="44"/>
      <w:sz w:val="18"/>
      <w:szCs w:val="18"/>
      <w:lang w:val="en-US" w:eastAsia="zh-CN" w:bidi="ar-SA"/>
    </w:rPr>
  </w:style>
  <w:style w:type="character" w:customStyle="1" w:styleId="967">
    <w:name w:val="标题 Char1"/>
    <w:autoRedefine/>
    <w:qFormat/>
    <w:uiPriority w:val="10"/>
    <w:rPr>
      <w:rFonts w:ascii="Arial" w:hAnsi="Arial" w:cs="Arial"/>
      <w:b/>
      <w:bCs/>
      <w:kern w:val="2"/>
      <w:sz w:val="32"/>
      <w:szCs w:val="32"/>
    </w:rPr>
  </w:style>
  <w:style w:type="character" w:customStyle="1" w:styleId="968">
    <w:name w:val="announ-title"/>
    <w:autoRedefine/>
    <w:qFormat/>
    <w:uiPriority w:val="0"/>
    <w:rPr>
      <w:rFonts w:eastAsia="宋体"/>
      <w:kern w:val="2"/>
      <w:sz w:val="28"/>
      <w:szCs w:val="28"/>
      <w:lang w:val="en-US" w:eastAsia="zh-CN" w:bidi="ar-SA"/>
    </w:rPr>
  </w:style>
  <w:style w:type="character" w:customStyle="1" w:styleId="969">
    <w:name w:val="普通文字 Char Char"/>
    <w:autoRedefine/>
    <w:qFormat/>
    <w:uiPriority w:val="0"/>
    <w:rPr>
      <w:rFonts w:ascii="宋体" w:hAnsi="Courier New" w:eastAsia="宋体"/>
      <w:kern w:val="2"/>
      <w:sz w:val="21"/>
      <w:lang w:val="en-US" w:eastAsia="zh-CN"/>
    </w:rPr>
  </w:style>
  <w:style w:type="character" w:customStyle="1" w:styleId="970">
    <w:name w:val="indetail1"/>
    <w:autoRedefine/>
    <w:qFormat/>
    <w:uiPriority w:val="0"/>
    <w:rPr>
      <w:sz w:val="18"/>
      <w:szCs w:val="18"/>
      <w:bdr w:val="single" w:color="E2E2E2" w:sz="6" w:space="0"/>
    </w:rPr>
  </w:style>
  <w:style w:type="character" w:customStyle="1" w:styleId="971">
    <w:name w:val="正文文字 Char"/>
    <w:link w:val="972"/>
    <w:autoRedefine/>
    <w:qFormat/>
    <w:uiPriority w:val="0"/>
    <w:rPr>
      <w:rFonts w:ascii="仿宋_GB2312" w:hAnsi="Arial Black" w:eastAsia="仿宋_GB2312"/>
      <w:sz w:val="28"/>
    </w:rPr>
  </w:style>
  <w:style w:type="paragraph" w:customStyle="1" w:styleId="972">
    <w:name w:val="正文文字"/>
    <w:basedOn w:val="1"/>
    <w:link w:val="971"/>
    <w:autoRedefine/>
    <w:qFormat/>
    <w:uiPriority w:val="0"/>
    <w:pPr>
      <w:adjustRightInd w:val="0"/>
      <w:spacing w:line="360" w:lineRule="auto"/>
      <w:jc w:val="left"/>
      <w:textAlignment w:val="baseline"/>
    </w:pPr>
    <w:rPr>
      <w:rFonts w:ascii="仿宋_GB2312" w:hAnsi="Arial Black" w:eastAsia="仿宋_GB2312"/>
      <w:kern w:val="0"/>
      <w:sz w:val="28"/>
      <w:szCs w:val="20"/>
      <w:lang w:val="zh-CN"/>
    </w:rPr>
  </w:style>
  <w:style w:type="character" w:customStyle="1" w:styleId="973">
    <w:name w:val="表格标题2 Char Char"/>
    <w:link w:val="974"/>
    <w:autoRedefine/>
    <w:qFormat/>
    <w:uiPriority w:val="0"/>
    <w:rPr>
      <w:rFonts w:ascii="Arial" w:hAnsi="Arial"/>
      <w:sz w:val="28"/>
      <w:szCs w:val="24"/>
    </w:rPr>
  </w:style>
  <w:style w:type="paragraph" w:customStyle="1" w:styleId="974">
    <w:name w:val="表格标题2 Char"/>
    <w:basedOn w:val="1"/>
    <w:link w:val="973"/>
    <w:autoRedefine/>
    <w:qFormat/>
    <w:uiPriority w:val="0"/>
    <w:pPr>
      <w:tabs>
        <w:tab w:val="center" w:pos="6832"/>
        <w:tab w:val="right" w:pos="13608"/>
      </w:tabs>
      <w:spacing w:after="60" w:line="312" w:lineRule="auto"/>
      <w:ind w:left="5" w:hanging="5"/>
    </w:pPr>
    <w:rPr>
      <w:rFonts w:ascii="Arial" w:hAnsi="Arial"/>
      <w:kern w:val="0"/>
      <w:sz w:val="28"/>
      <w:lang w:val="zh-CN"/>
    </w:rPr>
  </w:style>
  <w:style w:type="character" w:customStyle="1" w:styleId="975">
    <w:name w:val="正文1"/>
    <w:autoRedefine/>
    <w:qFormat/>
    <w:uiPriority w:val="0"/>
    <w:rPr>
      <w:rFonts w:hint="eastAsia" w:ascii="宋体" w:hAnsi="宋体" w:eastAsia="宋体"/>
      <w:color w:val="000000"/>
      <w:sz w:val="22"/>
      <w:szCs w:val="22"/>
    </w:rPr>
  </w:style>
  <w:style w:type="character" w:customStyle="1" w:styleId="976">
    <w:name w:val="样式 标题 2节 + 宋体 左 Char Char1"/>
    <w:autoRedefine/>
    <w:qFormat/>
    <w:uiPriority w:val="0"/>
    <w:rPr>
      <w:rFonts w:ascii="宋体" w:hAnsi="宋体" w:eastAsia="宋体" w:cs="宋体"/>
      <w:b/>
      <w:bCs/>
      <w:kern w:val="2"/>
      <w:sz w:val="28"/>
      <w:szCs w:val="24"/>
      <w:lang w:val="en-US" w:eastAsia="zh-CN" w:bidi="ar-SA"/>
    </w:rPr>
  </w:style>
  <w:style w:type="character" w:customStyle="1" w:styleId="977">
    <w:name w:val="p141"/>
    <w:autoRedefine/>
    <w:qFormat/>
    <w:uiPriority w:val="0"/>
    <w:rPr>
      <w:sz w:val="21"/>
      <w:szCs w:val="21"/>
    </w:rPr>
  </w:style>
  <w:style w:type="character" w:customStyle="1" w:styleId="978">
    <w:name w:val="sect 1.23 Char"/>
    <w:autoRedefine/>
    <w:qFormat/>
    <w:uiPriority w:val="0"/>
    <w:rPr>
      <w:rFonts w:ascii="仿宋_GB2312" w:hAnsi="Times New Roman" w:eastAsia="仿宋_GB2312" w:cs="Times New Roman"/>
      <w:b/>
      <w:sz w:val="28"/>
      <w:szCs w:val="20"/>
    </w:rPr>
  </w:style>
  <w:style w:type="character" w:customStyle="1" w:styleId="979">
    <w:name w:val="Char Char1"/>
    <w:autoRedefine/>
    <w:qFormat/>
    <w:uiPriority w:val="0"/>
    <w:rPr>
      <w:rFonts w:ascii="Arial" w:hAnsi="Arial" w:eastAsia="宋体" w:cs="Arial"/>
      <w:b/>
      <w:bCs/>
      <w:kern w:val="2"/>
      <w:sz w:val="32"/>
      <w:szCs w:val="32"/>
      <w:lang w:val="en-US" w:eastAsia="zh-CN" w:bidi="ar-SA"/>
    </w:rPr>
  </w:style>
  <w:style w:type="character" w:customStyle="1" w:styleId="980">
    <w:name w:val="ourfont3"/>
    <w:basedOn w:val="90"/>
    <w:autoRedefine/>
    <w:qFormat/>
    <w:uiPriority w:val="0"/>
  </w:style>
  <w:style w:type="character" w:customStyle="1" w:styleId="981">
    <w:name w:val="第一层条 Char5"/>
    <w:autoRedefine/>
    <w:qFormat/>
    <w:uiPriority w:val="0"/>
    <w:rPr>
      <w:rFonts w:ascii="仿宋_GB2312" w:eastAsia="仿宋_GB2312"/>
      <w:b/>
      <w:kern w:val="2"/>
      <w:sz w:val="28"/>
      <w:lang w:val="en-US" w:eastAsia="zh-CN" w:bidi="ar-SA"/>
    </w:rPr>
  </w:style>
  <w:style w:type="character" w:customStyle="1" w:styleId="982">
    <w:name w:val="a11"/>
    <w:basedOn w:val="90"/>
    <w:autoRedefine/>
    <w:qFormat/>
    <w:uiPriority w:val="0"/>
  </w:style>
  <w:style w:type="character" w:customStyle="1" w:styleId="983">
    <w:name w:val="第一层条 Char4"/>
    <w:autoRedefine/>
    <w:qFormat/>
    <w:uiPriority w:val="0"/>
    <w:rPr>
      <w:rFonts w:ascii="仿宋_GB2312" w:eastAsia="仿宋_GB2312"/>
      <w:b/>
      <w:kern w:val="2"/>
      <w:sz w:val="28"/>
      <w:lang w:val="en-US" w:eastAsia="zh-CN" w:bidi="ar-SA"/>
    </w:rPr>
  </w:style>
  <w:style w:type="character" w:customStyle="1" w:styleId="984">
    <w:name w:val="haogao1"/>
    <w:basedOn w:val="90"/>
    <w:autoRedefine/>
    <w:qFormat/>
    <w:uiPriority w:val="0"/>
  </w:style>
  <w:style w:type="character" w:customStyle="1" w:styleId="985">
    <w:name w:val="Char Char3"/>
    <w:autoRedefine/>
    <w:qFormat/>
    <w:uiPriority w:val="0"/>
    <w:rPr>
      <w:rFonts w:ascii="黑体" w:hAnsi="宋体" w:eastAsia="黑体"/>
      <w:b/>
      <w:bCs/>
      <w:kern w:val="2"/>
      <w:sz w:val="28"/>
      <w:szCs w:val="28"/>
      <w:lang w:val="en-US" w:eastAsia="zh-CN" w:bidi="ar-SA"/>
    </w:rPr>
  </w:style>
  <w:style w:type="character" w:customStyle="1" w:styleId="986">
    <w:name w:val="正文（首行缩进两字） Char Char1 Char"/>
    <w:autoRedefine/>
    <w:qFormat/>
    <w:uiPriority w:val="0"/>
    <w:rPr>
      <w:rFonts w:ascii="仿宋_GB2312" w:eastAsia="仿宋_GB2312"/>
      <w:color w:val="000000"/>
      <w:kern w:val="2"/>
      <w:sz w:val="28"/>
      <w:szCs w:val="24"/>
      <w:lang w:val="en-US" w:eastAsia="zh-CN" w:bidi="ar-SA"/>
    </w:rPr>
  </w:style>
  <w:style w:type="character" w:customStyle="1" w:styleId="987">
    <w:name w:val="表中文字 Char"/>
    <w:link w:val="988"/>
    <w:autoRedefine/>
    <w:qFormat/>
    <w:uiPriority w:val="0"/>
    <w:rPr>
      <w:rFonts w:ascii="Arial" w:hAnsi="Arial"/>
      <w:szCs w:val="24"/>
      <w:lang w:eastAsia="zh-TW"/>
    </w:rPr>
  </w:style>
  <w:style w:type="paragraph" w:customStyle="1" w:styleId="988">
    <w:name w:val="表中文字4"/>
    <w:basedOn w:val="1"/>
    <w:link w:val="987"/>
    <w:autoRedefine/>
    <w:qFormat/>
    <w:uiPriority w:val="0"/>
    <w:pPr>
      <w:snapToGrid w:val="0"/>
      <w:spacing w:line="340" w:lineRule="exact"/>
      <w:ind w:firstLine="480" w:firstLineChars="200"/>
      <w:jc w:val="center"/>
    </w:pPr>
    <w:rPr>
      <w:rFonts w:ascii="Arial" w:hAnsi="Arial"/>
      <w:kern w:val="0"/>
      <w:sz w:val="20"/>
      <w:lang w:val="zh-CN" w:eastAsia="zh-TW"/>
    </w:rPr>
  </w:style>
  <w:style w:type="character" w:customStyle="1" w:styleId="989">
    <w:name w:val="3xi"/>
    <w:basedOn w:val="90"/>
    <w:autoRedefine/>
    <w:qFormat/>
    <w:uiPriority w:val="0"/>
  </w:style>
  <w:style w:type="character" w:customStyle="1" w:styleId="990">
    <w:name w:val="图题注 Char"/>
    <w:link w:val="991"/>
    <w:autoRedefine/>
    <w:qFormat/>
    <w:uiPriority w:val="0"/>
    <w:rPr>
      <w:rFonts w:ascii="黑体" w:hAnsi="Arial" w:eastAsia="黑体" w:cs="宋体"/>
      <w:b/>
      <w:bCs/>
      <w:sz w:val="24"/>
      <w:szCs w:val="24"/>
    </w:rPr>
  </w:style>
  <w:style w:type="paragraph" w:customStyle="1" w:styleId="991">
    <w:name w:val="图题注"/>
    <w:basedOn w:val="22"/>
    <w:link w:val="990"/>
    <w:autoRedefine/>
    <w:qFormat/>
    <w:uiPriority w:val="0"/>
    <w:pPr>
      <w:widowControl w:val="0"/>
      <w:spacing w:after="0" w:line="240" w:lineRule="auto"/>
      <w:ind w:left="0" w:right="0" w:firstLine="0"/>
      <w:jc w:val="center"/>
    </w:pPr>
    <w:rPr>
      <w:rFonts w:ascii="黑体" w:hAnsi="Arial"/>
      <w:b/>
      <w:bCs/>
      <w:color w:val="auto"/>
      <w:sz w:val="24"/>
      <w:szCs w:val="24"/>
    </w:rPr>
  </w:style>
  <w:style w:type="character" w:customStyle="1" w:styleId="992">
    <w:name w:val="正文（首行缩进两字） Char Char Char Char Char Char Char Char Char2"/>
    <w:autoRedefine/>
    <w:qFormat/>
    <w:uiPriority w:val="0"/>
    <w:rPr>
      <w:rFonts w:ascii="仿宋_GB2312" w:eastAsia="仿宋_GB2312"/>
      <w:color w:val="000000"/>
      <w:kern w:val="2"/>
      <w:sz w:val="28"/>
      <w:szCs w:val="24"/>
      <w:lang w:val="en-US" w:eastAsia="zh-CN" w:bidi="ar-SA"/>
    </w:rPr>
  </w:style>
  <w:style w:type="character" w:customStyle="1" w:styleId="993">
    <w:name w:val="图表题 Char"/>
    <w:link w:val="994"/>
    <w:autoRedefine/>
    <w:qFormat/>
    <w:uiPriority w:val="0"/>
    <w:rPr>
      <w:rFonts w:ascii="黑体" w:hAnsi="宋体" w:eastAsia="黑体" w:cs="宋体"/>
      <w:b/>
      <w:bCs/>
      <w:spacing w:val="10"/>
      <w:sz w:val="24"/>
      <w:szCs w:val="24"/>
    </w:rPr>
  </w:style>
  <w:style w:type="paragraph" w:customStyle="1" w:styleId="994">
    <w:name w:val="图表题"/>
    <w:basedOn w:val="418"/>
    <w:next w:val="418"/>
    <w:link w:val="993"/>
    <w:autoRedefine/>
    <w:qFormat/>
    <w:uiPriority w:val="0"/>
    <w:pPr>
      <w:ind w:firstLine="0"/>
      <w:jc w:val="center"/>
    </w:pPr>
    <w:rPr>
      <w:rFonts w:ascii="黑体" w:hAnsi="宋体" w:eastAsia="黑体"/>
      <w:bCs/>
      <w:sz w:val="24"/>
      <w:szCs w:val="24"/>
    </w:rPr>
  </w:style>
  <w:style w:type="character" w:customStyle="1" w:styleId="995">
    <w:name w:val="Char Char2"/>
    <w:autoRedefine/>
    <w:qFormat/>
    <w:uiPriority w:val="0"/>
    <w:rPr>
      <w:rFonts w:ascii="Arial" w:hAnsi="Arial" w:eastAsia="宋体" w:cs="Arial"/>
      <w:b/>
      <w:bCs/>
      <w:kern w:val="2"/>
      <w:sz w:val="36"/>
      <w:szCs w:val="32"/>
      <w:lang w:val="en-US" w:eastAsia="zh-CN" w:bidi="ar-SA"/>
    </w:rPr>
  </w:style>
  <w:style w:type="character" w:customStyle="1" w:styleId="996">
    <w:name w:val="color2"/>
    <w:autoRedefine/>
    <w:qFormat/>
    <w:uiPriority w:val="0"/>
    <w:rPr>
      <w:rFonts w:eastAsia="宋体"/>
      <w:kern w:val="2"/>
      <w:sz w:val="28"/>
      <w:szCs w:val="28"/>
      <w:lang w:val="en-US" w:eastAsia="zh-CN" w:bidi="ar-SA"/>
    </w:rPr>
  </w:style>
  <w:style w:type="character" w:customStyle="1" w:styleId="997">
    <w:name w:val="style41"/>
    <w:autoRedefine/>
    <w:qFormat/>
    <w:uiPriority w:val="0"/>
    <w:rPr>
      <w:rFonts w:hint="eastAsia" w:ascii="黑体" w:eastAsia="黑体"/>
    </w:rPr>
  </w:style>
  <w:style w:type="character" w:customStyle="1" w:styleId="998">
    <w:name w:val="z1"/>
    <w:autoRedefine/>
    <w:qFormat/>
    <w:uiPriority w:val="0"/>
    <w:rPr>
      <w:rFonts w:eastAsia="宋体"/>
      <w:spacing w:val="400"/>
      <w:kern w:val="2"/>
      <w:sz w:val="18"/>
      <w:szCs w:val="18"/>
      <w:lang w:val="en-US" w:eastAsia="zh-CN" w:bidi="ar-SA"/>
    </w:rPr>
  </w:style>
  <w:style w:type="character" w:customStyle="1" w:styleId="999">
    <w:name w:val="正文文字 Char1"/>
    <w:autoRedefine/>
    <w:qFormat/>
    <w:uiPriority w:val="0"/>
    <w:rPr>
      <w:rFonts w:ascii="仿宋_GB2312" w:eastAsia="仿宋_GB2312"/>
      <w:kern w:val="2"/>
      <w:sz w:val="24"/>
      <w:szCs w:val="24"/>
      <w:lang w:val="en-US" w:eastAsia="zh-CN" w:bidi="ar-SA"/>
    </w:rPr>
  </w:style>
  <w:style w:type="character" w:customStyle="1" w:styleId="1000">
    <w:name w:val="样式 表格内字体 + Char"/>
    <w:link w:val="1001"/>
    <w:autoRedefine/>
    <w:qFormat/>
    <w:uiPriority w:val="0"/>
    <w:rPr>
      <w:rFonts w:ascii="宋体" w:hAnsi="宋体"/>
      <w:szCs w:val="24"/>
    </w:rPr>
  </w:style>
  <w:style w:type="paragraph" w:customStyle="1" w:styleId="1001">
    <w:name w:val="样式 表格内字体 +"/>
    <w:basedOn w:val="417"/>
    <w:link w:val="1000"/>
    <w:autoRedefine/>
    <w:qFormat/>
    <w:uiPriority w:val="0"/>
    <w:pPr>
      <w:spacing w:line="280" w:lineRule="exact"/>
      <w:ind w:firstLine="36"/>
      <w:jc w:val="both"/>
    </w:pPr>
  </w:style>
  <w:style w:type="character" w:customStyle="1" w:styleId="1002">
    <w:name w:val="正文首行缩进 Char6"/>
    <w:autoRedefine/>
    <w:qFormat/>
    <w:uiPriority w:val="0"/>
    <w:rPr>
      <w:rFonts w:ascii="Times New Roman" w:hAnsi="Times New Roman" w:eastAsia="宋体" w:cs="Times New Roman"/>
      <w:kern w:val="2"/>
      <w:sz w:val="18"/>
      <w:szCs w:val="24"/>
    </w:rPr>
  </w:style>
  <w:style w:type="character" w:customStyle="1" w:styleId="1003">
    <w:name w:val="标题正文黑 Char"/>
    <w:autoRedefine/>
    <w:qFormat/>
    <w:uiPriority w:val="0"/>
    <w:rPr>
      <w:rFonts w:ascii="黑体" w:eastAsia="黑体"/>
      <w:kern w:val="2"/>
      <w:sz w:val="28"/>
      <w:szCs w:val="28"/>
      <w:lang w:val="en-US" w:eastAsia="zh-CN" w:bidi="ar-SA"/>
    </w:rPr>
  </w:style>
  <w:style w:type="character" w:customStyle="1" w:styleId="1004">
    <w:name w:val="3dgrame"/>
    <w:basedOn w:val="90"/>
    <w:autoRedefine/>
    <w:qFormat/>
    <w:uiPriority w:val="0"/>
  </w:style>
  <w:style w:type="character" w:customStyle="1" w:styleId="1005">
    <w:name w:val="正文修改 Char132"/>
    <w:autoRedefine/>
    <w:qFormat/>
    <w:uiPriority w:val="0"/>
    <w:rPr>
      <w:rFonts w:ascii="宋体" w:hAnsi="宋体" w:eastAsia="宋体" w:cs="宋体"/>
      <w:color w:val="000000"/>
      <w:sz w:val="24"/>
      <w:szCs w:val="24"/>
    </w:rPr>
  </w:style>
  <w:style w:type="character" w:customStyle="1" w:styleId="1006">
    <w:name w:val="燕山正文 Char11"/>
    <w:autoRedefine/>
    <w:qFormat/>
    <w:uiPriority w:val="0"/>
    <w:rPr>
      <w:rFonts w:ascii="宋体" w:eastAsia="宋体" w:cs="宋体"/>
      <w:kern w:val="2"/>
      <w:sz w:val="24"/>
      <w:szCs w:val="24"/>
      <w:lang w:val="en-US" w:eastAsia="zh-CN" w:bidi="ar-SA"/>
    </w:rPr>
  </w:style>
  <w:style w:type="character" w:customStyle="1" w:styleId="1007">
    <w:name w:val="环正文 Char3"/>
    <w:autoRedefine/>
    <w:qFormat/>
    <w:uiPriority w:val="0"/>
    <w:rPr>
      <w:rFonts w:ascii="宋体" w:hAnsi="宋体" w:eastAsia="宋体" w:cs="Courier New"/>
      <w:sz w:val="24"/>
      <w:lang w:val="en-US" w:eastAsia="zh-CN" w:bidi="ar-SA"/>
    </w:rPr>
  </w:style>
  <w:style w:type="character" w:customStyle="1" w:styleId="1008">
    <w:name w:val="表格内字体 Char8"/>
    <w:autoRedefine/>
    <w:qFormat/>
    <w:uiPriority w:val="0"/>
    <w:rPr>
      <w:rFonts w:ascii="宋体" w:hAnsi="宋体" w:eastAsia="宋体"/>
      <w:kern w:val="2"/>
      <w:sz w:val="21"/>
      <w:szCs w:val="24"/>
      <w:lang w:val="en-US" w:eastAsia="zh-CN" w:bidi="ar-SA"/>
    </w:rPr>
  </w:style>
  <w:style w:type="character" w:customStyle="1" w:styleId="1009">
    <w:name w:val="标题 1 Char3"/>
    <w:autoRedefine/>
    <w:qFormat/>
    <w:uiPriority w:val="0"/>
    <w:rPr>
      <w:rFonts w:ascii="宋体" w:hAnsi="Courier New" w:eastAsia="宋体"/>
      <w:b/>
      <w:kern w:val="44"/>
      <w:sz w:val="44"/>
      <w:lang w:val="en-US" w:eastAsia="zh-CN" w:bidi="ar-SA"/>
    </w:rPr>
  </w:style>
  <w:style w:type="character" w:customStyle="1" w:styleId="1010">
    <w:name w:val="正文格式 Char2"/>
    <w:autoRedefine/>
    <w:qFormat/>
    <w:uiPriority w:val="0"/>
    <w:rPr>
      <w:rFonts w:ascii="宋体" w:hAnsi="宋体" w:eastAsia="宋体"/>
      <w:kern w:val="2"/>
      <w:sz w:val="24"/>
      <w:szCs w:val="24"/>
      <w:lang w:val="en-US" w:eastAsia="zh-CN" w:bidi="ar-SA"/>
    </w:rPr>
  </w:style>
  <w:style w:type="character" w:customStyle="1" w:styleId="1011">
    <w:name w:val="环正文 Char1"/>
    <w:autoRedefine/>
    <w:qFormat/>
    <w:uiPriority w:val="0"/>
    <w:rPr>
      <w:rFonts w:eastAsia="宋体"/>
      <w:color w:val="000000"/>
      <w:sz w:val="24"/>
      <w:szCs w:val="24"/>
      <w:lang w:val="en-US" w:eastAsia="zh-CN" w:bidi="ar-SA"/>
    </w:rPr>
  </w:style>
  <w:style w:type="character" w:customStyle="1" w:styleId="1012">
    <w:name w:val="表中文字 Char21"/>
    <w:autoRedefine/>
    <w:qFormat/>
    <w:uiPriority w:val="0"/>
    <w:rPr>
      <w:rFonts w:ascii="宋体" w:eastAsia="宋体"/>
      <w:kern w:val="2"/>
      <w:sz w:val="21"/>
      <w:szCs w:val="21"/>
      <w:lang w:val="en-US" w:eastAsia="zh-CN" w:bidi="ar-SA"/>
    </w:rPr>
  </w:style>
  <w:style w:type="character" w:customStyle="1" w:styleId="1013">
    <w:name w:val="unnamed31"/>
    <w:autoRedefine/>
    <w:qFormat/>
    <w:uiPriority w:val="0"/>
    <w:rPr>
      <w:sz w:val="21"/>
      <w:szCs w:val="21"/>
    </w:rPr>
  </w:style>
  <w:style w:type="character" w:customStyle="1" w:styleId="1014">
    <w:name w:val="批注框文本 Char2"/>
    <w:autoRedefine/>
    <w:qFormat/>
    <w:uiPriority w:val="0"/>
    <w:rPr>
      <w:rFonts w:eastAsia="宋体"/>
      <w:kern w:val="2"/>
      <w:sz w:val="18"/>
      <w:szCs w:val="18"/>
      <w:lang w:val="en-US" w:eastAsia="zh-CN" w:bidi="ar-SA"/>
    </w:rPr>
  </w:style>
  <w:style w:type="character" w:customStyle="1" w:styleId="1015">
    <w:name w:val="articletitle1"/>
    <w:autoRedefine/>
    <w:qFormat/>
    <w:uiPriority w:val="0"/>
    <w:rPr>
      <w:rFonts w:hint="default" w:ascii="MS Shell Dlg" w:hAnsi="MS Shell Dlg"/>
      <w:b/>
      <w:bCs/>
      <w:color w:val="666699"/>
      <w:sz w:val="32"/>
      <w:szCs w:val="32"/>
    </w:rPr>
  </w:style>
  <w:style w:type="character" w:customStyle="1" w:styleId="1016">
    <w:name w:val="A正文 Char"/>
    <w:link w:val="1017"/>
    <w:autoRedefine/>
    <w:qFormat/>
    <w:uiPriority w:val="0"/>
    <w:rPr>
      <w:rFonts w:eastAsia="仿宋_GB2312"/>
      <w:sz w:val="24"/>
      <w:szCs w:val="24"/>
    </w:rPr>
  </w:style>
  <w:style w:type="paragraph" w:customStyle="1" w:styleId="1017">
    <w:name w:val="A正文"/>
    <w:basedOn w:val="1"/>
    <w:link w:val="1016"/>
    <w:autoRedefine/>
    <w:qFormat/>
    <w:uiPriority w:val="0"/>
    <w:pPr>
      <w:widowControl/>
      <w:overflowPunct w:val="0"/>
      <w:autoSpaceDE w:val="0"/>
      <w:autoSpaceDN w:val="0"/>
      <w:adjustRightInd w:val="0"/>
      <w:spacing w:line="360" w:lineRule="auto"/>
      <w:ind w:firstLine="200" w:firstLineChars="200"/>
      <w:jc w:val="left"/>
      <w:textAlignment w:val="baseline"/>
    </w:pPr>
    <w:rPr>
      <w:rFonts w:eastAsia="仿宋_GB2312"/>
      <w:kern w:val="0"/>
      <w:sz w:val="24"/>
      <w:lang w:val="zh-CN"/>
    </w:rPr>
  </w:style>
  <w:style w:type="character" w:customStyle="1" w:styleId="1018">
    <w:name w:val="postbody"/>
    <w:basedOn w:val="90"/>
    <w:autoRedefine/>
    <w:qFormat/>
    <w:uiPriority w:val="0"/>
  </w:style>
  <w:style w:type="character" w:customStyle="1" w:styleId="1019">
    <w:name w:val="表格内字体 Char4"/>
    <w:autoRedefine/>
    <w:qFormat/>
    <w:uiPriority w:val="0"/>
    <w:rPr>
      <w:rFonts w:ascii="宋体" w:hAnsi="宋体" w:eastAsia="宋体"/>
      <w:kern w:val="2"/>
      <w:sz w:val="21"/>
      <w:szCs w:val="24"/>
      <w:lang w:val="en-US" w:eastAsia="zh-CN" w:bidi="ar-SA"/>
    </w:rPr>
  </w:style>
  <w:style w:type="character" w:customStyle="1" w:styleId="1020">
    <w:name w:val="f241"/>
    <w:autoRedefine/>
    <w:qFormat/>
    <w:uiPriority w:val="0"/>
    <w:rPr>
      <w:sz w:val="36"/>
      <w:szCs w:val="36"/>
    </w:rPr>
  </w:style>
  <w:style w:type="character" w:customStyle="1" w:styleId="1021">
    <w:name w:val="表格内字体 Char2"/>
    <w:autoRedefine/>
    <w:qFormat/>
    <w:uiPriority w:val="0"/>
    <w:rPr>
      <w:rFonts w:ascii="宋体" w:hAnsi="宋体" w:eastAsia="宋体"/>
      <w:kern w:val="2"/>
      <w:sz w:val="21"/>
      <w:szCs w:val="24"/>
      <w:lang w:val="en-US" w:eastAsia="zh-CN" w:bidi="ar-SA"/>
    </w:rPr>
  </w:style>
  <w:style w:type="character" w:customStyle="1" w:styleId="1022">
    <w:name w:val="px141"/>
    <w:autoRedefine/>
    <w:qFormat/>
    <w:uiPriority w:val="0"/>
    <w:rPr>
      <w:rFonts w:hint="default"/>
      <w:sz w:val="21"/>
      <w:szCs w:val="21"/>
    </w:rPr>
  </w:style>
  <w:style w:type="character" w:customStyle="1" w:styleId="1023">
    <w:name w:val="样式 黑色"/>
    <w:autoRedefine/>
    <w:qFormat/>
    <w:uiPriority w:val="0"/>
    <w:rPr>
      <w:rFonts w:eastAsia="宋体"/>
      <w:color w:val="auto"/>
      <w:kern w:val="2"/>
      <w:sz w:val="24"/>
      <w:szCs w:val="24"/>
      <w:lang w:val="en-US" w:eastAsia="zh-CN" w:bidi="ar-SA"/>
    </w:rPr>
  </w:style>
  <w:style w:type="character" w:customStyle="1" w:styleId="1024">
    <w:name w:val="环正文 Char4"/>
    <w:autoRedefine/>
    <w:qFormat/>
    <w:uiPriority w:val="0"/>
    <w:rPr>
      <w:rFonts w:ascii="宋体" w:hAnsi="宋体" w:eastAsia="宋体"/>
      <w:color w:val="000000"/>
      <w:sz w:val="24"/>
      <w:lang w:val="en-US" w:eastAsia="zh-CN" w:bidi="ar-SA"/>
    </w:rPr>
  </w:style>
  <w:style w:type="character" w:customStyle="1" w:styleId="1025">
    <w:name w:val="Char Char112"/>
    <w:autoRedefine/>
    <w:qFormat/>
    <w:uiPriority w:val="0"/>
    <w:rPr>
      <w:rFonts w:ascii="黑体" w:hAnsi="Arial" w:eastAsia="黑体"/>
      <w:bCs/>
      <w:kern w:val="2"/>
      <w:sz w:val="30"/>
      <w:szCs w:val="30"/>
      <w:lang w:val="en-US" w:eastAsia="zh-CN" w:bidi="ar-SA"/>
    </w:rPr>
  </w:style>
  <w:style w:type="character" w:customStyle="1" w:styleId="1026">
    <w:name w:val="样式 楷体_GB2312 四号"/>
    <w:autoRedefine/>
    <w:qFormat/>
    <w:uiPriority w:val="0"/>
    <w:rPr>
      <w:rFonts w:ascii="Times New Roman" w:hAnsi="Times New Roman" w:eastAsia="楷体_GB2312"/>
      <w:sz w:val="28"/>
      <w:szCs w:val="28"/>
    </w:rPr>
  </w:style>
  <w:style w:type="character" w:customStyle="1" w:styleId="1027">
    <w:name w:val="正文文本缩进 3 Char3"/>
    <w:autoRedefine/>
    <w:qFormat/>
    <w:uiPriority w:val="0"/>
    <w:rPr>
      <w:rFonts w:eastAsia="宋体"/>
      <w:kern w:val="2"/>
      <w:sz w:val="16"/>
      <w:szCs w:val="16"/>
      <w:lang w:val="en-US" w:eastAsia="zh-CN" w:bidi="ar-SA"/>
    </w:rPr>
  </w:style>
  <w:style w:type="character" w:customStyle="1" w:styleId="1028">
    <w:name w:val="表、图名 Char"/>
    <w:link w:val="1029"/>
    <w:autoRedefine/>
    <w:qFormat/>
    <w:uiPriority w:val="0"/>
    <w:rPr>
      <w:rFonts w:ascii="仿宋_GB2312" w:hAnsi="宋体" w:eastAsia="仿宋_GB2312"/>
      <w:color w:val="000000"/>
      <w:sz w:val="28"/>
      <w:szCs w:val="28"/>
    </w:rPr>
  </w:style>
  <w:style w:type="paragraph" w:customStyle="1" w:styleId="1029">
    <w:name w:val="表、图名"/>
    <w:basedOn w:val="1"/>
    <w:link w:val="1028"/>
    <w:autoRedefine/>
    <w:qFormat/>
    <w:uiPriority w:val="0"/>
    <w:pPr>
      <w:adjustRightInd w:val="0"/>
      <w:snapToGrid w:val="0"/>
      <w:spacing w:line="500" w:lineRule="exact"/>
      <w:ind w:left="-6"/>
      <w:jc w:val="center"/>
    </w:pPr>
    <w:rPr>
      <w:rFonts w:ascii="仿宋_GB2312" w:hAnsi="宋体" w:eastAsia="仿宋_GB2312"/>
      <w:color w:val="000000"/>
      <w:kern w:val="0"/>
      <w:sz w:val="28"/>
      <w:szCs w:val="28"/>
      <w:lang w:val="zh-CN"/>
    </w:rPr>
  </w:style>
  <w:style w:type="character" w:customStyle="1" w:styleId="1030">
    <w:name w:val="燕山正文 Char14"/>
    <w:autoRedefine/>
    <w:qFormat/>
    <w:uiPriority w:val="0"/>
    <w:rPr>
      <w:rFonts w:ascii="宋体" w:eastAsia="宋体" w:cs="宋体"/>
      <w:kern w:val="2"/>
      <w:sz w:val="24"/>
      <w:szCs w:val="24"/>
      <w:lang w:val="en-US" w:eastAsia="zh-CN" w:bidi="ar-SA"/>
    </w:rPr>
  </w:style>
  <w:style w:type="character" w:customStyle="1" w:styleId="1031">
    <w:name w:val="标题 5 Char Char Char Char"/>
    <w:autoRedefine/>
    <w:qFormat/>
    <w:uiPriority w:val="0"/>
    <w:rPr>
      <w:rFonts w:eastAsia="宋体"/>
      <w:b/>
      <w:sz w:val="28"/>
      <w:lang w:val="en-US" w:eastAsia="zh-CN" w:bidi="ar-SA"/>
    </w:rPr>
  </w:style>
  <w:style w:type="character" w:customStyle="1" w:styleId="1032">
    <w:name w:val="表题1 Char6"/>
    <w:autoRedefine/>
    <w:qFormat/>
    <w:uiPriority w:val="0"/>
    <w:rPr>
      <w:rFonts w:ascii="黑体" w:hAnsi="Arial" w:eastAsia="黑体" w:cs="Arial"/>
      <w:b/>
      <w:kern w:val="2"/>
      <w:sz w:val="24"/>
      <w:szCs w:val="24"/>
      <w:lang w:val="en-US" w:eastAsia="zh-CN" w:bidi="ar-SA"/>
    </w:rPr>
  </w:style>
  <w:style w:type="character" w:customStyle="1" w:styleId="1033">
    <w:name w:val="style31"/>
    <w:autoRedefine/>
    <w:qFormat/>
    <w:uiPriority w:val="0"/>
    <w:rPr>
      <w:rFonts w:hint="default" w:ascii="Arial" w:hAnsi="Arial" w:cs="Arial"/>
      <w:sz w:val="18"/>
      <w:szCs w:val="18"/>
    </w:rPr>
  </w:style>
  <w:style w:type="character" w:customStyle="1" w:styleId="1034">
    <w:name w:val="正文首行缩进 2 Char12"/>
    <w:autoRedefine/>
    <w:qFormat/>
    <w:uiPriority w:val="0"/>
    <w:rPr>
      <w:rFonts w:eastAsia="宋体"/>
      <w:kern w:val="2"/>
      <w:sz w:val="21"/>
      <w:szCs w:val="24"/>
      <w:lang w:val="en-US" w:eastAsia="zh-CN" w:bidi="ar-SA"/>
    </w:rPr>
  </w:style>
  <w:style w:type="character" w:customStyle="1" w:styleId="1035">
    <w:name w:val="z31"/>
    <w:autoRedefine/>
    <w:qFormat/>
    <w:uiPriority w:val="0"/>
    <w:rPr>
      <w:rFonts w:hint="default"/>
      <w:color w:val="FF0000"/>
      <w:sz w:val="18"/>
      <w:szCs w:val="18"/>
    </w:rPr>
  </w:style>
  <w:style w:type="character" w:customStyle="1" w:styleId="1036">
    <w:name w:val="正文格式 Char14"/>
    <w:autoRedefine/>
    <w:qFormat/>
    <w:uiPriority w:val="0"/>
    <w:rPr>
      <w:rFonts w:ascii="宋体" w:hAnsi="宋体" w:eastAsia="宋体"/>
      <w:kern w:val="2"/>
      <w:sz w:val="24"/>
      <w:szCs w:val="24"/>
      <w:lang w:val="en-US" w:eastAsia="zh-CN" w:bidi="ar-SA"/>
    </w:rPr>
  </w:style>
  <w:style w:type="character" w:customStyle="1" w:styleId="1037">
    <w:name w:val="Char Char151"/>
    <w:autoRedefine/>
    <w:qFormat/>
    <w:uiPriority w:val="0"/>
    <w:rPr>
      <w:rFonts w:hint="eastAsia" w:ascii="宋体" w:hAnsi="Courier New" w:eastAsia="宋体"/>
      <w:sz w:val="18"/>
      <w:lang w:val="en-US" w:eastAsia="zh-CN" w:bidi="ar-SA"/>
    </w:rPr>
  </w:style>
  <w:style w:type="character" w:customStyle="1" w:styleId="1038">
    <w:name w:val="正文修改 Char18"/>
    <w:autoRedefine/>
    <w:qFormat/>
    <w:uiPriority w:val="0"/>
    <w:rPr>
      <w:rFonts w:hAnsi="宋体"/>
      <w:color w:val="000000"/>
    </w:rPr>
  </w:style>
  <w:style w:type="character" w:customStyle="1" w:styleId="1039">
    <w:name w:val="表题 Char"/>
    <w:link w:val="1040"/>
    <w:autoRedefine/>
    <w:qFormat/>
    <w:uiPriority w:val="0"/>
    <w:rPr>
      <w:rFonts w:eastAsia="黑体"/>
      <w:sz w:val="24"/>
      <w:szCs w:val="22"/>
      <w:lang w:val="en-US" w:eastAsia="zh-CN" w:bidi="ar-SA"/>
    </w:rPr>
  </w:style>
  <w:style w:type="paragraph" w:customStyle="1" w:styleId="1040">
    <w:name w:val="表题"/>
    <w:next w:val="136"/>
    <w:link w:val="1039"/>
    <w:autoRedefine/>
    <w:qFormat/>
    <w:uiPriority w:val="0"/>
    <w:pPr>
      <w:spacing w:beforeLines="20" w:line="420" w:lineRule="exact"/>
      <w:jc w:val="center"/>
    </w:pPr>
    <w:rPr>
      <w:rFonts w:ascii="Times New Roman" w:hAnsi="Times New Roman" w:eastAsia="黑体" w:cs="Times New Roman"/>
      <w:sz w:val="24"/>
      <w:szCs w:val="22"/>
      <w:lang w:val="en-US" w:eastAsia="zh-CN" w:bidi="ar-SA"/>
    </w:rPr>
  </w:style>
  <w:style w:type="character" w:customStyle="1" w:styleId="1041">
    <w:name w:val="标题 2 Char Char11"/>
    <w:autoRedefine/>
    <w:qFormat/>
    <w:uiPriority w:val="0"/>
    <w:rPr>
      <w:rFonts w:ascii="黑体" w:hAnsi="Arial" w:eastAsia="黑体"/>
      <w:bCs/>
      <w:kern w:val="2"/>
      <w:sz w:val="30"/>
      <w:szCs w:val="30"/>
      <w:lang w:val="en-US" w:eastAsia="zh-CN" w:bidi="ar-SA"/>
    </w:rPr>
  </w:style>
  <w:style w:type="character" w:customStyle="1" w:styleId="1042">
    <w:name w:val="unnamed21"/>
    <w:autoRedefine/>
    <w:qFormat/>
    <w:uiPriority w:val="0"/>
    <w:rPr>
      <w:sz w:val="18"/>
      <w:szCs w:val="18"/>
      <w:u w:val="none"/>
    </w:rPr>
  </w:style>
  <w:style w:type="character" w:customStyle="1" w:styleId="1043">
    <w:name w:val="题注 Char14"/>
    <w:autoRedefine/>
    <w:qFormat/>
    <w:uiPriority w:val="0"/>
    <w:rPr>
      <w:rFonts w:ascii="黑体" w:hAnsi="Arial" w:eastAsia="黑体" w:cs="Arial"/>
      <w:sz w:val="24"/>
      <w:szCs w:val="24"/>
    </w:rPr>
  </w:style>
  <w:style w:type="character" w:customStyle="1" w:styleId="1044">
    <w:name w:val="Char Char141"/>
    <w:autoRedefine/>
    <w:qFormat/>
    <w:locked/>
    <w:uiPriority w:val="0"/>
    <w:rPr>
      <w:rFonts w:ascii="Times New Roman" w:hAnsi="Times New Roman" w:eastAsia="宋体" w:cs="宋体"/>
      <w:kern w:val="2"/>
      <w:szCs w:val="24"/>
      <w:lang w:val="en-US" w:eastAsia="zh-CN" w:bidi="ar-SA"/>
    </w:rPr>
  </w:style>
  <w:style w:type="character" w:customStyle="1" w:styleId="1045">
    <w:name w:val="Char Char33"/>
    <w:autoRedefine/>
    <w:qFormat/>
    <w:uiPriority w:val="0"/>
    <w:rPr>
      <w:rFonts w:ascii="黑体" w:hAnsi="宋体" w:eastAsia="黑体"/>
      <w:b/>
      <w:bCs/>
      <w:kern w:val="2"/>
      <w:sz w:val="28"/>
      <w:szCs w:val="28"/>
      <w:lang w:val="en-US" w:eastAsia="zh-CN" w:bidi="ar-SA"/>
    </w:rPr>
  </w:style>
  <w:style w:type="character" w:customStyle="1" w:styleId="1046">
    <w:name w:val="批注主题 Char Char"/>
    <w:autoRedefine/>
    <w:qFormat/>
    <w:uiPriority w:val="0"/>
    <w:rPr>
      <w:rFonts w:ascii="宋体" w:hAnsi="宋体" w:eastAsia="宋体"/>
      <w:b/>
      <w:bCs/>
      <w:kern w:val="2"/>
      <w:sz w:val="24"/>
      <w:lang w:val="en-US" w:eastAsia="zh-CN" w:bidi="ar-SA"/>
    </w:rPr>
  </w:style>
  <w:style w:type="character" w:customStyle="1" w:styleId="1047">
    <w:name w:val="样式 表内小5 + 黑体 加粗 倾斜 下划线 Char52"/>
    <w:autoRedefine/>
    <w:qFormat/>
    <w:uiPriority w:val="0"/>
    <w:rPr>
      <w:rFonts w:ascii="黑体" w:hAnsi="黑体" w:eastAsia="黑体"/>
      <w:b/>
      <w:bCs/>
      <w:i/>
      <w:iCs/>
      <w:kern w:val="2"/>
      <w:sz w:val="18"/>
      <w:szCs w:val="24"/>
      <w:u w:val="single"/>
      <w:lang w:val="en-US" w:eastAsia="zh-CN" w:bidi="ar-SA"/>
    </w:rPr>
  </w:style>
  <w:style w:type="character" w:customStyle="1" w:styleId="1048">
    <w:name w:val="提头 Char"/>
    <w:link w:val="1049"/>
    <w:autoRedefine/>
    <w:qFormat/>
    <w:uiPriority w:val="0"/>
    <w:rPr>
      <w:b/>
      <w:sz w:val="24"/>
      <w:szCs w:val="24"/>
    </w:rPr>
  </w:style>
  <w:style w:type="paragraph" w:customStyle="1" w:styleId="1049">
    <w:name w:val="提头"/>
    <w:basedOn w:val="1"/>
    <w:next w:val="1"/>
    <w:link w:val="1048"/>
    <w:autoRedefine/>
    <w:qFormat/>
    <w:uiPriority w:val="0"/>
    <w:pPr>
      <w:tabs>
        <w:tab w:val="left" w:pos="227"/>
      </w:tabs>
      <w:spacing w:line="360" w:lineRule="auto"/>
      <w:jc w:val="center"/>
    </w:pPr>
    <w:rPr>
      <w:b/>
      <w:kern w:val="0"/>
      <w:sz w:val="24"/>
      <w:lang w:val="zh-CN"/>
    </w:rPr>
  </w:style>
  <w:style w:type="character" w:customStyle="1" w:styleId="1050">
    <w:name w:val="表格内字体 Char12"/>
    <w:autoRedefine/>
    <w:qFormat/>
    <w:uiPriority w:val="0"/>
    <w:rPr>
      <w:rFonts w:ascii="宋体" w:hAnsi="宋体" w:eastAsia="宋体"/>
      <w:kern w:val="2"/>
      <w:sz w:val="21"/>
      <w:szCs w:val="24"/>
      <w:lang w:val="en-US" w:eastAsia="zh-CN" w:bidi="ar-SA"/>
    </w:rPr>
  </w:style>
  <w:style w:type="character" w:customStyle="1" w:styleId="1051">
    <w:name w:val="Char Char91"/>
    <w:autoRedefine/>
    <w:qFormat/>
    <w:locked/>
    <w:uiPriority w:val="0"/>
    <w:rPr>
      <w:rFonts w:eastAsia="宋体"/>
      <w:kern w:val="2"/>
      <w:sz w:val="18"/>
      <w:lang w:val="en-US" w:eastAsia="zh-CN" w:bidi="ar-SA"/>
    </w:rPr>
  </w:style>
  <w:style w:type="character" w:customStyle="1" w:styleId="1052">
    <w:name w:val="正文格式 Char13"/>
    <w:autoRedefine/>
    <w:qFormat/>
    <w:uiPriority w:val="0"/>
    <w:rPr>
      <w:rFonts w:ascii="宋体" w:hAnsi="宋体" w:eastAsia="宋体"/>
      <w:kern w:val="2"/>
      <w:sz w:val="24"/>
      <w:szCs w:val="24"/>
      <w:lang w:val="en-US" w:eastAsia="zh-CN" w:bidi="ar-SA"/>
    </w:rPr>
  </w:style>
  <w:style w:type="character" w:customStyle="1" w:styleId="1053">
    <w:name w:val="Char Char12"/>
    <w:autoRedefine/>
    <w:qFormat/>
    <w:uiPriority w:val="0"/>
    <w:rPr>
      <w:rFonts w:ascii="Arial" w:hAnsi="Arial" w:eastAsia="宋体" w:cs="Arial"/>
      <w:b/>
      <w:bCs/>
      <w:kern w:val="2"/>
      <w:sz w:val="32"/>
      <w:szCs w:val="32"/>
      <w:lang w:val="en-US" w:eastAsia="zh-CN" w:bidi="ar-SA"/>
    </w:rPr>
  </w:style>
  <w:style w:type="character" w:customStyle="1" w:styleId="1054">
    <w:name w:val="标题2 Char9"/>
    <w:autoRedefine/>
    <w:qFormat/>
    <w:uiPriority w:val="0"/>
    <w:rPr>
      <w:rFonts w:ascii="宋体" w:hAnsi="宋体" w:eastAsia="宋体" w:cs="宋体"/>
      <w:color w:val="000000"/>
      <w:kern w:val="2"/>
      <w:sz w:val="24"/>
      <w:szCs w:val="24"/>
      <w:lang w:val="en-US" w:eastAsia="zh-CN" w:bidi="ar-SA"/>
    </w:rPr>
  </w:style>
  <w:style w:type="character" w:customStyle="1" w:styleId="1055">
    <w:name w:val="表内5 Char21"/>
    <w:autoRedefine/>
    <w:qFormat/>
    <w:uiPriority w:val="0"/>
    <w:rPr>
      <w:rFonts w:ascii="宋体" w:hAnsi="宋体" w:eastAsia="宋体" w:cs="宋体"/>
      <w:kern w:val="2"/>
      <w:sz w:val="21"/>
      <w:szCs w:val="24"/>
      <w:lang w:val="en-US" w:eastAsia="zh-CN" w:bidi="ar-SA"/>
    </w:rPr>
  </w:style>
  <w:style w:type="character" w:customStyle="1" w:styleId="1056">
    <w:name w:val="批注框文本 Char11"/>
    <w:autoRedefine/>
    <w:qFormat/>
    <w:uiPriority w:val="0"/>
    <w:rPr>
      <w:rFonts w:eastAsia="宋体"/>
      <w:kern w:val="2"/>
      <w:sz w:val="18"/>
      <w:szCs w:val="18"/>
      <w:lang w:val="en-US" w:eastAsia="zh-CN" w:bidi="ar-SA"/>
    </w:rPr>
  </w:style>
  <w:style w:type="character" w:customStyle="1" w:styleId="1057">
    <w:name w:val="图表标题 Char"/>
    <w:link w:val="1058"/>
    <w:autoRedefine/>
    <w:qFormat/>
    <w:uiPriority w:val="0"/>
    <w:rPr>
      <w:rFonts w:ascii="仿宋_GB2312"/>
      <w:b/>
      <w:sz w:val="24"/>
      <w:szCs w:val="24"/>
    </w:rPr>
  </w:style>
  <w:style w:type="paragraph" w:customStyle="1" w:styleId="1058">
    <w:name w:val="图表标题"/>
    <w:basedOn w:val="1"/>
    <w:link w:val="1057"/>
    <w:autoRedefine/>
    <w:qFormat/>
    <w:uiPriority w:val="0"/>
    <w:pPr>
      <w:spacing w:beforeLines="50" w:afterLines="50"/>
      <w:jc w:val="center"/>
    </w:pPr>
    <w:rPr>
      <w:rFonts w:ascii="仿宋_GB2312"/>
      <w:b/>
      <w:kern w:val="0"/>
      <w:sz w:val="24"/>
      <w:lang w:val="zh-CN"/>
    </w:rPr>
  </w:style>
  <w:style w:type="character" w:customStyle="1" w:styleId="1059">
    <w:name w:val="正文格式 Char31"/>
    <w:autoRedefine/>
    <w:qFormat/>
    <w:uiPriority w:val="0"/>
    <w:rPr>
      <w:rFonts w:ascii="宋体" w:hAnsi="宋体" w:eastAsia="宋体"/>
      <w:kern w:val="2"/>
      <w:sz w:val="24"/>
      <w:szCs w:val="24"/>
      <w:lang w:val="en-US" w:eastAsia="zh-CN" w:bidi="ar-SA"/>
    </w:rPr>
  </w:style>
  <w:style w:type="character" w:customStyle="1" w:styleId="1060">
    <w:name w:val="标题1"/>
    <w:basedOn w:val="90"/>
    <w:autoRedefine/>
    <w:qFormat/>
    <w:uiPriority w:val="0"/>
  </w:style>
  <w:style w:type="character" w:customStyle="1" w:styleId="1061">
    <w:name w:val="标题 2 Char21"/>
    <w:autoRedefine/>
    <w:qFormat/>
    <w:uiPriority w:val="0"/>
    <w:rPr>
      <w:rFonts w:ascii="黑体" w:hAnsi="Arial" w:eastAsia="黑体"/>
      <w:b/>
      <w:bCs/>
      <w:kern w:val="2"/>
      <w:sz w:val="30"/>
      <w:szCs w:val="30"/>
      <w:lang w:val="en-US" w:eastAsia="zh-CN" w:bidi="ar-SA"/>
    </w:rPr>
  </w:style>
  <w:style w:type="character" w:customStyle="1" w:styleId="1062">
    <w:name w:val="文本 Char"/>
    <w:link w:val="221"/>
    <w:autoRedefine/>
    <w:qFormat/>
    <w:locked/>
    <w:uiPriority w:val="0"/>
    <w:rPr>
      <w:rFonts w:ascii="宋体" w:hAnsi="宋体"/>
      <w:snapToGrid w:val="0"/>
      <w:kern w:val="21"/>
      <w:szCs w:val="24"/>
    </w:rPr>
  </w:style>
  <w:style w:type="character" w:customStyle="1" w:styleId="1063">
    <w:name w:val="表题1 Char21"/>
    <w:autoRedefine/>
    <w:qFormat/>
    <w:uiPriority w:val="0"/>
    <w:rPr>
      <w:rFonts w:hAnsi="Arial" w:eastAsia="宋体" w:cs="Arial"/>
      <w:kern w:val="2"/>
      <w:sz w:val="24"/>
      <w:szCs w:val="24"/>
      <w:lang w:val="en-US" w:eastAsia="zh-CN" w:bidi="ar-SA"/>
    </w:rPr>
  </w:style>
  <w:style w:type="character" w:customStyle="1" w:styleId="1064">
    <w:name w:val="Char Char18"/>
    <w:autoRedefine/>
    <w:qFormat/>
    <w:uiPriority w:val="0"/>
    <w:rPr>
      <w:rFonts w:ascii="Arial" w:hAnsi="Arial" w:eastAsia="宋体" w:cs="Arial"/>
      <w:b/>
      <w:bCs/>
      <w:kern w:val="2"/>
      <w:sz w:val="32"/>
      <w:szCs w:val="32"/>
      <w:lang w:val="en-US" w:eastAsia="zh-CN" w:bidi="ar-SA"/>
    </w:rPr>
  </w:style>
  <w:style w:type="character" w:customStyle="1" w:styleId="1065">
    <w:name w:val="题注 Char24"/>
    <w:autoRedefine/>
    <w:qFormat/>
    <w:uiPriority w:val="0"/>
    <w:rPr>
      <w:rFonts w:ascii="黑体" w:hAnsi="Arial" w:eastAsia="黑体" w:cs="Arial"/>
      <w:sz w:val="24"/>
      <w:szCs w:val="24"/>
    </w:rPr>
  </w:style>
  <w:style w:type="character" w:customStyle="1" w:styleId="1066">
    <w:name w:val="标题5"/>
    <w:basedOn w:val="90"/>
    <w:autoRedefine/>
    <w:qFormat/>
    <w:uiPriority w:val="0"/>
  </w:style>
  <w:style w:type="character" w:customStyle="1" w:styleId="1067">
    <w:name w:val="表中文字 Char211"/>
    <w:autoRedefine/>
    <w:qFormat/>
    <w:uiPriority w:val="0"/>
    <w:rPr>
      <w:rFonts w:ascii="宋体" w:eastAsia="宋体"/>
      <w:kern w:val="2"/>
      <w:sz w:val="21"/>
      <w:szCs w:val="21"/>
      <w:lang w:val="en-US" w:eastAsia="zh-CN" w:bidi="ar-SA"/>
    </w:rPr>
  </w:style>
  <w:style w:type="character" w:customStyle="1" w:styleId="1068">
    <w:name w:val="样式 样式 样式 样式 样式 宋体 小四 行距: 1.5 倍行距 + 首行缩进:  2 字符 + 蓝色 首行缩进:  2 字符 ...2 Char"/>
    <w:link w:val="1069"/>
    <w:autoRedefine/>
    <w:qFormat/>
    <w:uiPriority w:val="0"/>
    <w:rPr>
      <w:rFonts w:cs="宋体"/>
      <w:color w:val="000000"/>
    </w:rPr>
  </w:style>
  <w:style w:type="paragraph" w:customStyle="1" w:styleId="1069">
    <w:name w:val="样式 样式 样式 样式 样式 宋体 小四 行距: 1.5 倍行距 + 首行缩进:  2 字符 + 蓝色 首行缩进:  2 字符 ...2"/>
    <w:basedOn w:val="1"/>
    <w:link w:val="1068"/>
    <w:autoRedefine/>
    <w:qFormat/>
    <w:uiPriority w:val="0"/>
    <w:pPr>
      <w:spacing w:line="360" w:lineRule="auto"/>
      <w:ind w:firstLine="480" w:firstLineChars="200"/>
    </w:pPr>
    <w:rPr>
      <w:color w:val="000000"/>
      <w:kern w:val="0"/>
      <w:sz w:val="20"/>
      <w:szCs w:val="20"/>
      <w:lang w:val="zh-CN"/>
    </w:rPr>
  </w:style>
  <w:style w:type="character" w:customStyle="1" w:styleId="1070">
    <w:name w:val="表题1 Char12"/>
    <w:autoRedefine/>
    <w:qFormat/>
    <w:uiPriority w:val="0"/>
    <w:rPr>
      <w:rFonts w:hAnsi="Arial" w:eastAsia="宋体" w:cs="Arial"/>
      <w:kern w:val="2"/>
      <w:sz w:val="24"/>
      <w:szCs w:val="24"/>
      <w:lang w:val="en-US" w:eastAsia="zh-CN" w:bidi="ar-SA"/>
    </w:rPr>
  </w:style>
  <w:style w:type="character" w:customStyle="1" w:styleId="1071">
    <w:name w:val="Char Char42"/>
    <w:autoRedefine/>
    <w:qFormat/>
    <w:uiPriority w:val="0"/>
    <w:rPr>
      <w:rFonts w:hint="eastAsia" w:ascii="宋体" w:hAnsi="宋体" w:eastAsia="宋体"/>
      <w:b/>
      <w:bCs/>
      <w:kern w:val="2"/>
      <w:sz w:val="24"/>
      <w:szCs w:val="24"/>
      <w:lang w:val="en-US" w:eastAsia="zh-CN" w:bidi="ar-SA"/>
    </w:rPr>
  </w:style>
  <w:style w:type="character" w:customStyle="1" w:styleId="1072">
    <w:name w:val="表题1 Char111"/>
    <w:autoRedefine/>
    <w:qFormat/>
    <w:uiPriority w:val="0"/>
    <w:rPr>
      <w:rFonts w:hAnsi="Arial" w:eastAsia="宋体" w:cs="Arial"/>
      <w:kern w:val="2"/>
      <w:sz w:val="24"/>
      <w:szCs w:val="24"/>
      <w:lang w:val="en-US" w:eastAsia="zh-CN" w:bidi="ar-SA"/>
    </w:rPr>
  </w:style>
  <w:style w:type="character" w:customStyle="1" w:styleId="1073">
    <w:name w:val="Char Char83"/>
    <w:autoRedefine/>
    <w:qFormat/>
    <w:uiPriority w:val="0"/>
    <w:rPr>
      <w:rFonts w:ascii="宋体" w:hAnsi="Courier New" w:eastAsia="宋体"/>
      <w:sz w:val="21"/>
      <w:lang w:val="en-US" w:eastAsia="zh-CN" w:bidi="ar-SA"/>
    </w:rPr>
  </w:style>
  <w:style w:type="character" w:customStyle="1" w:styleId="1074">
    <w:name w:val="Char Char68"/>
    <w:autoRedefine/>
    <w:qFormat/>
    <w:uiPriority w:val="0"/>
    <w:rPr>
      <w:rFonts w:ascii="黑体" w:eastAsia="黑体"/>
      <w:b/>
      <w:bCs/>
      <w:kern w:val="2"/>
      <w:sz w:val="28"/>
      <w:szCs w:val="28"/>
      <w:lang w:val="en-US" w:eastAsia="zh-CN" w:bidi="ar-SA"/>
    </w:rPr>
  </w:style>
  <w:style w:type="character" w:customStyle="1" w:styleId="1075">
    <w:name w:val="apple-converted-space"/>
    <w:basedOn w:val="90"/>
    <w:autoRedefine/>
    <w:qFormat/>
    <w:uiPriority w:val="0"/>
  </w:style>
  <w:style w:type="character" w:customStyle="1" w:styleId="1076">
    <w:name w:val="Char Char123"/>
    <w:autoRedefine/>
    <w:qFormat/>
    <w:uiPriority w:val="0"/>
    <w:rPr>
      <w:rFonts w:ascii="黑体" w:hAnsi="Arial" w:eastAsia="黑体"/>
      <w:b/>
      <w:bCs/>
      <w:kern w:val="2"/>
      <w:sz w:val="30"/>
      <w:szCs w:val="30"/>
      <w:lang w:val="en-US" w:eastAsia="zh-CN" w:bidi="ar-SA"/>
    </w:rPr>
  </w:style>
  <w:style w:type="character" w:customStyle="1" w:styleId="1077">
    <w:name w:val="表头 Char1"/>
    <w:autoRedefine/>
    <w:qFormat/>
    <w:uiPriority w:val="0"/>
    <w:rPr>
      <w:rFonts w:ascii="仿宋_GB2312" w:eastAsia="仿宋_GB2312"/>
      <w:kern w:val="2"/>
      <w:sz w:val="28"/>
      <w:szCs w:val="28"/>
      <w:shd w:val="clear" w:color="auto" w:fill="FFFFFF"/>
      <w:lang w:val="en-US" w:eastAsia="zh-CN" w:bidi="ar-SA"/>
    </w:rPr>
  </w:style>
  <w:style w:type="character" w:customStyle="1" w:styleId="1078">
    <w:name w:val="标题2 Char21"/>
    <w:autoRedefine/>
    <w:qFormat/>
    <w:uiPriority w:val="0"/>
    <w:rPr>
      <w:rFonts w:ascii="宋体" w:hAnsi="宋体" w:eastAsia="宋体" w:cs="宋体"/>
      <w:color w:val="000000"/>
      <w:kern w:val="2"/>
      <w:sz w:val="24"/>
      <w:szCs w:val="24"/>
      <w:lang w:val="en-US" w:eastAsia="zh-CN" w:bidi="ar-SA"/>
    </w:rPr>
  </w:style>
  <w:style w:type="character" w:customStyle="1" w:styleId="1079">
    <w:name w:val="w_12_black1"/>
    <w:autoRedefine/>
    <w:qFormat/>
    <w:uiPriority w:val="0"/>
    <w:rPr>
      <w:color w:val="333333"/>
      <w:sz w:val="18"/>
      <w:szCs w:val="18"/>
    </w:rPr>
  </w:style>
  <w:style w:type="character" w:customStyle="1" w:styleId="1080">
    <w:name w:val="表题 Char41"/>
    <w:autoRedefine/>
    <w:qFormat/>
    <w:uiPriority w:val="0"/>
    <w:rPr>
      <w:rFonts w:ascii="黑体" w:hAnsi="Arial" w:eastAsia="黑体" w:cs="Arial"/>
      <w:b/>
      <w:kern w:val="2"/>
      <w:sz w:val="24"/>
      <w:szCs w:val="24"/>
      <w:lang w:val="en-US" w:eastAsia="zh-CN" w:bidi="ar-SA"/>
    </w:rPr>
  </w:style>
  <w:style w:type="character" w:customStyle="1" w:styleId="1081">
    <w:name w:val="ssqiaz"/>
    <w:basedOn w:val="90"/>
    <w:autoRedefine/>
    <w:qFormat/>
    <w:uiPriority w:val="0"/>
  </w:style>
  <w:style w:type="character" w:customStyle="1" w:styleId="1082">
    <w:name w:val="标题 3 Char31"/>
    <w:autoRedefine/>
    <w:qFormat/>
    <w:uiPriority w:val="0"/>
    <w:rPr>
      <w:rFonts w:ascii="黑体" w:hAnsi="宋体" w:eastAsia="黑体"/>
      <w:b/>
      <w:bCs/>
      <w:kern w:val="2"/>
      <w:sz w:val="28"/>
      <w:szCs w:val="28"/>
      <w:lang w:val="en-US" w:eastAsia="zh-CN" w:bidi="ar-SA"/>
    </w:rPr>
  </w:style>
  <w:style w:type="character" w:customStyle="1" w:styleId="1083">
    <w:name w:val="标题 Char Char"/>
    <w:autoRedefine/>
    <w:qFormat/>
    <w:uiPriority w:val="0"/>
    <w:rPr>
      <w:rFonts w:ascii="Arial" w:hAnsi="Arial" w:eastAsia="宋体" w:cs="Arial"/>
      <w:b/>
      <w:bCs/>
      <w:sz w:val="32"/>
      <w:szCs w:val="32"/>
      <w:lang w:val="en-US" w:eastAsia="zh-CN" w:bidi="ar-SA"/>
    </w:rPr>
  </w:style>
  <w:style w:type="character" w:customStyle="1" w:styleId="1084">
    <w:name w:val="参加人员 Char Char"/>
    <w:autoRedefine/>
    <w:qFormat/>
    <w:uiPriority w:val="0"/>
    <w:rPr>
      <w:rFonts w:ascii="Times New Roman" w:hAnsi="Times New Roman"/>
      <w:kern w:val="2"/>
      <w:sz w:val="24"/>
      <w:szCs w:val="24"/>
    </w:rPr>
  </w:style>
  <w:style w:type="character" w:customStyle="1" w:styleId="1085">
    <w:name w:val="图题注 Char4"/>
    <w:autoRedefine/>
    <w:qFormat/>
    <w:uiPriority w:val="0"/>
    <w:rPr>
      <w:rFonts w:ascii="黑体" w:hAnsi="Arial" w:eastAsia="黑体" w:cs="宋体"/>
      <w:b/>
      <w:bCs/>
      <w:kern w:val="2"/>
      <w:sz w:val="24"/>
      <w:szCs w:val="24"/>
      <w:lang w:val="en-US" w:eastAsia="zh-CN" w:bidi="ar-SA"/>
    </w:rPr>
  </w:style>
  <w:style w:type="character" w:customStyle="1" w:styleId="1086">
    <w:name w:val="表标题 Char Char"/>
    <w:autoRedefine/>
    <w:qFormat/>
    <w:uiPriority w:val="0"/>
    <w:rPr>
      <w:rFonts w:ascii="Times New Roman" w:hAnsi="Times New Roman"/>
      <w:b/>
      <w:kern w:val="2"/>
      <w:sz w:val="24"/>
    </w:rPr>
  </w:style>
  <w:style w:type="character" w:customStyle="1" w:styleId="1087">
    <w:name w:val="一级项 Char2"/>
    <w:autoRedefine/>
    <w:qFormat/>
    <w:uiPriority w:val="0"/>
    <w:rPr>
      <w:rFonts w:eastAsia="宋体"/>
      <w:b/>
      <w:bCs/>
      <w:kern w:val="2"/>
      <w:sz w:val="28"/>
      <w:szCs w:val="28"/>
      <w:lang w:val="en-US" w:eastAsia="zh-CN" w:bidi="ar-SA"/>
    </w:rPr>
  </w:style>
  <w:style w:type="character" w:customStyle="1" w:styleId="1088">
    <w:name w:val="satajq8"/>
    <w:basedOn w:val="90"/>
    <w:autoRedefine/>
    <w:qFormat/>
    <w:uiPriority w:val="0"/>
  </w:style>
  <w:style w:type="character" w:customStyle="1" w:styleId="1089">
    <w:name w:val="报告 Char Char"/>
    <w:link w:val="1090"/>
    <w:autoRedefine/>
    <w:qFormat/>
    <w:uiPriority w:val="0"/>
    <w:rPr>
      <w:sz w:val="24"/>
    </w:rPr>
  </w:style>
  <w:style w:type="paragraph" w:customStyle="1" w:styleId="1090">
    <w:name w:val="报告"/>
    <w:basedOn w:val="1"/>
    <w:link w:val="1089"/>
    <w:autoRedefine/>
    <w:qFormat/>
    <w:uiPriority w:val="0"/>
    <w:pPr>
      <w:overflowPunct w:val="0"/>
      <w:autoSpaceDE w:val="0"/>
      <w:autoSpaceDN w:val="0"/>
      <w:adjustRightInd w:val="0"/>
      <w:spacing w:beforeLines="20" w:afterLines="20" w:line="440" w:lineRule="atLeast"/>
      <w:ind w:right="-100" w:rightChars="-100" w:firstLine="200" w:firstLineChars="200"/>
    </w:pPr>
    <w:rPr>
      <w:kern w:val="0"/>
      <w:sz w:val="24"/>
      <w:szCs w:val="20"/>
      <w:lang w:val="zh-CN"/>
    </w:rPr>
  </w:style>
  <w:style w:type="character" w:customStyle="1" w:styleId="1091">
    <w:name w:val="正文缩进 Char111"/>
    <w:autoRedefine/>
    <w:qFormat/>
    <w:uiPriority w:val="0"/>
    <w:rPr>
      <w:rFonts w:ascii="宋体" w:hAnsi="宋体" w:eastAsia="宋体" w:cs="宋体"/>
      <w:color w:val="000000"/>
      <w:kern w:val="2"/>
      <w:sz w:val="24"/>
      <w:szCs w:val="24"/>
      <w:lang w:val="en-US" w:eastAsia="zh-CN" w:bidi="ar-SA"/>
    </w:rPr>
  </w:style>
  <w:style w:type="character" w:customStyle="1" w:styleId="1092">
    <w:name w:val="s1"/>
    <w:autoRedefine/>
    <w:qFormat/>
    <w:uiPriority w:val="0"/>
    <w:rPr>
      <w:sz w:val="18"/>
      <w:szCs w:val="18"/>
    </w:rPr>
  </w:style>
  <w:style w:type="character" w:customStyle="1" w:styleId="1093">
    <w:name w:val="sj4lab"/>
    <w:basedOn w:val="90"/>
    <w:autoRedefine/>
    <w:qFormat/>
    <w:uiPriority w:val="0"/>
  </w:style>
  <w:style w:type="character" w:customStyle="1" w:styleId="1094">
    <w:name w:val="图题 Char4"/>
    <w:autoRedefine/>
    <w:qFormat/>
    <w:uiPriority w:val="0"/>
    <w:rPr>
      <w:rFonts w:ascii="黑体" w:hAnsi="宋体" w:eastAsia="黑体" w:cs="宋体"/>
      <w:b/>
      <w:bCs/>
      <w:kern w:val="2"/>
      <w:sz w:val="24"/>
      <w:szCs w:val="24"/>
      <w:lang w:val="en-US" w:eastAsia="zh-CN" w:bidi="ar-SA"/>
    </w:rPr>
  </w:style>
  <w:style w:type="character" w:customStyle="1" w:styleId="1095">
    <w:name w:val="s9zsb3q"/>
    <w:basedOn w:val="90"/>
    <w:autoRedefine/>
    <w:qFormat/>
    <w:uiPriority w:val="0"/>
  </w:style>
  <w:style w:type="character" w:customStyle="1" w:styleId="1096">
    <w:name w:val="Char Char17"/>
    <w:autoRedefine/>
    <w:qFormat/>
    <w:uiPriority w:val="0"/>
    <w:rPr>
      <w:rFonts w:ascii="宋体" w:hAnsi="PMingLiU" w:eastAsia="宋体"/>
      <w:kern w:val="2"/>
      <w:sz w:val="24"/>
      <w:szCs w:val="24"/>
      <w:lang w:val="en-US" w:eastAsia="zh-CN" w:bidi="ar-SA"/>
    </w:rPr>
  </w:style>
  <w:style w:type="character" w:customStyle="1" w:styleId="1097">
    <w:name w:val="标题 21"/>
    <w:autoRedefine/>
    <w:qFormat/>
    <w:uiPriority w:val="0"/>
    <w:rPr>
      <w:rFonts w:ascii="黑体" w:hAnsi="Arial" w:eastAsia="黑体"/>
      <w:kern w:val="2"/>
      <w:sz w:val="36"/>
      <w:szCs w:val="32"/>
      <w:lang w:val="en-US" w:eastAsia="zh-CN" w:bidi="ar-SA"/>
    </w:rPr>
  </w:style>
  <w:style w:type="character" w:customStyle="1" w:styleId="1098">
    <w:name w:val="样式 正文缩进 + 宋体 黑色 Char4"/>
    <w:autoRedefine/>
    <w:qFormat/>
    <w:uiPriority w:val="0"/>
    <w:rPr>
      <w:rFonts w:ascii="宋体" w:hAnsi="宋体" w:eastAsia="宋体"/>
      <w:color w:val="000000"/>
      <w:kern w:val="2"/>
      <w:sz w:val="24"/>
      <w:szCs w:val="24"/>
      <w:lang w:val="en-US" w:eastAsia="zh-CN" w:bidi="ar-SA"/>
    </w:rPr>
  </w:style>
  <w:style w:type="character" w:customStyle="1" w:styleId="1099">
    <w:name w:val="表格内容 Char"/>
    <w:link w:val="1100"/>
    <w:autoRedefine/>
    <w:qFormat/>
    <w:locked/>
    <w:uiPriority w:val="0"/>
    <w:rPr>
      <w:rFonts w:ascii="宋体" w:hAnsi="宋体" w:cs="Arial Unicode MS"/>
      <w:szCs w:val="24"/>
    </w:rPr>
  </w:style>
  <w:style w:type="paragraph" w:customStyle="1" w:styleId="1100">
    <w:name w:val="表格内容"/>
    <w:basedOn w:val="1"/>
    <w:link w:val="1099"/>
    <w:autoRedefine/>
    <w:qFormat/>
    <w:uiPriority w:val="0"/>
    <w:pPr>
      <w:adjustRightInd w:val="0"/>
      <w:snapToGrid w:val="0"/>
      <w:spacing w:line="240" w:lineRule="atLeast"/>
      <w:jc w:val="center"/>
    </w:pPr>
    <w:rPr>
      <w:rFonts w:ascii="宋体" w:hAnsi="宋体"/>
      <w:kern w:val="0"/>
      <w:sz w:val="20"/>
      <w:lang w:val="zh-CN"/>
    </w:rPr>
  </w:style>
  <w:style w:type="character" w:customStyle="1" w:styleId="1101">
    <w:name w:val="su21"/>
    <w:basedOn w:val="90"/>
    <w:autoRedefine/>
    <w:qFormat/>
    <w:uiPriority w:val="0"/>
  </w:style>
  <w:style w:type="character" w:customStyle="1" w:styleId="1102">
    <w:name w:val="+正文加黑 字符"/>
    <w:link w:val="1103"/>
    <w:autoRedefine/>
    <w:qFormat/>
    <w:locked/>
    <w:uiPriority w:val="0"/>
    <w:rPr>
      <w:rFonts w:ascii="宋体" w:hAnsi="宋体"/>
      <w:sz w:val="24"/>
      <w:szCs w:val="24"/>
    </w:rPr>
  </w:style>
  <w:style w:type="paragraph" w:customStyle="1" w:styleId="1103">
    <w:name w:val="+正文加黑"/>
    <w:basedOn w:val="1"/>
    <w:link w:val="1102"/>
    <w:autoRedefine/>
    <w:qFormat/>
    <w:uiPriority w:val="0"/>
    <w:pPr>
      <w:spacing w:line="500" w:lineRule="exact"/>
      <w:ind w:firstLine="480" w:firstLineChars="200"/>
    </w:pPr>
    <w:rPr>
      <w:rFonts w:ascii="宋体" w:hAnsi="宋体"/>
      <w:kern w:val="0"/>
      <w:sz w:val="24"/>
      <w:lang w:val="zh-CN"/>
    </w:rPr>
  </w:style>
  <w:style w:type="character" w:customStyle="1" w:styleId="1104">
    <w:name w:val="s19n338"/>
    <w:basedOn w:val="90"/>
    <w:autoRedefine/>
    <w:qFormat/>
    <w:uiPriority w:val="0"/>
  </w:style>
  <w:style w:type="character" w:customStyle="1" w:styleId="1105">
    <w:name w:val="正文 Char Char"/>
    <w:autoRedefine/>
    <w:qFormat/>
    <w:uiPriority w:val="0"/>
    <w:rPr>
      <w:rFonts w:ascii="仿宋_GB2312" w:hAnsi="宋体" w:eastAsia="仿宋_GB2312"/>
      <w:color w:val="000000"/>
      <w:kern w:val="2"/>
      <w:sz w:val="28"/>
      <w:szCs w:val="24"/>
      <w:lang w:val="en-US" w:eastAsia="zh-CN" w:bidi="ar-SA"/>
    </w:rPr>
  </w:style>
  <w:style w:type="character" w:customStyle="1" w:styleId="1106">
    <w:name w:val="标题 5 Char11"/>
    <w:autoRedefine/>
    <w:qFormat/>
    <w:uiPriority w:val="0"/>
    <w:rPr>
      <w:rFonts w:ascii="宋体" w:hAnsi="宋体" w:eastAsia="宋体" w:cs="宋体"/>
      <w:b/>
      <w:bCs/>
      <w:kern w:val="2"/>
      <w:sz w:val="28"/>
      <w:szCs w:val="28"/>
      <w:lang w:val="en-US" w:eastAsia="zh-CN" w:bidi="ar-SA"/>
    </w:rPr>
  </w:style>
  <w:style w:type="character" w:customStyle="1" w:styleId="1107">
    <w:name w:val="ssmj9"/>
    <w:basedOn w:val="90"/>
    <w:autoRedefine/>
    <w:qFormat/>
    <w:uiPriority w:val="0"/>
  </w:style>
  <w:style w:type="character" w:customStyle="1" w:styleId="1108">
    <w:name w:val="标题4 Char4"/>
    <w:autoRedefine/>
    <w:qFormat/>
    <w:uiPriority w:val="0"/>
    <w:rPr>
      <w:rFonts w:ascii="黑体" w:hAnsi="Arial" w:eastAsia="黑体" w:cs="Times New Roman"/>
      <w:b/>
      <w:bCs/>
      <w:kern w:val="2"/>
      <w:sz w:val="24"/>
      <w:szCs w:val="28"/>
      <w:lang w:val="en-US" w:eastAsia="zh-CN" w:bidi="ar-SA"/>
    </w:rPr>
  </w:style>
  <w:style w:type="character" w:customStyle="1" w:styleId="1109">
    <w:name w:val="sc2f7tt"/>
    <w:basedOn w:val="90"/>
    <w:autoRedefine/>
    <w:qFormat/>
    <w:uiPriority w:val="0"/>
  </w:style>
  <w:style w:type="character" w:customStyle="1" w:styleId="1110">
    <w:name w:val="sub_title1"/>
    <w:autoRedefine/>
    <w:qFormat/>
    <w:uiPriority w:val="0"/>
    <w:rPr>
      <w:rFonts w:hint="default"/>
      <w:color w:val="FF6600"/>
      <w:sz w:val="21"/>
      <w:szCs w:val="21"/>
    </w:rPr>
  </w:style>
  <w:style w:type="character" w:customStyle="1" w:styleId="1111">
    <w:name w:val="text_new"/>
    <w:basedOn w:val="90"/>
    <w:autoRedefine/>
    <w:qFormat/>
    <w:uiPriority w:val="0"/>
  </w:style>
  <w:style w:type="character" w:customStyle="1" w:styleId="1112">
    <w:name w:val="干标题(a) Char3"/>
    <w:autoRedefine/>
    <w:qFormat/>
    <w:uiPriority w:val="0"/>
    <w:rPr>
      <w:rFonts w:ascii="Arial" w:hAnsi="Arial" w:eastAsia="黑体"/>
      <w:kern w:val="2"/>
      <w:sz w:val="21"/>
      <w:szCs w:val="21"/>
      <w:lang w:val="en-US" w:eastAsia="zh-CN" w:bidi="ar-SA"/>
    </w:rPr>
  </w:style>
  <w:style w:type="character" w:customStyle="1" w:styleId="1113">
    <w:name w:val="pccs1"/>
    <w:autoRedefine/>
    <w:qFormat/>
    <w:uiPriority w:val="0"/>
    <w:rPr>
      <w:sz w:val="18"/>
      <w:szCs w:val="18"/>
    </w:rPr>
  </w:style>
  <w:style w:type="character" w:customStyle="1" w:styleId="1114">
    <w:name w:val="headline-content2"/>
    <w:basedOn w:val="90"/>
    <w:autoRedefine/>
    <w:qFormat/>
    <w:uiPriority w:val="0"/>
  </w:style>
  <w:style w:type="character" w:customStyle="1" w:styleId="1115">
    <w:name w:val="样式 表格内字体 + Char3"/>
    <w:autoRedefine/>
    <w:qFormat/>
    <w:uiPriority w:val="0"/>
    <w:rPr>
      <w:rFonts w:ascii="宋体" w:hAnsi="宋体" w:cs="Times New Roman"/>
      <w:kern w:val="0"/>
      <w:szCs w:val="24"/>
    </w:rPr>
  </w:style>
  <w:style w:type="character" w:customStyle="1" w:styleId="1116">
    <w:name w:val="燕山正文 Char17"/>
    <w:autoRedefine/>
    <w:qFormat/>
    <w:uiPriority w:val="0"/>
    <w:rPr>
      <w:rFonts w:ascii="宋体" w:hAnsi="Times New Roman" w:eastAsia="宋体" w:cs="宋体"/>
      <w:kern w:val="2"/>
      <w:sz w:val="24"/>
      <w:szCs w:val="24"/>
      <w:lang w:val="en-US" w:eastAsia="zh-CN" w:bidi="ar-SA"/>
    </w:rPr>
  </w:style>
  <w:style w:type="character" w:customStyle="1" w:styleId="1117">
    <w:name w:val="zhenwen141"/>
    <w:autoRedefine/>
    <w:qFormat/>
    <w:uiPriority w:val="0"/>
    <w:rPr>
      <w:rFonts w:hint="default" w:ascii="ˎ̥" w:hAnsi="ˎ̥"/>
      <w:sz w:val="20"/>
      <w:szCs w:val="20"/>
    </w:rPr>
  </w:style>
  <w:style w:type="character" w:customStyle="1" w:styleId="1118">
    <w:name w:val="表内5 Char4"/>
    <w:autoRedefine/>
    <w:qFormat/>
    <w:uiPriority w:val="0"/>
    <w:rPr>
      <w:rFonts w:ascii="宋体" w:hAnsi="宋体" w:eastAsia="宋体" w:cs="Times New Roman"/>
      <w:kern w:val="2"/>
      <w:sz w:val="24"/>
      <w:szCs w:val="21"/>
      <w:lang w:val="en-US" w:eastAsia="zh-CN" w:bidi="ar-SA"/>
    </w:rPr>
  </w:style>
  <w:style w:type="character" w:customStyle="1" w:styleId="1119">
    <w:name w:val="Char Char43"/>
    <w:autoRedefine/>
    <w:qFormat/>
    <w:uiPriority w:val="0"/>
    <w:rPr>
      <w:rFonts w:hint="eastAsia" w:ascii="宋体" w:hAnsi="宋体" w:eastAsia="宋体"/>
      <w:b/>
      <w:bCs/>
      <w:kern w:val="2"/>
      <w:sz w:val="24"/>
      <w:szCs w:val="24"/>
      <w:lang w:val="en-US" w:eastAsia="zh-CN" w:bidi="ar-SA"/>
    </w:rPr>
  </w:style>
  <w:style w:type="character" w:customStyle="1" w:styleId="1120">
    <w:name w:val="特点标题 Char Char1"/>
    <w:autoRedefine/>
    <w:qFormat/>
    <w:locked/>
    <w:uiPriority w:val="0"/>
    <w:rPr>
      <w:rFonts w:ascii="仿宋_GB2312" w:hAnsi="Courier New" w:eastAsia="仿宋_GB2312"/>
      <w:sz w:val="28"/>
      <w:lang w:val="en-US" w:eastAsia="zh-CN" w:bidi="ar-SA"/>
    </w:rPr>
  </w:style>
  <w:style w:type="character" w:customStyle="1" w:styleId="1121">
    <w:name w:val="正文修改 Char1212"/>
    <w:autoRedefine/>
    <w:qFormat/>
    <w:uiPriority w:val="0"/>
    <w:rPr>
      <w:rFonts w:ascii="宋体" w:hAnsi="宋体" w:eastAsia="宋体" w:cs="宋体"/>
      <w:color w:val="000000"/>
      <w:sz w:val="24"/>
      <w:szCs w:val="24"/>
    </w:rPr>
  </w:style>
  <w:style w:type="character" w:customStyle="1" w:styleId="1122">
    <w:name w:val="页眉1 Char2"/>
    <w:autoRedefine/>
    <w:qFormat/>
    <w:uiPriority w:val="0"/>
    <w:rPr>
      <w:sz w:val="18"/>
      <w:szCs w:val="18"/>
    </w:rPr>
  </w:style>
  <w:style w:type="character" w:customStyle="1" w:styleId="1123">
    <w:name w:val="Char Char131"/>
    <w:autoRedefine/>
    <w:qFormat/>
    <w:uiPriority w:val="0"/>
    <w:rPr>
      <w:rFonts w:eastAsia="宋体"/>
      <w:kern w:val="2"/>
      <w:sz w:val="21"/>
      <w:lang w:val="en-US" w:eastAsia="zh-CN" w:bidi="ar-SA"/>
    </w:rPr>
  </w:style>
  <w:style w:type="character" w:customStyle="1" w:styleId="1124">
    <w:name w:val="Char4 Char Char Char Char1"/>
    <w:link w:val="1125"/>
    <w:autoRedefine/>
    <w:qFormat/>
    <w:uiPriority w:val="0"/>
    <w:rPr>
      <w:sz w:val="24"/>
      <w:szCs w:val="24"/>
    </w:rPr>
  </w:style>
  <w:style w:type="paragraph" w:customStyle="1" w:styleId="1125">
    <w:name w:val="Char4 Char Char Char1"/>
    <w:basedOn w:val="1"/>
    <w:link w:val="1124"/>
    <w:autoRedefine/>
    <w:qFormat/>
    <w:uiPriority w:val="0"/>
    <w:rPr>
      <w:kern w:val="0"/>
      <w:sz w:val="24"/>
      <w:lang w:val="zh-CN"/>
    </w:rPr>
  </w:style>
  <w:style w:type="character" w:customStyle="1" w:styleId="1126">
    <w:name w:val="标题 2 Char Char2"/>
    <w:autoRedefine/>
    <w:qFormat/>
    <w:uiPriority w:val="0"/>
    <w:rPr>
      <w:rFonts w:ascii="黑体" w:hAnsi="Arial" w:eastAsia="黑体"/>
      <w:b/>
      <w:bCs/>
      <w:kern w:val="2"/>
      <w:sz w:val="30"/>
      <w:szCs w:val="30"/>
      <w:lang w:val="en-US" w:eastAsia="zh-CN" w:bidi="ar-SA"/>
    </w:rPr>
  </w:style>
  <w:style w:type="character" w:customStyle="1" w:styleId="1127">
    <w:name w:val="燕山正文 Char121"/>
    <w:autoRedefine/>
    <w:qFormat/>
    <w:uiPriority w:val="0"/>
    <w:rPr>
      <w:rFonts w:ascii="宋体" w:eastAsia="宋体" w:cs="宋体"/>
      <w:kern w:val="2"/>
      <w:sz w:val="24"/>
      <w:szCs w:val="24"/>
      <w:lang w:val="en-US" w:eastAsia="zh-CN" w:bidi="ar-SA"/>
    </w:rPr>
  </w:style>
  <w:style w:type="character" w:customStyle="1" w:styleId="1128">
    <w:name w:val="Char Char69"/>
    <w:autoRedefine/>
    <w:qFormat/>
    <w:uiPriority w:val="0"/>
    <w:rPr>
      <w:rFonts w:ascii="Times New Roman" w:hAnsi="Times New Roman" w:eastAsia="仿宋_GB2312"/>
      <w:color w:val="000000"/>
      <w:kern w:val="2"/>
      <w:sz w:val="24"/>
    </w:rPr>
  </w:style>
  <w:style w:type="character" w:customStyle="1" w:styleId="1129">
    <w:name w:val="表格内字体 Char31"/>
    <w:autoRedefine/>
    <w:qFormat/>
    <w:uiPriority w:val="0"/>
    <w:rPr>
      <w:rFonts w:ascii="宋体" w:hAnsi="宋体" w:eastAsia="宋体"/>
      <w:kern w:val="2"/>
      <w:sz w:val="21"/>
      <w:szCs w:val="24"/>
      <w:lang w:val="en-US" w:eastAsia="zh-CN" w:bidi="ar-SA"/>
    </w:rPr>
  </w:style>
  <w:style w:type="character" w:customStyle="1" w:styleId="1130">
    <w:name w:val="图表题 Char4"/>
    <w:autoRedefine/>
    <w:qFormat/>
    <w:uiPriority w:val="0"/>
    <w:rPr>
      <w:rFonts w:ascii="黑体" w:hAnsi="宋体" w:eastAsia="黑体" w:cs="宋体"/>
      <w:bCs/>
      <w:sz w:val="24"/>
      <w:szCs w:val="24"/>
    </w:rPr>
  </w:style>
  <w:style w:type="character" w:customStyle="1" w:styleId="1131">
    <w:name w:val="sdi8io"/>
    <w:basedOn w:val="90"/>
    <w:autoRedefine/>
    <w:qFormat/>
    <w:uiPriority w:val="0"/>
  </w:style>
  <w:style w:type="character" w:customStyle="1" w:styleId="1132">
    <w:name w:val="燕山正文 Char131"/>
    <w:autoRedefine/>
    <w:qFormat/>
    <w:uiPriority w:val="0"/>
    <w:rPr>
      <w:rFonts w:ascii="宋体" w:eastAsia="宋体" w:cs="宋体"/>
      <w:kern w:val="2"/>
      <w:sz w:val="24"/>
      <w:szCs w:val="24"/>
      <w:lang w:val="en-US" w:eastAsia="zh-CN" w:bidi="ar-SA"/>
    </w:rPr>
  </w:style>
  <w:style w:type="character" w:customStyle="1" w:styleId="1133">
    <w:name w:val="main-1"/>
    <w:basedOn w:val="90"/>
    <w:autoRedefine/>
    <w:qFormat/>
    <w:uiPriority w:val="0"/>
  </w:style>
  <w:style w:type="character" w:customStyle="1" w:styleId="1134">
    <w:name w:val="正文修改 Char134"/>
    <w:autoRedefine/>
    <w:qFormat/>
    <w:uiPriority w:val="0"/>
    <w:rPr>
      <w:rFonts w:hAnsi="宋体"/>
      <w:color w:val="000000"/>
    </w:rPr>
  </w:style>
  <w:style w:type="character" w:customStyle="1" w:styleId="1135">
    <w:name w:val="题注 Char34"/>
    <w:autoRedefine/>
    <w:qFormat/>
    <w:uiPriority w:val="0"/>
    <w:rPr>
      <w:rFonts w:ascii="黑体" w:hAnsi="Arial" w:eastAsia="黑体" w:cs="Arial"/>
      <w:sz w:val="24"/>
      <w:szCs w:val="24"/>
    </w:rPr>
  </w:style>
  <w:style w:type="character" w:customStyle="1" w:styleId="1136">
    <w:name w:val="wz-title11"/>
    <w:autoRedefine/>
    <w:qFormat/>
    <w:uiPriority w:val="0"/>
    <w:rPr>
      <w:b/>
      <w:bCs/>
      <w:color w:val="2879B8"/>
      <w:sz w:val="20"/>
      <w:szCs w:val="20"/>
    </w:rPr>
  </w:style>
  <w:style w:type="character" w:customStyle="1" w:styleId="1137">
    <w:name w:val="正文缩进 Cha Char"/>
    <w:autoRedefine/>
    <w:qFormat/>
    <w:uiPriority w:val="0"/>
    <w:rPr>
      <w:rFonts w:eastAsia="宋体"/>
      <w:kern w:val="2"/>
      <w:sz w:val="28"/>
      <w:szCs w:val="24"/>
      <w:lang w:val="en-US" w:eastAsia="zh-CN" w:bidi="ar-SA"/>
    </w:rPr>
  </w:style>
  <w:style w:type="character" w:customStyle="1" w:styleId="1138">
    <w:name w:val="s9n1k0c"/>
    <w:basedOn w:val="90"/>
    <w:autoRedefine/>
    <w:qFormat/>
    <w:uiPriority w:val="0"/>
  </w:style>
  <w:style w:type="character" w:customStyle="1" w:styleId="1139">
    <w:name w:val="表题1 Char"/>
    <w:link w:val="1140"/>
    <w:autoRedefine/>
    <w:qFormat/>
    <w:locked/>
    <w:uiPriority w:val="0"/>
    <w:rPr>
      <w:rFonts w:ascii="宋体" w:hAnsi="Arial" w:cs="Arial"/>
      <w:b/>
      <w:sz w:val="24"/>
      <w:szCs w:val="24"/>
    </w:rPr>
  </w:style>
  <w:style w:type="paragraph" w:customStyle="1" w:styleId="1140">
    <w:name w:val="表题1"/>
    <w:basedOn w:val="22"/>
    <w:link w:val="1139"/>
    <w:autoRedefine/>
    <w:qFormat/>
    <w:uiPriority w:val="0"/>
    <w:pPr>
      <w:widowControl w:val="0"/>
      <w:spacing w:after="0" w:line="500" w:lineRule="exact"/>
      <w:ind w:left="0" w:right="0" w:firstLine="0"/>
      <w:jc w:val="center"/>
    </w:pPr>
    <w:rPr>
      <w:rFonts w:ascii="宋体" w:hAnsi="Arial" w:eastAsia="宋体"/>
      <w:b/>
      <w:color w:val="auto"/>
      <w:sz w:val="24"/>
      <w:szCs w:val="24"/>
    </w:rPr>
  </w:style>
  <w:style w:type="character" w:customStyle="1" w:styleId="1141">
    <w:name w:val="dectext1"/>
    <w:autoRedefine/>
    <w:qFormat/>
    <w:uiPriority w:val="0"/>
    <w:rPr>
      <w:rFonts w:hint="eastAsia" w:ascii="宋体" w:hAnsi="宋体" w:eastAsia="宋体"/>
      <w:color w:val="333333"/>
      <w:sz w:val="21"/>
      <w:szCs w:val="21"/>
      <w:u w:val="none"/>
    </w:rPr>
  </w:style>
  <w:style w:type="character" w:customStyle="1" w:styleId="1142">
    <w:name w:val="zjgblk1"/>
    <w:autoRedefine/>
    <w:qFormat/>
    <w:uiPriority w:val="0"/>
    <w:rPr>
      <w:rFonts w:hint="default"/>
      <w:color w:val="000000"/>
      <w:sz w:val="18"/>
      <w:szCs w:val="18"/>
      <w:u w:val="none"/>
    </w:rPr>
  </w:style>
  <w:style w:type="character" w:customStyle="1" w:styleId="1143">
    <w:name w:val="s8xye"/>
    <w:basedOn w:val="90"/>
    <w:autoRedefine/>
    <w:qFormat/>
    <w:uiPriority w:val="0"/>
  </w:style>
  <w:style w:type="character" w:customStyle="1" w:styleId="1144">
    <w:name w:val="sv1hyw"/>
    <w:basedOn w:val="90"/>
    <w:autoRedefine/>
    <w:qFormat/>
    <w:uiPriority w:val="0"/>
  </w:style>
  <w:style w:type="character" w:customStyle="1" w:styleId="1145">
    <w:name w:val="表格标题新 Char"/>
    <w:link w:val="1146"/>
    <w:autoRedefine/>
    <w:qFormat/>
    <w:uiPriority w:val="0"/>
    <w:rPr>
      <w:rFonts w:ascii="仿宋_GB2312" w:hAnsi="宋体" w:eastAsia="黑体" w:cs="宋体"/>
      <w:b/>
      <w:snapToGrid w:val="0"/>
      <w:sz w:val="24"/>
      <w:szCs w:val="24"/>
    </w:rPr>
  </w:style>
  <w:style w:type="paragraph" w:customStyle="1" w:styleId="1146">
    <w:name w:val="表格标题新"/>
    <w:basedOn w:val="1"/>
    <w:link w:val="1145"/>
    <w:autoRedefine/>
    <w:qFormat/>
    <w:uiPriority w:val="0"/>
    <w:pPr>
      <w:widowControl/>
      <w:tabs>
        <w:tab w:val="left" w:pos="0"/>
      </w:tabs>
      <w:snapToGrid w:val="0"/>
      <w:spacing w:beforeLines="50"/>
      <w:ind w:firstLine="562"/>
      <w:jc w:val="center"/>
    </w:pPr>
    <w:rPr>
      <w:rFonts w:ascii="仿宋_GB2312" w:hAnsi="宋体" w:eastAsia="黑体"/>
      <w:b/>
      <w:snapToGrid w:val="0"/>
      <w:kern w:val="0"/>
      <w:sz w:val="24"/>
      <w:lang w:val="zh-CN"/>
    </w:rPr>
  </w:style>
  <w:style w:type="character" w:customStyle="1" w:styleId="1147">
    <w:name w:val="sxwt2u"/>
    <w:basedOn w:val="90"/>
    <w:autoRedefine/>
    <w:qFormat/>
    <w:uiPriority w:val="0"/>
  </w:style>
  <w:style w:type="character" w:customStyle="1" w:styleId="1148">
    <w:name w:val="c121"/>
    <w:autoRedefine/>
    <w:qFormat/>
    <w:uiPriority w:val="0"/>
    <w:rPr>
      <w:color w:val="666666"/>
      <w:sz w:val="18"/>
      <w:szCs w:val="18"/>
      <w:u w:val="none"/>
    </w:rPr>
  </w:style>
  <w:style w:type="character" w:customStyle="1" w:styleId="1149">
    <w:name w:val="Footer Line1 Char2"/>
    <w:autoRedefine/>
    <w:qFormat/>
    <w:uiPriority w:val="0"/>
    <w:rPr>
      <w:rFonts w:eastAsia="宋体"/>
      <w:kern w:val="2"/>
      <w:sz w:val="21"/>
      <w:szCs w:val="21"/>
      <w:lang w:val="en-US" w:eastAsia="zh-CN" w:bidi="ar-SA"/>
    </w:rPr>
  </w:style>
  <w:style w:type="character" w:customStyle="1" w:styleId="1150">
    <w:name w:val="正文01 Char Char"/>
    <w:link w:val="1151"/>
    <w:autoRedefine/>
    <w:qFormat/>
    <w:uiPriority w:val="0"/>
    <w:rPr>
      <w:sz w:val="24"/>
      <w:szCs w:val="24"/>
    </w:rPr>
  </w:style>
  <w:style w:type="paragraph" w:customStyle="1" w:styleId="1151">
    <w:name w:val="正文01"/>
    <w:basedOn w:val="1"/>
    <w:link w:val="1150"/>
    <w:autoRedefine/>
    <w:qFormat/>
    <w:uiPriority w:val="0"/>
    <w:pPr>
      <w:spacing w:before="60" w:line="460" w:lineRule="exact"/>
      <w:ind w:firstLine="200" w:firstLineChars="200"/>
    </w:pPr>
    <w:rPr>
      <w:kern w:val="0"/>
      <w:sz w:val="24"/>
      <w:lang w:val="zh-CN"/>
    </w:rPr>
  </w:style>
  <w:style w:type="character" w:customStyle="1" w:styleId="1152">
    <w:name w:val="纯文本 Char2"/>
    <w:autoRedefine/>
    <w:qFormat/>
    <w:uiPriority w:val="0"/>
    <w:rPr>
      <w:rFonts w:ascii="宋体" w:hAnsi="Courier New" w:eastAsia="宋体" w:cs="Courier New"/>
      <w:szCs w:val="21"/>
    </w:rPr>
  </w:style>
  <w:style w:type="character" w:customStyle="1" w:styleId="1153">
    <w:name w:val="Body Text 21 Char"/>
    <w:autoRedefine/>
    <w:qFormat/>
    <w:uiPriority w:val="0"/>
    <w:rPr>
      <w:rFonts w:eastAsia="仿宋体"/>
      <w:kern w:val="2"/>
      <w:sz w:val="24"/>
      <w:szCs w:val="28"/>
      <w:lang w:val="en-US" w:eastAsia="zh-CN" w:bidi="ar-SA"/>
    </w:rPr>
  </w:style>
  <w:style w:type="character" w:customStyle="1" w:styleId="1154">
    <w:name w:val="s2ze7v"/>
    <w:basedOn w:val="90"/>
    <w:autoRedefine/>
    <w:qFormat/>
    <w:uiPriority w:val="0"/>
  </w:style>
  <w:style w:type="character" w:customStyle="1" w:styleId="1155">
    <w:name w:val="smuvt"/>
    <w:basedOn w:val="90"/>
    <w:autoRedefine/>
    <w:qFormat/>
    <w:uiPriority w:val="0"/>
  </w:style>
  <w:style w:type="character" w:customStyle="1" w:styleId="1156">
    <w:name w:val="shekj8m"/>
    <w:basedOn w:val="90"/>
    <w:autoRedefine/>
    <w:qFormat/>
    <w:uiPriority w:val="0"/>
  </w:style>
  <w:style w:type="character" w:customStyle="1" w:styleId="1157">
    <w:name w:val="标题 3 Char1"/>
    <w:autoRedefine/>
    <w:qFormat/>
    <w:uiPriority w:val="0"/>
    <w:rPr>
      <w:rFonts w:eastAsia="宋体"/>
      <w:b/>
      <w:kern w:val="2"/>
      <w:sz w:val="32"/>
      <w:lang w:val="en-US" w:eastAsia="zh-CN"/>
    </w:rPr>
  </w:style>
  <w:style w:type="character" w:customStyle="1" w:styleId="1158">
    <w:name w:val="sy7t"/>
    <w:basedOn w:val="90"/>
    <w:autoRedefine/>
    <w:qFormat/>
    <w:uiPriority w:val="0"/>
  </w:style>
  <w:style w:type="character" w:customStyle="1" w:styleId="1159">
    <w:name w:val="z21"/>
    <w:autoRedefine/>
    <w:qFormat/>
    <w:uiPriority w:val="0"/>
    <w:rPr>
      <w:color w:val="000000"/>
      <w:sz w:val="18"/>
    </w:rPr>
  </w:style>
  <w:style w:type="character" w:customStyle="1" w:styleId="1160">
    <w:name w:val="lucket"/>
    <w:basedOn w:val="90"/>
    <w:autoRedefine/>
    <w:qFormat/>
    <w:uiPriority w:val="0"/>
  </w:style>
  <w:style w:type="character" w:customStyle="1" w:styleId="1161">
    <w:name w:val="postbody1"/>
    <w:autoRedefine/>
    <w:qFormat/>
    <w:uiPriority w:val="0"/>
    <w:rPr>
      <w:sz w:val="21"/>
    </w:rPr>
  </w:style>
  <w:style w:type="character" w:customStyle="1" w:styleId="1162">
    <w:name w:val="p111"/>
    <w:autoRedefine/>
    <w:qFormat/>
    <w:uiPriority w:val="0"/>
    <w:rPr>
      <w:rFonts w:eastAsia="宋体"/>
      <w:kern w:val="2"/>
      <w:sz w:val="28"/>
      <w:szCs w:val="28"/>
      <w:lang w:val="en-US" w:eastAsia="zh-CN" w:bidi="ar-SA"/>
    </w:rPr>
  </w:style>
  <w:style w:type="character" w:customStyle="1" w:styleId="1163">
    <w:name w:val="font_cn_14"/>
    <w:autoRedefine/>
    <w:qFormat/>
    <w:uiPriority w:val="0"/>
    <w:rPr>
      <w:rFonts w:eastAsia="宋体"/>
      <w:kern w:val="2"/>
      <w:sz w:val="28"/>
      <w:szCs w:val="28"/>
      <w:lang w:val="en-US" w:eastAsia="zh-CN" w:bidi="ar-SA"/>
    </w:rPr>
  </w:style>
  <w:style w:type="character" w:customStyle="1" w:styleId="1164">
    <w:name w:val="12font1"/>
    <w:autoRedefine/>
    <w:qFormat/>
    <w:uiPriority w:val="0"/>
    <w:rPr>
      <w:rFonts w:eastAsia="宋体"/>
      <w:kern w:val="2"/>
      <w:sz w:val="18"/>
      <w:szCs w:val="18"/>
      <w:lang w:val="en-US" w:eastAsia="zh-CN" w:bidi="ar-SA"/>
    </w:rPr>
  </w:style>
  <w:style w:type="character" w:customStyle="1" w:styleId="1165">
    <w:name w:val="z-窗体顶端 Char"/>
    <w:link w:val="1166"/>
    <w:autoRedefine/>
    <w:qFormat/>
    <w:uiPriority w:val="0"/>
    <w:rPr>
      <w:rFonts w:ascii="Arial" w:hAnsi="Arial" w:eastAsia="仿宋_GB2312"/>
      <w:vanish/>
      <w:sz w:val="16"/>
    </w:rPr>
  </w:style>
  <w:style w:type="paragraph" w:customStyle="1" w:styleId="1166">
    <w:name w:val="z-窗体顶端1"/>
    <w:basedOn w:val="1"/>
    <w:next w:val="1"/>
    <w:link w:val="1165"/>
    <w:autoRedefine/>
    <w:qFormat/>
    <w:uiPriority w:val="0"/>
    <w:pPr>
      <w:pBdr>
        <w:bottom w:val="single" w:color="auto" w:sz="6" w:space="1"/>
      </w:pBdr>
      <w:adjustRightInd w:val="0"/>
      <w:snapToGrid w:val="0"/>
      <w:spacing w:line="300" w:lineRule="auto"/>
      <w:jc w:val="center"/>
    </w:pPr>
    <w:rPr>
      <w:rFonts w:ascii="Arial" w:hAnsi="Arial" w:eastAsia="仿宋_GB2312"/>
      <w:vanish/>
      <w:kern w:val="0"/>
      <w:sz w:val="16"/>
      <w:szCs w:val="20"/>
      <w:lang w:val="zh-CN"/>
    </w:rPr>
  </w:style>
  <w:style w:type="character" w:customStyle="1" w:styleId="1167">
    <w:name w:val="样式 标题 2 + 黑体 小三 段前: 0 磅 段后: 0 磅 行距: 最小值 27 磅2 Char"/>
    <w:link w:val="1168"/>
    <w:autoRedefine/>
    <w:qFormat/>
    <w:uiPriority w:val="0"/>
    <w:rPr>
      <w:rFonts w:ascii="黑体" w:hAnsi="Arial" w:eastAsia="黑体" w:cs="宋体"/>
      <w:b/>
      <w:bCs/>
      <w:spacing w:val="8"/>
      <w:sz w:val="30"/>
    </w:rPr>
  </w:style>
  <w:style w:type="paragraph" w:customStyle="1" w:styleId="1168">
    <w:name w:val="样式 标题 2 + 黑体 小三 段前: 0 磅 段后: 0 磅 行距: 最小值 27 磅2"/>
    <w:basedOn w:val="4"/>
    <w:link w:val="1167"/>
    <w:autoRedefine/>
    <w:qFormat/>
    <w:uiPriority w:val="0"/>
    <w:pPr>
      <w:adjustRightInd w:val="0"/>
      <w:snapToGrid w:val="0"/>
      <w:spacing w:before="0" w:after="0" w:line="540" w:lineRule="atLeast"/>
    </w:pPr>
    <w:rPr>
      <w:rFonts w:ascii="黑体" w:hAnsi="Arial" w:eastAsia="黑体"/>
      <w:spacing w:val="8"/>
      <w:sz w:val="30"/>
      <w:szCs w:val="20"/>
    </w:rPr>
  </w:style>
  <w:style w:type="character" w:customStyle="1" w:styleId="1169">
    <w:name w:val="attach-title1"/>
    <w:autoRedefine/>
    <w:qFormat/>
    <w:uiPriority w:val="0"/>
    <w:rPr>
      <w:rFonts w:eastAsia="宋体"/>
      <w:b/>
      <w:color w:val="008080"/>
      <w:kern w:val="2"/>
      <w:sz w:val="27"/>
      <w:szCs w:val="28"/>
      <w:lang w:val="en-US" w:eastAsia="zh-CN" w:bidi="ar-SA"/>
    </w:rPr>
  </w:style>
  <w:style w:type="character" w:customStyle="1" w:styleId="1170">
    <w:name w:val="line1"/>
    <w:basedOn w:val="90"/>
    <w:autoRedefine/>
    <w:qFormat/>
    <w:uiPriority w:val="0"/>
  </w:style>
  <w:style w:type="character" w:customStyle="1" w:styleId="1171">
    <w:name w:val="标题 2 Char Char"/>
    <w:autoRedefine/>
    <w:qFormat/>
    <w:uiPriority w:val="0"/>
    <w:rPr>
      <w:rFonts w:ascii="Arial" w:hAnsi="Arial" w:eastAsia="黑体"/>
      <w:b/>
      <w:bCs/>
      <w:kern w:val="2"/>
      <w:sz w:val="32"/>
      <w:szCs w:val="32"/>
      <w:lang w:val="en-US" w:eastAsia="zh-CN" w:bidi="ar-SA"/>
    </w:rPr>
  </w:style>
  <w:style w:type="character" w:customStyle="1" w:styleId="1172">
    <w:name w:val="ht1"/>
    <w:autoRedefine/>
    <w:qFormat/>
    <w:uiPriority w:val="0"/>
    <w:rPr>
      <w:rFonts w:ascii="黑体" w:eastAsia="黑体"/>
      <w:b/>
      <w:bCs/>
      <w:kern w:val="2"/>
      <w:sz w:val="28"/>
      <w:szCs w:val="28"/>
      <w:lang w:val="en-US" w:eastAsia="zh-CN" w:bidi="ar-SA"/>
    </w:rPr>
  </w:style>
  <w:style w:type="character" w:customStyle="1" w:styleId="1173">
    <w:name w:val="第四层条 Char2"/>
    <w:autoRedefine/>
    <w:qFormat/>
    <w:uiPriority w:val="0"/>
    <w:rPr>
      <w:rFonts w:eastAsia="宋体"/>
      <w:spacing w:val="5"/>
      <w:kern w:val="2"/>
      <w:sz w:val="28"/>
      <w:szCs w:val="24"/>
      <w:lang w:val="en-US" w:eastAsia="zh-CN" w:bidi="ar-SA"/>
    </w:rPr>
  </w:style>
  <w:style w:type="character" w:customStyle="1" w:styleId="1174">
    <w:name w:val="16p"/>
    <w:basedOn w:val="90"/>
    <w:autoRedefine/>
    <w:qFormat/>
    <w:uiPriority w:val="0"/>
  </w:style>
  <w:style w:type="character" w:customStyle="1" w:styleId="1175">
    <w:name w:val="表内文字"/>
    <w:autoRedefine/>
    <w:qFormat/>
    <w:uiPriority w:val="0"/>
    <w:rPr>
      <w:rFonts w:ascii="宋体" w:hAnsi="宋体" w:eastAsia="宋体"/>
      <w:sz w:val="21"/>
      <w:szCs w:val="21"/>
    </w:rPr>
  </w:style>
  <w:style w:type="character" w:customStyle="1" w:styleId="1176">
    <w:name w:val="标准 Char"/>
    <w:autoRedefine/>
    <w:qFormat/>
    <w:uiPriority w:val="0"/>
    <w:rPr>
      <w:rFonts w:ascii="宋体" w:eastAsia="宋体"/>
      <w:sz w:val="28"/>
      <w:lang w:val="en-US" w:eastAsia="zh-CN" w:bidi="ar-SA"/>
    </w:rPr>
  </w:style>
  <w:style w:type="character" w:customStyle="1" w:styleId="1177">
    <w:name w:val="style61"/>
    <w:autoRedefine/>
    <w:qFormat/>
    <w:uiPriority w:val="0"/>
    <w:rPr>
      <w:sz w:val="45"/>
      <w:szCs w:val="45"/>
    </w:rPr>
  </w:style>
  <w:style w:type="character" w:customStyle="1" w:styleId="1178">
    <w:name w:val="al11"/>
    <w:autoRedefine/>
    <w:qFormat/>
    <w:uiPriority w:val="0"/>
    <w:rPr>
      <w:color w:val="333333"/>
      <w:sz w:val="18"/>
      <w:szCs w:val="18"/>
    </w:rPr>
  </w:style>
  <w:style w:type="character" w:customStyle="1" w:styleId="1179">
    <w:name w:val="unnamed3"/>
    <w:basedOn w:val="90"/>
    <w:autoRedefine/>
    <w:qFormat/>
    <w:uiPriority w:val="0"/>
  </w:style>
  <w:style w:type="character" w:customStyle="1" w:styleId="1180">
    <w:name w:val="text_14px1"/>
    <w:autoRedefine/>
    <w:qFormat/>
    <w:uiPriority w:val="0"/>
    <w:rPr>
      <w:color w:val="000000"/>
      <w:sz w:val="21"/>
      <w:szCs w:val="21"/>
    </w:rPr>
  </w:style>
  <w:style w:type="character" w:customStyle="1" w:styleId="1181">
    <w:name w:val="title_16px1"/>
    <w:autoRedefine/>
    <w:qFormat/>
    <w:uiPriority w:val="0"/>
    <w:rPr>
      <w:rFonts w:hint="eastAsia" w:ascii="黑体" w:eastAsia="黑体"/>
      <w:color w:val="333333"/>
      <w:sz w:val="27"/>
      <w:szCs w:val="27"/>
    </w:rPr>
  </w:style>
  <w:style w:type="character" w:customStyle="1" w:styleId="1182">
    <w:name w:val="表内5 Char"/>
    <w:link w:val="1183"/>
    <w:autoRedefine/>
    <w:qFormat/>
    <w:uiPriority w:val="0"/>
    <w:rPr>
      <w:rFonts w:ascii="宋体" w:hAnsi="宋体"/>
      <w:szCs w:val="24"/>
    </w:rPr>
  </w:style>
  <w:style w:type="paragraph" w:customStyle="1" w:styleId="1183">
    <w:name w:val="表内51"/>
    <w:basedOn w:val="1"/>
    <w:link w:val="1182"/>
    <w:autoRedefine/>
    <w:qFormat/>
    <w:uiPriority w:val="0"/>
    <w:pPr>
      <w:adjustRightInd w:val="0"/>
      <w:snapToGrid w:val="0"/>
      <w:jc w:val="center"/>
    </w:pPr>
    <w:rPr>
      <w:rFonts w:ascii="宋体" w:hAnsi="宋体"/>
      <w:kern w:val="0"/>
      <w:sz w:val="20"/>
      <w:lang w:val="zh-CN"/>
    </w:rPr>
  </w:style>
  <w:style w:type="character" w:customStyle="1" w:styleId="1184">
    <w:name w:val="bt21"/>
    <w:autoRedefine/>
    <w:qFormat/>
    <w:uiPriority w:val="0"/>
    <w:rPr>
      <w:rFonts w:hint="eastAsia" w:ascii="黑体" w:eastAsia="黑体"/>
      <w:sz w:val="24"/>
      <w:szCs w:val="24"/>
    </w:rPr>
  </w:style>
  <w:style w:type="character" w:customStyle="1" w:styleId="1185">
    <w:name w:val="sh141"/>
    <w:autoRedefine/>
    <w:qFormat/>
    <w:uiPriority w:val="0"/>
    <w:rPr>
      <w:color w:val="2B2B2B"/>
      <w:sz w:val="18"/>
      <w:szCs w:val="18"/>
    </w:rPr>
  </w:style>
  <w:style w:type="character" w:customStyle="1" w:styleId="1186">
    <w:name w:val="表题1 Char3"/>
    <w:autoRedefine/>
    <w:qFormat/>
    <w:uiPriority w:val="0"/>
    <w:rPr>
      <w:rFonts w:ascii="黑体" w:hAnsi="Arial" w:eastAsia="黑体" w:cs="Arial"/>
      <w:b/>
      <w:kern w:val="2"/>
      <w:sz w:val="24"/>
      <w:szCs w:val="24"/>
      <w:lang w:val="en-US" w:eastAsia="zh-CN" w:bidi="ar-SA"/>
    </w:rPr>
  </w:style>
  <w:style w:type="character" w:customStyle="1" w:styleId="1187">
    <w:name w:val="s c c"/>
    <w:basedOn w:val="90"/>
    <w:autoRedefine/>
    <w:qFormat/>
    <w:uiPriority w:val="0"/>
  </w:style>
  <w:style w:type="character" w:customStyle="1" w:styleId="1188">
    <w:name w:val="bb1"/>
    <w:autoRedefine/>
    <w:qFormat/>
    <w:uiPriority w:val="0"/>
    <w:rPr>
      <w:rFonts w:hint="default" w:ascii="Times New Roman" w:hAnsi="Times New Roman" w:cs="Times New Roman"/>
      <w:color w:val="000000"/>
      <w:sz w:val="24"/>
      <w:szCs w:val="24"/>
      <w:u w:val="none"/>
    </w:rPr>
  </w:style>
  <w:style w:type="character" w:customStyle="1" w:styleId="1189">
    <w:name w:val="正文缩进 Char6"/>
    <w:autoRedefine/>
    <w:qFormat/>
    <w:uiPriority w:val="0"/>
    <w:rPr>
      <w:rFonts w:ascii="宋体" w:hAnsi="宋体" w:eastAsia="宋体"/>
      <w:kern w:val="2"/>
      <w:sz w:val="24"/>
      <w:szCs w:val="24"/>
      <w:lang w:val="en-US" w:eastAsia="zh-CN" w:bidi="ar-SA"/>
    </w:rPr>
  </w:style>
  <w:style w:type="character" w:customStyle="1" w:styleId="1190">
    <w:name w:val="标题 3 Char10"/>
    <w:autoRedefine/>
    <w:qFormat/>
    <w:uiPriority w:val="0"/>
    <w:rPr>
      <w:rFonts w:ascii="黑体" w:hAnsi="宋体" w:eastAsia="黑体"/>
      <w:b/>
      <w:bCs/>
      <w:kern w:val="2"/>
      <w:sz w:val="28"/>
      <w:szCs w:val="28"/>
      <w:lang w:val="en-US" w:eastAsia="zh-CN" w:bidi="ar-SA"/>
    </w:rPr>
  </w:style>
  <w:style w:type="character" w:customStyle="1" w:styleId="1191">
    <w:name w:val="at_10"/>
    <w:basedOn w:val="90"/>
    <w:autoRedefine/>
    <w:qFormat/>
    <w:uiPriority w:val="0"/>
  </w:style>
  <w:style w:type="character" w:customStyle="1" w:styleId="1192">
    <w:name w:val="表中文字 Char23"/>
    <w:autoRedefine/>
    <w:qFormat/>
    <w:uiPriority w:val="0"/>
    <w:rPr>
      <w:rFonts w:ascii="宋体" w:eastAsia="宋体"/>
      <w:kern w:val="2"/>
      <w:sz w:val="21"/>
      <w:szCs w:val="21"/>
      <w:lang w:val="en-US" w:eastAsia="zh-CN" w:bidi="ar-SA"/>
    </w:rPr>
  </w:style>
  <w:style w:type="character" w:customStyle="1" w:styleId="1193">
    <w:name w:val="style3"/>
    <w:basedOn w:val="90"/>
    <w:autoRedefine/>
    <w:qFormat/>
    <w:uiPriority w:val="0"/>
  </w:style>
  <w:style w:type="character" w:customStyle="1" w:styleId="1194">
    <w:name w:val="style151"/>
    <w:autoRedefine/>
    <w:qFormat/>
    <w:uiPriority w:val="0"/>
    <w:rPr>
      <w:color w:val="000000"/>
    </w:rPr>
  </w:style>
  <w:style w:type="character" w:customStyle="1" w:styleId="1195">
    <w:name w:val="标题 2 Char4"/>
    <w:autoRedefine/>
    <w:qFormat/>
    <w:uiPriority w:val="0"/>
    <w:rPr>
      <w:rFonts w:ascii="黑体" w:hAnsi="Arial" w:eastAsia="黑体" w:cs="Times New Roman"/>
      <w:bCs/>
      <w:kern w:val="2"/>
      <w:sz w:val="30"/>
      <w:szCs w:val="30"/>
      <w:lang w:val="en-US" w:eastAsia="zh-CN" w:bidi="ar-SA"/>
    </w:rPr>
  </w:style>
  <w:style w:type="character" w:customStyle="1" w:styleId="1196">
    <w:name w:val="无效格式 Char"/>
    <w:autoRedefine/>
    <w:qFormat/>
    <w:uiPriority w:val="0"/>
    <w:rPr>
      <w:rFonts w:ascii="黑体" w:hAnsi="Arial" w:eastAsia="黑体"/>
      <w:b/>
      <w:bCs/>
      <w:kern w:val="2"/>
      <w:sz w:val="24"/>
      <w:szCs w:val="24"/>
      <w:lang w:val="en-US" w:eastAsia="zh-CN" w:bidi="ar-SA"/>
    </w:rPr>
  </w:style>
  <w:style w:type="character" w:customStyle="1" w:styleId="1197">
    <w:name w:val="福建正文缩进 Char1"/>
    <w:autoRedefine/>
    <w:qFormat/>
    <w:uiPriority w:val="0"/>
    <w:rPr>
      <w:rFonts w:ascii="宋体" w:eastAsia="宋体"/>
      <w:kern w:val="2"/>
      <w:sz w:val="24"/>
      <w:szCs w:val="24"/>
      <w:lang w:val="en-US" w:eastAsia="zh-CN" w:bidi="ar-SA"/>
    </w:rPr>
  </w:style>
  <w:style w:type="character" w:customStyle="1" w:styleId="1198">
    <w:name w:val="chang正文 Char"/>
    <w:link w:val="1199"/>
    <w:autoRedefine/>
    <w:qFormat/>
    <w:uiPriority w:val="0"/>
    <w:rPr>
      <w:rFonts w:cs="宋体"/>
      <w:sz w:val="24"/>
      <w:szCs w:val="24"/>
    </w:rPr>
  </w:style>
  <w:style w:type="paragraph" w:customStyle="1" w:styleId="1199">
    <w:name w:val="chang正文"/>
    <w:basedOn w:val="1"/>
    <w:link w:val="1198"/>
    <w:autoRedefine/>
    <w:qFormat/>
    <w:uiPriority w:val="0"/>
    <w:pPr>
      <w:spacing w:line="360" w:lineRule="auto"/>
      <w:ind w:firstLine="200" w:firstLineChars="200"/>
    </w:pPr>
    <w:rPr>
      <w:kern w:val="0"/>
      <w:sz w:val="24"/>
      <w:lang w:val="zh-CN"/>
    </w:rPr>
  </w:style>
  <w:style w:type="character" w:customStyle="1" w:styleId="1200">
    <w:name w:val="hhcwt标题4 Char Char"/>
    <w:link w:val="1201"/>
    <w:autoRedefine/>
    <w:qFormat/>
    <w:uiPriority w:val="0"/>
    <w:rPr>
      <w:rFonts w:ascii="Calibri" w:hAnsi="Calibri" w:eastAsia="楷体_GB2312"/>
      <w:sz w:val="28"/>
    </w:rPr>
  </w:style>
  <w:style w:type="paragraph" w:customStyle="1" w:styleId="1201">
    <w:name w:val="hhcwt标题4"/>
    <w:basedOn w:val="3"/>
    <w:link w:val="1200"/>
    <w:autoRedefine/>
    <w:qFormat/>
    <w:uiPriority w:val="0"/>
    <w:pPr>
      <w:tabs>
        <w:tab w:val="left" w:pos="360"/>
      </w:tabs>
      <w:overflowPunct/>
      <w:snapToGrid/>
      <w:spacing w:before="0" w:after="0" w:line="240" w:lineRule="auto"/>
      <w:ind w:left="0" w:firstLine="0"/>
      <w:jc w:val="center"/>
    </w:pPr>
    <w:rPr>
      <w:rFonts w:ascii="Calibri" w:hAnsi="Calibri" w:eastAsia="楷体_GB2312"/>
      <w:b w:val="0"/>
      <w:bCs w:val="0"/>
      <w:color w:val="auto"/>
      <w:kern w:val="0"/>
      <w:sz w:val="28"/>
      <w:szCs w:val="20"/>
    </w:rPr>
  </w:style>
  <w:style w:type="character" w:customStyle="1" w:styleId="1202">
    <w:name w:val="和桥报告正文 Char"/>
    <w:link w:val="1203"/>
    <w:autoRedefine/>
    <w:qFormat/>
    <w:uiPriority w:val="0"/>
    <w:rPr>
      <w:rFonts w:cs="宋体"/>
      <w:snapToGrid w:val="0"/>
      <w:kern w:val="24"/>
      <w:sz w:val="24"/>
      <w:szCs w:val="21"/>
    </w:rPr>
  </w:style>
  <w:style w:type="paragraph" w:customStyle="1" w:styleId="1203">
    <w:name w:val="和桥报告正文"/>
    <w:basedOn w:val="1"/>
    <w:link w:val="1202"/>
    <w:autoRedefine/>
    <w:qFormat/>
    <w:uiPriority w:val="0"/>
    <w:pPr>
      <w:adjustRightInd w:val="0"/>
      <w:snapToGrid w:val="0"/>
      <w:spacing w:line="360" w:lineRule="auto"/>
      <w:ind w:firstLine="482"/>
      <w:textAlignment w:val="baseline"/>
    </w:pPr>
    <w:rPr>
      <w:snapToGrid w:val="0"/>
      <w:kern w:val="24"/>
      <w:sz w:val="24"/>
      <w:szCs w:val="21"/>
      <w:lang w:val="zh-CN"/>
    </w:rPr>
  </w:style>
  <w:style w:type="character" w:customStyle="1" w:styleId="1204">
    <w:name w:val="图题注 Char1"/>
    <w:autoRedefine/>
    <w:qFormat/>
    <w:uiPriority w:val="0"/>
    <w:rPr>
      <w:rFonts w:ascii="黑体" w:hAnsi="Arial" w:eastAsia="黑体" w:cs="宋体"/>
      <w:b/>
      <w:bCs/>
      <w:kern w:val="2"/>
      <w:sz w:val="24"/>
      <w:szCs w:val="24"/>
      <w:lang w:val="en-US" w:eastAsia="zh-CN" w:bidi="ar-SA"/>
    </w:rPr>
  </w:style>
  <w:style w:type="character" w:customStyle="1" w:styleId="1205">
    <w:name w:val="正文文本 Char2"/>
    <w:autoRedefine/>
    <w:qFormat/>
    <w:uiPriority w:val="0"/>
    <w:rPr>
      <w:rFonts w:eastAsia="宋体"/>
      <w:kern w:val="2"/>
      <w:sz w:val="21"/>
      <w:szCs w:val="24"/>
      <w:lang w:val="en-US" w:eastAsia="zh-CN" w:bidi="ar-SA"/>
    </w:rPr>
  </w:style>
  <w:style w:type="character" w:customStyle="1" w:styleId="1206">
    <w:name w:val="批注引用 Char"/>
    <w:autoRedefine/>
    <w:qFormat/>
    <w:uiPriority w:val="0"/>
    <w:rPr>
      <w:rFonts w:hint="eastAsia"/>
      <w:color w:val="000000"/>
      <w:sz w:val="21"/>
      <w:u w:color="000000"/>
      <w:lang w:val="en-US" w:eastAsia="zh-CN"/>
    </w:rPr>
  </w:style>
  <w:style w:type="character" w:customStyle="1" w:styleId="1207">
    <w:name w:val=". [(iii)] Char"/>
    <w:autoRedefine/>
    <w:qFormat/>
    <w:uiPriority w:val="0"/>
    <w:rPr>
      <w:rFonts w:ascii="Arial" w:hAnsi="Arial" w:eastAsia="黑体"/>
      <w:kern w:val="2"/>
      <w:sz w:val="21"/>
      <w:szCs w:val="21"/>
      <w:lang w:val="en-US" w:eastAsia="zh-CN" w:bidi="ar-SA"/>
    </w:rPr>
  </w:style>
  <w:style w:type="character" w:customStyle="1" w:styleId="1208">
    <w:name w:val="样式 样式 样式 宋体 小四 行距: 多倍行距 1.4 字行2 + 黑色 + Times New Roman1 Char"/>
    <w:link w:val="1209"/>
    <w:autoRedefine/>
    <w:qFormat/>
    <w:uiPriority w:val="0"/>
    <w:rPr>
      <w:rFonts w:cs="宋体"/>
      <w:color w:val="000000"/>
      <w:sz w:val="24"/>
      <w:szCs w:val="24"/>
    </w:rPr>
  </w:style>
  <w:style w:type="paragraph" w:customStyle="1" w:styleId="1209">
    <w:name w:val="样式 样式 样式 宋体 小四 行距: 多倍行距 1.4 字行2 + 黑色 + Times New Roman1"/>
    <w:basedOn w:val="1"/>
    <w:link w:val="1208"/>
    <w:autoRedefine/>
    <w:qFormat/>
    <w:uiPriority w:val="0"/>
    <w:pPr>
      <w:spacing w:line="360" w:lineRule="auto"/>
      <w:ind w:firstLine="200" w:firstLineChars="200"/>
    </w:pPr>
    <w:rPr>
      <w:color w:val="000000"/>
      <w:kern w:val="0"/>
      <w:sz w:val="24"/>
      <w:lang w:val="zh-CN"/>
    </w:rPr>
  </w:style>
  <w:style w:type="character" w:customStyle="1" w:styleId="1210">
    <w:name w:val="样式 表格内字体 + Char1"/>
    <w:autoRedefine/>
    <w:qFormat/>
    <w:uiPriority w:val="0"/>
    <w:rPr>
      <w:rFonts w:ascii="宋体" w:hAnsi="宋体"/>
      <w:szCs w:val="24"/>
    </w:rPr>
  </w:style>
  <w:style w:type="character" w:customStyle="1" w:styleId="1211">
    <w:name w:val="样式 样式 样式 宋体 小四 行距: 多倍行距 1.4 字行2 + 黑色 + Times New Roman2 Char"/>
    <w:link w:val="1212"/>
    <w:autoRedefine/>
    <w:qFormat/>
    <w:uiPriority w:val="0"/>
    <w:rPr>
      <w:rFonts w:cs="宋体"/>
      <w:b/>
      <w:color w:val="000000"/>
      <w:spacing w:val="10"/>
    </w:rPr>
  </w:style>
  <w:style w:type="paragraph" w:customStyle="1" w:styleId="1212">
    <w:name w:val="样式 样式 样式 宋体 小四 行距: 多倍行距 1.4 字行2 + 黑色 + Times New Roman2"/>
    <w:basedOn w:val="702"/>
    <w:link w:val="1211"/>
    <w:autoRedefine/>
    <w:qFormat/>
    <w:uiPriority w:val="0"/>
    <w:pPr>
      <w:spacing w:line="360" w:lineRule="auto"/>
      <w:ind w:firstLine="200"/>
    </w:pPr>
  </w:style>
  <w:style w:type="character" w:customStyle="1" w:styleId="1213">
    <w:name w:val="文档结构图 Char3"/>
    <w:autoRedefine/>
    <w:qFormat/>
    <w:uiPriority w:val="0"/>
    <w:rPr>
      <w:rFonts w:eastAsia="宋体"/>
      <w:kern w:val="2"/>
      <w:sz w:val="21"/>
      <w:szCs w:val="24"/>
      <w:shd w:val="clear" w:color="auto" w:fill="000080"/>
      <w:lang w:val="en-US" w:eastAsia="zh-CN" w:bidi="ar-SA"/>
    </w:rPr>
  </w:style>
  <w:style w:type="character" w:customStyle="1" w:styleId="1214">
    <w:name w:val="表题1 Char41"/>
    <w:autoRedefine/>
    <w:qFormat/>
    <w:uiPriority w:val="0"/>
    <w:rPr>
      <w:rFonts w:ascii="黑体" w:hAnsi="Arial" w:eastAsia="黑体" w:cs="Arial"/>
      <w:b/>
      <w:kern w:val="2"/>
      <w:sz w:val="24"/>
      <w:szCs w:val="24"/>
      <w:lang w:val="en-US" w:eastAsia="zh-CN" w:bidi="ar-SA"/>
    </w:rPr>
  </w:style>
  <w:style w:type="character" w:customStyle="1" w:styleId="1215">
    <w:name w:val="图题 Char2"/>
    <w:autoRedefine/>
    <w:qFormat/>
    <w:uiPriority w:val="0"/>
    <w:rPr>
      <w:rFonts w:ascii="黑体" w:hAnsi="宋体" w:eastAsia="黑体" w:cs="宋体"/>
      <w:b/>
      <w:bCs/>
      <w:kern w:val="2"/>
      <w:sz w:val="24"/>
      <w:szCs w:val="24"/>
      <w:lang w:val="en-US" w:eastAsia="zh-CN" w:bidi="ar-SA"/>
    </w:rPr>
  </w:style>
  <w:style w:type="character" w:customStyle="1" w:styleId="1216">
    <w:name w:val="unnamed91"/>
    <w:autoRedefine/>
    <w:qFormat/>
    <w:uiPriority w:val="0"/>
    <w:rPr>
      <w:rFonts w:hint="eastAsia" w:ascii="宋体" w:hAnsi="宋体" w:eastAsia="宋体"/>
      <w:color w:val="000000"/>
      <w:spacing w:val="10"/>
      <w:kern w:val="44"/>
      <w:sz w:val="18"/>
      <w:szCs w:val="18"/>
      <w:u w:val="none"/>
      <w:lang w:val="en-US" w:eastAsia="zh-CN"/>
    </w:rPr>
  </w:style>
  <w:style w:type="character" w:customStyle="1" w:styleId="1217">
    <w:name w:val="标题 2 Char6"/>
    <w:autoRedefine/>
    <w:qFormat/>
    <w:uiPriority w:val="0"/>
    <w:rPr>
      <w:rFonts w:ascii="黑体" w:hAnsi="Arial" w:eastAsia="黑体"/>
      <w:b/>
      <w:bCs/>
      <w:kern w:val="2"/>
      <w:sz w:val="30"/>
      <w:szCs w:val="30"/>
      <w:lang w:val="en-US" w:eastAsia="zh-CN" w:bidi="ar-SA"/>
    </w:rPr>
  </w:style>
  <w:style w:type="character" w:customStyle="1" w:styleId="1218">
    <w:name w:val="表题1 Char71"/>
    <w:autoRedefine/>
    <w:qFormat/>
    <w:uiPriority w:val="0"/>
    <w:rPr>
      <w:rFonts w:ascii="黑体" w:hAnsi="Arial" w:eastAsia="黑体" w:cs="Arial"/>
      <w:b/>
      <w:kern w:val="2"/>
      <w:sz w:val="24"/>
      <w:szCs w:val="24"/>
      <w:lang w:val="en-US" w:eastAsia="zh-CN" w:bidi="ar-SA"/>
    </w:rPr>
  </w:style>
  <w:style w:type="character" w:customStyle="1" w:styleId="1219">
    <w:name w:val="表中文字 Char26"/>
    <w:autoRedefine/>
    <w:qFormat/>
    <w:uiPriority w:val="0"/>
    <w:rPr>
      <w:rFonts w:ascii="宋体" w:eastAsia="宋体"/>
      <w:kern w:val="2"/>
      <w:sz w:val="21"/>
      <w:szCs w:val="21"/>
      <w:lang w:val="en-US" w:eastAsia="zh-CN" w:bidi="ar-SA"/>
    </w:rPr>
  </w:style>
  <w:style w:type="character" w:customStyle="1" w:styleId="1220">
    <w:name w:val="表内5 Char3"/>
    <w:autoRedefine/>
    <w:qFormat/>
    <w:uiPriority w:val="0"/>
    <w:rPr>
      <w:rFonts w:ascii="宋体" w:hAnsi="宋体" w:eastAsia="宋体" w:cs="Times New Roman"/>
      <w:kern w:val="2"/>
      <w:sz w:val="24"/>
      <w:szCs w:val="24"/>
      <w:lang w:val="en-US" w:eastAsia="zh-CN" w:bidi="ar-SA"/>
    </w:rPr>
  </w:style>
  <w:style w:type="character" w:customStyle="1" w:styleId="1221">
    <w:name w:val="Char Char64"/>
    <w:autoRedefine/>
    <w:qFormat/>
    <w:uiPriority w:val="0"/>
    <w:rPr>
      <w:rFonts w:ascii="黑体" w:eastAsia="黑体"/>
      <w:b/>
      <w:bCs/>
      <w:kern w:val="2"/>
      <w:sz w:val="28"/>
      <w:szCs w:val="28"/>
      <w:lang w:val="en-US" w:eastAsia="zh-CN" w:bidi="ar-SA"/>
    </w:rPr>
  </w:style>
  <w:style w:type="character" w:customStyle="1" w:styleId="1222">
    <w:name w:val="样式 表内小5 + 黑体 加粗 倾斜 下划线 Char2"/>
    <w:autoRedefine/>
    <w:qFormat/>
    <w:uiPriority w:val="0"/>
    <w:rPr>
      <w:rFonts w:ascii="黑体" w:hAnsi="黑体" w:eastAsia="黑体"/>
      <w:b/>
      <w:bCs/>
      <w:i/>
      <w:iCs/>
      <w:kern w:val="2"/>
      <w:sz w:val="18"/>
      <w:szCs w:val="24"/>
      <w:u w:val="single"/>
      <w:lang w:val="en-US" w:eastAsia="zh-CN" w:bidi="ar-SA"/>
    </w:rPr>
  </w:style>
  <w:style w:type="character" w:customStyle="1" w:styleId="1223">
    <w:name w:val="正文文本缩进 2 Char1"/>
    <w:autoRedefine/>
    <w:qFormat/>
    <w:uiPriority w:val="0"/>
    <w:rPr>
      <w:rFonts w:ascii="Calibri" w:hAnsi="Calibri" w:eastAsia="宋体" w:cs="Times New Roman"/>
    </w:rPr>
  </w:style>
  <w:style w:type="character" w:customStyle="1" w:styleId="1224">
    <w:name w:val="style391"/>
    <w:autoRedefine/>
    <w:qFormat/>
    <w:uiPriority w:val="0"/>
    <w:rPr>
      <w:b/>
      <w:bCs/>
      <w:color w:val="CC0000"/>
    </w:rPr>
  </w:style>
  <w:style w:type="character" w:customStyle="1" w:styleId="1225">
    <w:name w:val="part"/>
    <w:basedOn w:val="90"/>
    <w:autoRedefine/>
    <w:qFormat/>
    <w:uiPriority w:val="0"/>
  </w:style>
  <w:style w:type="character" w:customStyle="1" w:styleId="1226">
    <w:name w:val="正文缩进 Char14"/>
    <w:autoRedefine/>
    <w:qFormat/>
    <w:uiPriority w:val="0"/>
    <w:rPr>
      <w:rFonts w:ascii="宋体" w:hAnsi="宋体" w:eastAsia="宋体" w:cs="宋体"/>
      <w:color w:val="000000"/>
      <w:kern w:val="2"/>
      <w:sz w:val="24"/>
      <w:szCs w:val="24"/>
      <w:lang w:val="en-US" w:eastAsia="zh-CN" w:bidi="ar-SA"/>
    </w:rPr>
  </w:style>
  <w:style w:type="character" w:customStyle="1" w:styleId="1227">
    <w:name w:val="Char Char213"/>
    <w:autoRedefine/>
    <w:qFormat/>
    <w:uiPriority w:val="0"/>
    <w:rPr>
      <w:rFonts w:ascii="黑体" w:eastAsia="宋体"/>
      <w:kern w:val="2"/>
      <w:sz w:val="16"/>
      <w:szCs w:val="16"/>
      <w:lang w:val="en-US" w:eastAsia="zh-CN" w:bidi="ar-SA"/>
    </w:rPr>
  </w:style>
  <w:style w:type="character" w:customStyle="1" w:styleId="1228">
    <w:name w:val="文本 Char Char"/>
    <w:autoRedefine/>
    <w:qFormat/>
    <w:uiPriority w:val="0"/>
    <w:rPr>
      <w:rFonts w:eastAsia="宋体" w:cs="宋体"/>
      <w:sz w:val="24"/>
    </w:rPr>
  </w:style>
  <w:style w:type="character" w:customStyle="1" w:styleId="1229">
    <w:name w:val="河石管道4 Char4"/>
    <w:autoRedefine/>
    <w:qFormat/>
    <w:uiPriority w:val="0"/>
    <w:rPr>
      <w:rFonts w:ascii="黑体" w:hAnsi="Arial" w:eastAsia="黑体"/>
      <w:bCs/>
      <w:kern w:val="2"/>
      <w:sz w:val="24"/>
      <w:szCs w:val="24"/>
      <w:lang w:val="en-US" w:eastAsia="zh-CN" w:bidi="ar-SA"/>
    </w:rPr>
  </w:style>
  <w:style w:type="character" w:customStyle="1" w:styleId="1230">
    <w:name w:val="表题1 Char44"/>
    <w:autoRedefine/>
    <w:qFormat/>
    <w:uiPriority w:val="0"/>
    <w:rPr>
      <w:rFonts w:ascii="黑体" w:hAnsi="Arial" w:eastAsia="黑体" w:cs="Arial"/>
      <w:b/>
      <w:kern w:val="2"/>
      <w:sz w:val="24"/>
      <w:szCs w:val="24"/>
      <w:lang w:val="en-US" w:eastAsia="zh-CN" w:bidi="ar-SA"/>
    </w:rPr>
  </w:style>
  <w:style w:type="paragraph" w:customStyle="1" w:styleId="1231">
    <w:name w:val="页眉左"/>
    <w:basedOn w:val="57"/>
    <w:autoRedefine/>
    <w:qFormat/>
    <w:uiPriority w:val="99"/>
    <w:rPr>
      <w:rFonts w:ascii="Calibri" w:hAnsi="Calibri"/>
      <w:szCs w:val="18"/>
      <w:lang w:val="en-US"/>
    </w:rPr>
  </w:style>
  <w:style w:type="paragraph" w:customStyle="1" w:styleId="1232">
    <w:name w:val="正文格式7"/>
    <w:basedOn w:val="1"/>
    <w:autoRedefine/>
    <w:qFormat/>
    <w:uiPriority w:val="0"/>
    <w:pPr>
      <w:spacing w:line="360" w:lineRule="auto"/>
      <w:ind w:firstLine="482"/>
    </w:pPr>
    <w:rPr>
      <w:rFonts w:ascii="宋体" w:hAnsi="宋体"/>
      <w:sz w:val="24"/>
    </w:rPr>
  </w:style>
  <w:style w:type="paragraph" w:customStyle="1" w:styleId="1233">
    <w:name w:val="表里"/>
    <w:basedOn w:val="1"/>
    <w:autoRedefine/>
    <w:qFormat/>
    <w:uiPriority w:val="39"/>
    <w:pPr>
      <w:jc w:val="center"/>
      <w:outlineLvl w:val="8"/>
    </w:pPr>
    <w:rPr>
      <w:sz w:val="24"/>
    </w:rPr>
  </w:style>
  <w:style w:type="paragraph" w:customStyle="1" w:styleId="1234">
    <w:name w:val="xl158"/>
    <w:basedOn w:val="1"/>
    <w:autoRedefine/>
    <w:qFormat/>
    <w:uiPriority w:val="99"/>
    <w:pPr>
      <w:widowControl/>
      <w:pBdr>
        <w:bottom w:val="single" w:color="auto" w:sz="8" w:space="0"/>
        <w:right w:val="single" w:color="auto" w:sz="4" w:space="0"/>
      </w:pBdr>
      <w:spacing w:before="100" w:beforeAutospacing="1" w:after="100" w:afterAutospacing="1"/>
      <w:jc w:val="left"/>
    </w:pPr>
    <w:rPr>
      <w:rFonts w:ascii="Arial Unicode MS" w:hAnsi="Arial Unicode MS"/>
      <w:kern w:val="0"/>
      <w:sz w:val="16"/>
      <w:szCs w:val="16"/>
    </w:rPr>
  </w:style>
  <w:style w:type="paragraph" w:customStyle="1" w:styleId="1235">
    <w:name w:val="图题13"/>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236">
    <w:name w:val="xl90"/>
    <w:basedOn w:val="1"/>
    <w:autoRedefine/>
    <w:qFormat/>
    <w:uiPriority w:val="0"/>
    <w:pPr>
      <w:widowControl/>
      <w:pBdr>
        <w:bottom w:val="single" w:color="auto" w:sz="12"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237">
    <w:name w:val="标题 3  标题1.1.1"/>
    <w:basedOn w:val="1"/>
    <w:autoRedefine/>
    <w:qFormat/>
    <w:uiPriority w:val="0"/>
    <w:pPr>
      <w:keepNext/>
      <w:keepLines/>
      <w:adjustRightInd w:val="0"/>
      <w:snapToGrid w:val="0"/>
      <w:spacing w:beforeLines="50" w:afterLines="50"/>
      <w:ind w:right="-176" w:rightChars="-84"/>
      <w:textAlignment w:val="baseline"/>
      <w:outlineLvl w:val="2"/>
    </w:pPr>
    <w:rPr>
      <w:rFonts w:ascii="黑体" w:hAnsi="宋体" w:eastAsia="黑体" w:cs="宋体"/>
      <w:color w:val="000000"/>
      <w:kern w:val="0"/>
      <w:sz w:val="24"/>
    </w:rPr>
  </w:style>
  <w:style w:type="paragraph" w:customStyle="1" w:styleId="1238">
    <w:name w:val="默认段落字体 Para Char52"/>
    <w:basedOn w:val="1"/>
    <w:next w:val="1"/>
    <w:autoRedefine/>
    <w:qFormat/>
    <w:uiPriority w:val="0"/>
    <w:pPr>
      <w:spacing w:line="480" w:lineRule="exact"/>
      <w:ind w:firstLine="200" w:firstLineChars="200"/>
      <w:jc w:val="left"/>
    </w:pPr>
    <w:rPr>
      <w:rFonts w:ascii="宋体" w:hAnsi="宋体" w:eastAsia="汉鼎简书宋" w:cs="宋体"/>
      <w:sz w:val="28"/>
    </w:rPr>
  </w:style>
  <w:style w:type="character" w:customStyle="1" w:styleId="1239">
    <w:name w:val="副标题 Char1"/>
    <w:autoRedefine/>
    <w:qFormat/>
    <w:uiPriority w:val="11"/>
    <w:rPr>
      <w:rFonts w:ascii="等线 Light" w:hAnsi="等线 Light" w:cs="Times New Roman"/>
      <w:b/>
      <w:bCs/>
      <w:kern w:val="28"/>
      <w:sz w:val="32"/>
      <w:szCs w:val="32"/>
    </w:rPr>
  </w:style>
  <w:style w:type="paragraph" w:customStyle="1" w:styleId="1240">
    <w:name w:val="表内文字小31"/>
    <w:basedOn w:val="1"/>
    <w:autoRedefine/>
    <w:qFormat/>
    <w:uiPriority w:val="0"/>
    <w:pPr>
      <w:adjustRightInd w:val="0"/>
      <w:snapToGrid w:val="0"/>
      <w:jc w:val="center"/>
    </w:pPr>
    <w:rPr>
      <w:rFonts w:ascii="宋体" w:hAnsi="Times" w:cs="宋体"/>
      <w:bCs/>
      <w:color w:val="003366"/>
      <w:szCs w:val="20"/>
    </w:rPr>
  </w:style>
  <w:style w:type="paragraph" w:customStyle="1" w:styleId="1241">
    <w:name w:val="表中字"/>
    <w:autoRedefine/>
    <w:qFormat/>
    <w:uiPriority w:val="0"/>
    <w:pPr>
      <w:widowControl w:val="0"/>
      <w:adjustRightInd w:val="0"/>
      <w:snapToGrid w:val="0"/>
      <w:jc w:val="center"/>
    </w:pPr>
    <w:rPr>
      <w:rFonts w:ascii="Times New Roman" w:hAnsi="Times New Roman" w:eastAsia="宋体" w:cs="Times New Roman"/>
      <w:w w:val="90"/>
      <w:sz w:val="21"/>
      <w:lang w:val="en-US" w:eastAsia="zh-CN" w:bidi="ar-SA"/>
    </w:rPr>
  </w:style>
  <w:style w:type="paragraph" w:customStyle="1" w:styleId="1242">
    <w:name w:val="xl155"/>
    <w:basedOn w:val="1"/>
    <w:autoRedefine/>
    <w:qFormat/>
    <w:uiPriority w:val="99"/>
    <w:pPr>
      <w:widowControl/>
      <w:pBdr>
        <w:top w:val="single" w:color="auto" w:sz="4" w:space="0"/>
        <w:left w:val="single" w:color="auto" w:sz="4" w:space="0"/>
        <w:right w:val="single" w:color="auto" w:sz="4" w:space="0"/>
      </w:pBdr>
      <w:spacing w:before="100" w:beforeAutospacing="1" w:after="100" w:afterAutospacing="1"/>
      <w:jc w:val="left"/>
    </w:pPr>
    <w:rPr>
      <w:rFonts w:ascii="Arial Unicode MS" w:hAnsi="Arial Unicode MS"/>
      <w:kern w:val="0"/>
      <w:sz w:val="20"/>
      <w:szCs w:val="20"/>
    </w:rPr>
  </w:style>
  <w:style w:type="paragraph" w:customStyle="1" w:styleId="1243">
    <w:name w:val="表内字"/>
    <w:autoRedefine/>
    <w:qFormat/>
    <w:uiPriority w:val="99"/>
    <w:pPr>
      <w:spacing w:line="312" w:lineRule="auto"/>
      <w:jc w:val="center"/>
    </w:pPr>
    <w:rPr>
      <w:rFonts w:ascii="Times New Roman" w:hAnsi="Times New Roman" w:eastAsia="宋体" w:cs="Times New Roman"/>
      <w:color w:val="000000"/>
      <w:sz w:val="21"/>
      <w:lang w:val="en-US" w:eastAsia="zh-CN" w:bidi="ar-SA"/>
    </w:rPr>
  </w:style>
  <w:style w:type="paragraph" w:customStyle="1" w:styleId="1244">
    <w:name w:val="xl163"/>
    <w:basedOn w:val="1"/>
    <w:autoRedefine/>
    <w:qFormat/>
    <w:uiPriority w:val="99"/>
    <w:pPr>
      <w:widowControl/>
      <w:pBdr>
        <w:left w:val="single" w:color="auto" w:sz="12" w:space="0"/>
      </w:pBdr>
      <w:spacing w:before="100" w:beforeAutospacing="1" w:after="100" w:afterAutospacing="1"/>
      <w:jc w:val="center"/>
      <w:textAlignment w:val="center"/>
    </w:pPr>
    <w:rPr>
      <w:rFonts w:ascii="Arial Unicode MS" w:hAnsi="Arial Unicode MS"/>
      <w:kern w:val="0"/>
    </w:rPr>
  </w:style>
  <w:style w:type="paragraph" w:customStyle="1" w:styleId="1245">
    <w:name w:val="正文文本缩进1"/>
    <w:basedOn w:val="1"/>
    <w:autoRedefine/>
    <w:qFormat/>
    <w:uiPriority w:val="99"/>
    <w:pPr>
      <w:spacing w:after="120" w:line="360" w:lineRule="auto"/>
      <w:ind w:left="420" w:leftChars="200" w:firstLine="200" w:firstLineChars="200"/>
    </w:pPr>
    <w:rPr>
      <w:sz w:val="24"/>
    </w:rPr>
  </w:style>
  <w:style w:type="paragraph" w:customStyle="1" w:styleId="1246">
    <w:name w:val="燕山正文1312"/>
    <w:basedOn w:val="1"/>
    <w:autoRedefine/>
    <w:qFormat/>
    <w:uiPriority w:val="0"/>
    <w:pPr>
      <w:tabs>
        <w:tab w:val="left" w:pos="4680"/>
      </w:tabs>
      <w:adjustRightInd w:val="0"/>
      <w:snapToGrid w:val="0"/>
      <w:spacing w:line="360" w:lineRule="auto"/>
      <w:ind w:firstLine="480" w:firstLineChars="200"/>
    </w:pPr>
    <w:rPr>
      <w:rFonts w:ascii="宋体" w:hAnsi="宋体" w:cs="宋体"/>
      <w:bCs/>
      <w:color w:val="000000"/>
      <w:sz w:val="24"/>
    </w:rPr>
  </w:style>
  <w:style w:type="paragraph" w:customStyle="1" w:styleId="1247">
    <w:name w:val="xl105"/>
    <w:basedOn w:val="1"/>
    <w:autoRedefine/>
    <w:qFormat/>
    <w:uiPriority w:val="0"/>
    <w:pPr>
      <w:widowControl/>
      <w:spacing w:before="100" w:beforeAutospacing="1" w:after="100" w:afterAutospacing="1"/>
      <w:jc w:val="center"/>
      <w:textAlignment w:val="center"/>
    </w:pPr>
    <w:rPr>
      <w:rFonts w:ascii="Arial Unicode MS" w:hAnsi="Arial Unicode MS"/>
      <w:kern w:val="0"/>
    </w:rPr>
  </w:style>
  <w:style w:type="paragraph" w:customStyle="1" w:styleId="1248">
    <w:name w:val="黑体三号34"/>
    <w:basedOn w:val="418"/>
    <w:autoRedefine/>
    <w:qFormat/>
    <w:uiPriority w:val="0"/>
    <w:pPr>
      <w:jc w:val="center"/>
    </w:pPr>
    <w:rPr>
      <w:rFonts w:ascii="黑体" w:hAnsi="宋体" w:eastAsia="黑体" w:cs="宋体"/>
      <w:bCs/>
      <w:spacing w:val="0"/>
      <w:sz w:val="32"/>
    </w:rPr>
  </w:style>
  <w:style w:type="paragraph" w:customStyle="1" w:styleId="1249">
    <w:name w:val="列出段落2"/>
    <w:basedOn w:val="1"/>
    <w:autoRedefine/>
    <w:qFormat/>
    <w:uiPriority w:val="99"/>
    <w:pPr>
      <w:ind w:firstLine="420" w:firstLineChars="200"/>
    </w:pPr>
    <w:rPr>
      <w:szCs w:val="22"/>
    </w:rPr>
  </w:style>
  <w:style w:type="paragraph" w:customStyle="1" w:styleId="1250">
    <w:name w:val="样式 样式 标题 4 + 黑色 左侧:  -0.01 厘米 首行缩进:  0.01 厘米 + 左侧:  0 厘米 首行缩进: ..."/>
    <w:basedOn w:val="1"/>
    <w:autoRedefine/>
    <w:qFormat/>
    <w:uiPriority w:val="99"/>
    <w:pPr>
      <w:keepNext/>
      <w:keepLines/>
      <w:tabs>
        <w:tab w:val="left" w:pos="851"/>
      </w:tabs>
      <w:spacing w:before="156" w:line="324" w:lineRule="auto"/>
      <w:ind w:left="851" w:hanging="851"/>
    </w:pPr>
    <w:rPr>
      <w:rFonts w:ascii="仿宋_GB2312" w:hAnsi="Arial" w:eastAsia="仿宋_GB2312"/>
      <w:color w:val="000000"/>
      <w:sz w:val="28"/>
      <w:szCs w:val="20"/>
    </w:rPr>
  </w:style>
  <w:style w:type="paragraph" w:customStyle="1" w:styleId="1251">
    <w:name w:val="表内宋5中24"/>
    <w:basedOn w:val="1"/>
    <w:autoRedefine/>
    <w:qFormat/>
    <w:uiPriority w:val="0"/>
    <w:pPr>
      <w:adjustRightInd w:val="0"/>
      <w:snapToGrid w:val="0"/>
      <w:jc w:val="center"/>
      <w:textAlignment w:val="baseline"/>
    </w:pPr>
    <w:rPr>
      <w:rFonts w:ascii="宋体" w:hAnsi="宋体"/>
      <w:kern w:val="0"/>
      <w:szCs w:val="20"/>
    </w:rPr>
  </w:style>
  <w:style w:type="paragraph" w:customStyle="1" w:styleId="1252">
    <w:name w:val="样式 标题 1 + 段前: 1.5 行 段后: 1.5 行"/>
    <w:basedOn w:val="3"/>
    <w:autoRedefine/>
    <w:qFormat/>
    <w:uiPriority w:val="0"/>
    <w:pPr>
      <w:keepLines/>
      <w:tabs>
        <w:tab w:val="left" w:pos="432"/>
      </w:tabs>
      <w:overflowPunct/>
      <w:adjustRightInd w:val="0"/>
      <w:spacing w:before="100" w:after="100" w:line="300" w:lineRule="auto"/>
      <w:ind w:left="431" w:hanging="431"/>
    </w:pPr>
    <w:rPr>
      <w:rFonts w:ascii="仿宋_GB2312" w:eastAsia="仿宋_GB2312"/>
      <w:bCs w:val="0"/>
      <w:color w:val="auto"/>
      <w:sz w:val="32"/>
      <w:szCs w:val="20"/>
    </w:rPr>
  </w:style>
  <w:style w:type="paragraph" w:customStyle="1" w:styleId="1253">
    <w:name w:val="xl57"/>
    <w:basedOn w:val="1"/>
    <w:autoRedefine/>
    <w:qFormat/>
    <w:uiPriority w:val="0"/>
    <w:pPr>
      <w:widowControl/>
      <w:spacing w:before="100" w:beforeAutospacing="1" w:after="100" w:afterAutospacing="1"/>
      <w:jc w:val="left"/>
    </w:pPr>
    <w:rPr>
      <w:rFonts w:ascii="Arial Unicode MS" w:hAnsi="Arial Unicode MS"/>
      <w:kern w:val="0"/>
      <w:sz w:val="12"/>
      <w:szCs w:val="12"/>
    </w:rPr>
  </w:style>
  <w:style w:type="paragraph" w:customStyle="1" w:styleId="1254">
    <w:name w:val="表字1"/>
    <w:basedOn w:val="1"/>
    <w:autoRedefine/>
    <w:qFormat/>
    <w:uiPriority w:val="99"/>
    <w:pPr>
      <w:adjustRightInd w:val="0"/>
      <w:spacing w:line="360" w:lineRule="auto"/>
      <w:jc w:val="center"/>
      <w:textAlignment w:val="baseline"/>
    </w:pPr>
    <w:rPr>
      <w:rFonts w:ascii="宋体"/>
      <w:kern w:val="0"/>
      <w:szCs w:val="20"/>
    </w:rPr>
  </w:style>
  <w:style w:type="paragraph" w:customStyle="1" w:styleId="1255">
    <w:name w:val="Char Char Char1 Char1"/>
    <w:basedOn w:val="1"/>
    <w:autoRedefine/>
    <w:qFormat/>
    <w:uiPriority w:val="0"/>
    <w:rPr>
      <w:szCs w:val="20"/>
    </w:rPr>
  </w:style>
  <w:style w:type="paragraph" w:customStyle="1" w:styleId="1256">
    <w:name w:val="font8"/>
    <w:basedOn w:val="1"/>
    <w:autoRedefine/>
    <w:qFormat/>
    <w:uiPriority w:val="0"/>
    <w:pPr>
      <w:widowControl/>
      <w:spacing w:before="100" w:beforeAutospacing="1" w:after="100" w:afterAutospacing="1"/>
      <w:jc w:val="left"/>
    </w:pPr>
    <w:rPr>
      <w:kern w:val="0"/>
      <w:sz w:val="12"/>
      <w:szCs w:val="12"/>
    </w:rPr>
  </w:style>
  <w:style w:type="paragraph" w:customStyle="1" w:styleId="1257">
    <w:name w:val="表8"/>
    <w:basedOn w:val="1"/>
    <w:autoRedefine/>
    <w:qFormat/>
    <w:uiPriority w:val="0"/>
    <w:pPr>
      <w:tabs>
        <w:tab w:val="left" w:pos="1200"/>
      </w:tabs>
      <w:ind w:left="1200" w:hanging="360"/>
      <w:jc w:val="center"/>
    </w:pPr>
    <w:rPr>
      <w:b/>
      <w:szCs w:val="21"/>
    </w:rPr>
  </w:style>
  <w:style w:type="paragraph" w:customStyle="1" w:styleId="1258">
    <w:name w:val="xl101"/>
    <w:basedOn w:val="1"/>
    <w:autoRedefine/>
    <w:qFormat/>
    <w:uiPriority w:val="0"/>
    <w:pPr>
      <w:widowControl/>
      <w:pBdr>
        <w:left w:val="single" w:color="auto" w:sz="4" w:space="0"/>
        <w:right w:val="single" w:color="auto" w:sz="12"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259">
    <w:name w:val="高表标"/>
    <w:basedOn w:val="1"/>
    <w:autoRedefine/>
    <w:qFormat/>
    <w:uiPriority w:val="99"/>
    <w:pPr>
      <w:snapToGrid w:val="0"/>
      <w:spacing w:line="300" w:lineRule="auto"/>
      <w:jc w:val="right"/>
    </w:pPr>
    <w:rPr>
      <w:rFonts w:ascii="Arial" w:hAnsi="Arial" w:eastAsia="黑体"/>
      <w:bCs/>
      <w:sz w:val="24"/>
    </w:rPr>
  </w:style>
  <w:style w:type="paragraph" w:customStyle="1" w:styleId="1260">
    <w:name w:val="－列表2"/>
    <w:basedOn w:val="1"/>
    <w:autoRedefine/>
    <w:qFormat/>
    <w:uiPriority w:val="0"/>
    <w:pPr>
      <w:jc w:val="center"/>
    </w:pPr>
    <w:rPr>
      <w:szCs w:val="21"/>
    </w:rPr>
  </w:style>
  <w:style w:type="paragraph" w:customStyle="1" w:styleId="1261">
    <w:name w:val="纯文本2"/>
    <w:basedOn w:val="1"/>
    <w:autoRedefine/>
    <w:qFormat/>
    <w:uiPriority w:val="99"/>
    <w:pPr>
      <w:adjustRightInd w:val="0"/>
      <w:textAlignment w:val="baseline"/>
    </w:pPr>
    <w:rPr>
      <w:rFonts w:ascii="宋体" w:hAnsi="Courier New"/>
      <w:szCs w:val="20"/>
    </w:rPr>
  </w:style>
  <w:style w:type="paragraph" w:customStyle="1" w:styleId="1262">
    <w:name w:val="c"/>
    <w:autoRedefine/>
    <w:qFormat/>
    <w:uiPriority w:val="0"/>
    <w:pPr>
      <w:widowControl w:val="0"/>
      <w:autoSpaceDE w:val="0"/>
      <w:autoSpaceDN w:val="0"/>
      <w:adjustRightInd w:val="0"/>
      <w:jc w:val="both"/>
    </w:pPr>
    <w:rPr>
      <w:rFonts w:ascii="Arial" w:hAnsi="Arial" w:eastAsia="宋体" w:cs="Times New Roman"/>
      <w:sz w:val="24"/>
      <w:lang w:val="en-US" w:eastAsia="zh-CN" w:bidi="ar-SA"/>
    </w:rPr>
  </w:style>
  <w:style w:type="paragraph" w:customStyle="1" w:styleId="1263">
    <w:name w:val="封面"/>
    <w:basedOn w:val="1"/>
    <w:autoRedefine/>
    <w:qFormat/>
    <w:uiPriority w:val="0"/>
    <w:pPr>
      <w:adjustRightInd w:val="0"/>
      <w:spacing w:before="60" w:line="360" w:lineRule="auto"/>
      <w:ind w:firstLine="482"/>
      <w:jc w:val="center"/>
      <w:textAlignment w:val="baseline"/>
    </w:pPr>
    <w:rPr>
      <w:rFonts w:ascii="Arial" w:hAnsi="Arial" w:eastAsia="仿宋_GB2312"/>
      <w:b/>
      <w:kern w:val="0"/>
      <w:sz w:val="30"/>
      <w:szCs w:val="20"/>
    </w:rPr>
  </w:style>
  <w:style w:type="paragraph" w:customStyle="1" w:styleId="1264">
    <w:name w:val="文件册号"/>
    <w:basedOn w:val="1"/>
    <w:next w:val="1"/>
    <w:autoRedefine/>
    <w:qFormat/>
    <w:uiPriority w:val="0"/>
    <w:pPr>
      <w:spacing w:line="800" w:lineRule="atLeast"/>
      <w:jc w:val="center"/>
    </w:pPr>
    <w:rPr>
      <w:sz w:val="52"/>
      <w:szCs w:val="20"/>
    </w:rPr>
  </w:style>
  <w:style w:type="paragraph" w:customStyle="1" w:styleId="1265">
    <w:name w:val="正文格式3"/>
    <w:basedOn w:val="1"/>
    <w:autoRedefine/>
    <w:qFormat/>
    <w:uiPriority w:val="0"/>
    <w:pPr>
      <w:spacing w:line="360" w:lineRule="auto"/>
      <w:ind w:firstLine="482"/>
    </w:pPr>
    <w:rPr>
      <w:rFonts w:ascii="宋体" w:hAnsi="宋体"/>
      <w:sz w:val="24"/>
    </w:rPr>
  </w:style>
  <w:style w:type="paragraph" w:customStyle="1" w:styleId="1266">
    <w:name w:val="xl98"/>
    <w:basedOn w:val="1"/>
    <w:autoRedefine/>
    <w:qFormat/>
    <w:uiPriority w:val="0"/>
    <w:pPr>
      <w:widowControl/>
      <w:pBdr>
        <w:right w:val="single" w:color="auto" w:sz="12"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267">
    <w:name w:val="xl31"/>
    <w:basedOn w:val="1"/>
    <w:autoRedefine/>
    <w:qFormat/>
    <w:uiPriority w:val="0"/>
    <w:pPr>
      <w:widowControl/>
      <w:pBdr>
        <w:bottom w:val="single" w:color="auto" w:sz="4" w:space="0"/>
        <w:right w:val="single" w:color="auto" w:sz="4" w:space="0"/>
      </w:pBdr>
      <w:spacing w:before="100" w:beforeAutospacing="1" w:after="100" w:afterAutospacing="1"/>
      <w:textAlignment w:val="center"/>
    </w:pPr>
    <w:rPr>
      <w:rFonts w:ascii="Arial Unicode MS" w:hAnsi="Arial Unicode MS" w:eastAsia="Arial Unicode MS"/>
      <w:kern w:val="0"/>
      <w:sz w:val="24"/>
      <w:szCs w:val="20"/>
    </w:rPr>
  </w:style>
  <w:style w:type="paragraph" w:customStyle="1" w:styleId="1268">
    <w:name w:val="表中文字11"/>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1269">
    <w:name w:val="Char Char Char Char Char Char Char Char Char Char Char Char Char Char Char Char Char Char Char Char Char Char Char Char Char Char Char Char Char Char Char Char Char Char Char Char Char Char Char"/>
    <w:basedOn w:val="1"/>
    <w:autoRedefine/>
    <w:qFormat/>
    <w:uiPriority w:val="99"/>
    <w:rPr>
      <w:sz w:val="24"/>
      <w:szCs w:val="20"/>
    </w:rPr>
  </w:style>
  <w:style w:type="paragraph" w:customStyle="1" w:styleId="1270">
    <w:name w:val="表格文字1"/>
    <w:basedOn w:val="1"/>
    <w:autoRedefine/>
    <w:qFormat/>
    <w:uiPriority w:val="0"/>
    <w:pPr>
      <w:tabs>
        <w:tab w:val="left" w:pos="0"/>
      </w:tabs>
      <w:autoSpaceDE w:val="0"/>
      <w:autoSpaceDN w:val="0"/>
      <w:adjustRightInd w:val="0"/>
      <w:spacing w:before="60"/>
      <w:ind w:left="57" w:right="57"/>
      <w:jc w:val="center"/>
      <w:textAlignment w:val="baseline"/>
    </w:pPr>
    <w:rPr>
      <w:rFonts w:ascii="宋体"/>
      <w:szCs w:val="20"/>
    </w:rPr>
  </w:style>
  <w:style w:type="paragraph" w:customStyle="1" w:styleId="1271">
    <w:name w:val="xl129"/>
    <w:basedOn w:val="1"/>
    <w:autoRedefine/>
    <w:qFormat/>
    <w:uiPriority w:val="99"/>
    <w:pPr>
      <w:widowControl/>
      <w:pBdr>
        <w:right w:val="single" w:color="auto" w:sz="8"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272">
    <w:name w:val="Char Char Char Char"/>
    <w:basedOn w:val="26"/>
    <w:autoRedefine/>
    <w:qFormat/>
    <w:uiPriority w:val="0"/>
    <w:pPr>
      <w:widowControl/>
      <w:adjustRightInd w:val="0"/>
      <w:snapToGrid w:val="0"/>
      <w:spacing w:line="360" w:lineRule="auto"/>
      <w:jc w:val="left"/>
    </w:pPr>
    <w:rPr>
      <w:rFonts w:ascii="Tahoma" w:hAnsi="Tahoma" w:cs="宋体"/>
      <w:sz w:val="24"/>
      <w:szCs w:val="24"/>
    </w:rPr>
  </w:style>
  <w:style w:type="paragraph" w:customStyle="1" w:styleId="1273">
    <w:name w:val="默认段落字体 Para Char Char Char1 Char Char Char Char Char Char Char Char Char Char Char Char1"/>
    <w:basedOn w:val="1"/>
    <w:autoRedefine/>
    <w:qFormat/>
    <w:uiPriority w:val="39"/>
    <w:rPr>
      <w:sz w:val="24"/>
    </w:rPr>
  </w:style>
  <w:style w:type="paragraph" w:customStyle="1" w:styleId="1274">
    <w:name w:val="zg1"/>
    <w:basedOn w:val="35"/>
    <w:autoRedefine/>
    <w:qFormat/>
    <w:uiPriority w:val="39"/>
    <w:pPr>
      <w:spacing w:after="0" w:line="360" w:lineRule="auto"/>
      <w:ind w:left="0" w:leftChars="0" w:firstLine="425"/>
    </w:pPr>
    <w:rPr>
      <w:lang w:val="en-US"/>
    </w:rPr>
  </w:style>
  <w:style w:type="paragraph" w:customStyle="1" w:styleId="1275">
    <w:name w:val="燕山正文8"/>
    <w:basedOn w:val="1"/>
    <w:autoRedefine/>
    <w:qFormat/>
    <w:uiPriority w:val="0"/>
    <w:pPr>
      <w:tabs>
        <w:tab w:val="left" w:pos="4680"/>
      </w:tabs>
      <w:adjustRightInd w:val="0"/>
      <w:snapToGrid w:val="0"/>
      <w:spacing w:line="480" w:lineRule="exact"/>
    </w:pPr>
    <w:rPr>
      <w:rFonts w:ascii="宋体" w:cs="宋体"/>
      <w:sz w:val="24"/>
    </w:rPr>
  </w:style>
  <w:style w:type="paragraph" w:customStyle="1" w:styleId="1276">
    <w:name w:val="标题ab"/>
    <w:basedOn w:val="1"/>
    <w:next w:val="84"/>
    <w:autoRedefine/>
    <w:qFormat/>
    <w:uiPriority w:val="39"/>
    <w:pPr>
      <w:spacing w:line="1500" w:lineRule="exact"/>
      <w:jc w:val="center"/>
    </w:pPr>
    <w:rPr>
      <w:rFonts w:ascii="宋体" w:hAnsi="宋体"/>
      <w:b/>
      <w:color w:val="000000"/>
      <w:sz w:val="44"/>
    </w:rPr>
  </w:style>
  <w:style w:type="paragraph" w:customStyle="1" w:styleId="1277">
    <w:name w:val="样式 正文文字 + 首行缩进:  0.99 厘米"/>
    <w:basedOn w:val="34"/>
    <w:autoRedefine/>
    <w:qFormat/>
    <w:uiPriority w:val="39"/>
    <w:pPr>
      <w:widowControl w:val="0"/>
      <w:tabs>
        <w:tab w:val="left" w:pos="0"/>
      </w:tabs>
      <w:snapToGrid/>
      <w:spacing w:before="0" w:after="0" w:line="600" w:lineRule="exact"/>
      <w:ind w:right="0" w:firstLine="560"/>
    </w:pPr>
    <w:rPr>
      <w:spacing w:val="-2"/>
      <w:sz w:val="28"/>
      <w:szCs w:val="28"/>
      <w:lang w:val="en-US"/>
    </w:rPr>
  </w:style>
  <w:style w:type="paragraph" w:customStyle="1" w:styleId="1278">
    <w:name w:val="Char Char Char Char Char Char Char Char1 Char Char Char Char Char Char Char Char Char Char Char Char"/>
    <w:basedOn w:val="1"/>
    <w:autoRedefine/>
    <w:qFormat/>
    <w:uiPriority w:val="39"/>
    <w:rPr>
      <w:sz w:val="24"/>
    </w:rPr>
  </w:style>
  <w:style w:type="paragraph" w:customStyle="1" w:styleId="1279">
    <w:name w:val="Char Char2 Char Char Char Char11"/>
    <w:basedOn w:val="1"/>
    <w:autoRedefine/>
    <w:qFormat/>
    <w:uiPriority w:val="0"/>
  </w:style>
  <w:style w:type="paragraph" w:customStyle="1" w:styleId="1280">
    <w:name w:val="Char2 Char Char"/>
    <w:basedOn w:val="1"/>
    <w:autoRedefine/>
    <w:qFormat/>
    <w:uiPriority w:val="0"/>
    <w:rPr>
      <w:szCs w:val="21"/>
    </w:rPr>
  </w:style>
  <w:style w:type="paragraph" w:customStyle="1" w:styleId="1281">
    <w:name w:val="图章"/>
    <w:basedOn w:val="1"/>
    <w:autoRedefine/>
    <w:qFormat/>
    <w:uiPriority w:val="39"/>
    <w:pPr>
      <w:tabs>
        <w:tab w:val="left" w:pos="1727"/>
        <w:tab w:val="left" w:pos="1884"/>
      </w:tabs>
      <w:adjustRightInd w:val="0"/>
      <w:snapToGrid w:val="0"/>
      <w:ind w:left="26"/>
      <w:jc w:val="left"/>
      <w:outlineLvl w:val="0"/>
    </w:pPr>
    <w:rPr>
      <w:rFonts w:ascii="宋体" w:hAnsi="宋体"/>
      <w:snapToGrid w:val="0"/>
      <w:kern w:val="0"/>
      <w:sz w:val="18"/>
      <w:szCs w:val="20"/>
    </w:rPr>
  </w:style>
  <w:style w:type="paragraph" w:customStyle="1" w:styleId="1282">
    <w:name w:val="Body Text Indent2"/>
    <w:basedOn w:val="1"/>
    <w:autoRedefine/>
    <w:qFormat/>
    <w:uiPriority w:val="39"/>
    <w:pPr>
      <w:spacing w:after="120" w:line="360" w:lineRule="auto"/>
      <w:ind w:left="420" w:leftChars="200" w:firstLine="200" w:firstLineChars="200"/>
    </w:pPr>
    <w:rPr>
      <w:sz w:val="24"/>
    </w:rPr>
  </w:style>
  <w:style w:type="paragraph" w:customStyle="1" w:styleId="1283">
    <w:name w:val="Char11"/>
    <w:basedOn w:val="1"/>
    <w:autoRedefine/>
    <w:qFormat/>
    <w:uiPriority w:val="99"/>
  </w:style>
  <w:style w:type="character" w:customStyle="1" w:styleId="1284">
    <w:name w:val="正文首行缩进 2 Char4"/>
    <w:autoRedefine/>
    <w:qFormat/>
    <w:uiPriority w:val="0"/>
    <w:rPr>
      <w:rFonts w:ascii="Times New Roman" w:hAnsi="Times New Roman" w:eastAsia="宋体"/>
      <w:kern w:val="2"/>
      <w:sz w:val="21"/>
      <w:szCs w:val="24"/>
    </w:rPr>
  </w:style>
  <w:style w:type="paragraph" w:customStyle="1" w:styleId="1285">
    <w:name w:val="Char Char Char Char Char Char Char Char Char Char Char Char Char Char Char Char Char Char Char Char Char Char Char Char Char Char Char Char Char Char Char Char Char Char Char Char Char Char"/>
    <w:basedOn w:val="1"/>
    <w:autoRedefine/>
    <w:qFormat/>
    <w:uiPriority w:val="99"/>
    <w:rPr>
      <w:sz w:val="24"/>
    </w:rPr>
  </w:style>
  <w:style w:type="paragraph" w:customStyle="1" w:styleId="1286">
    <w:name w:val="目录 2 Char Char"/>
    <w:basedOn w:val="1"/>
    <w:next w:val="1"/>
    <w:autoRedefine/>
    <w:qFormat/>
    <w:uiPriority w:val="0"/>
    <w:pPr>
      <w:spacing w:line="351" w:lineRule="atLeast"/>
      <w:ind w:left="209" w:firstLine="419"/>
      <w:jc w:val="left"/>
    </w:pPr>
    <w:rPr>
      <w:rFonts w:hint="eastAsia"/>
      <w:szCs w:val="20"/>
    </w:rPr>
  </w:style>
  <w:style w:type="paragraph" w:customStyle="1" w:styleId="1287">
    <w:name w:val="样式7"/>
    <w:basedOn w:val="1"/>
    <w:next w:val="1"/>
    <w:autoRedefine/>
    <w:qFormat/>
    <w:uiPriority w:val="0"/>
    <w:pPr>
      <w:spacing w:line="360" w:lineRule="auto"/>
      <w:ind w:firstLine="480" w:firstLineChars="200"/>
    </w:pPr>
    <w:rPr>
      <w:rFonts w:ascii="宋体" w:hAnsi="宋体" w:cs="宋体"/>
      <w:color w:val="000000"/>
      <w:sz w:val="24"/>
    </w:rPr>
  </w:style>
  <w:style w:type="paragraph" w:customStyle="1" w:styleId="1288">
    <w:name w:val="正文.11"/>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1289">
    <w:name w:val="xl46"/>
    <w:basedOn w:val="1"/>
    <w:autoRedefine/>
    <w:qFormat/>
    <w:uiPriority w:val="0"/>
    <w:pPr>
      <w:widowControl/>
      <w:pBdr>
        <w:bottom w:val="single" w:color="auto" w:sz="12" w:space="0"/>
        <w:right w:val="single" w:color="auto" w:sz="12" w:space="0"/>
      </w:pBdr>
      <w:spacing w:before="100" w:beforeAutospacing="1" w:after="100" w:afterAutospacing="1"/>
      <w:jc w:val="left"/>
    </w:pPr>
    <w:rPr>
      <w:rFonts w:ascii="Arial Unicode MS" w:hAnsi="Arial Unicode MS"/>
      <w:kern w:val="0"/>
      <w:sz w:val="16"/>
      <w:szCs w:val="16"/>
    </w:rPr>
  </w:style>
  <w:style w:type="paragraph" w:customStyle="1" w:styleId="1290">
    <w:name w:val="小五表文"/>
    <w:autoRedefine/>
    <w:qFormat/>
    <w:uiPriority w:val="0"/>
    <w:pPr>
      <w:jc w:val="center"/>
    </w:pPr>
    <w:rPr>
      <w:rFonts w:ascii="Times New Roman" w:hAnsi="Times New Roman" w:eastAsia="仿宋_GB2312" w:cs="Times New Roman"/>
      <w:sz w:val="18"/>
      <w:lang w:val="en-US" w:eastAsia="zh-CN" w:bidi="ar-SA"/>
    </w:rPr>
  </w:style>
  <w:style w:type="paragraph" w:customStyle="1" w:styleId="1291">
    <w:name w:val="xl58"/>
    <w:basedOn w:val="1"/>
    <w:autoRedefine/>
    <w:qFormat/>
    <w:uiPriority w:val="0"/>
    <w:pPr>
      <w:widowControl/>
      <w:spacing w:before="100" w:beforeAutospacing="1" w:after="100" w:afterAutospacing="1"/>
      <w:jc w:val="left"/>
      <w:textAlignment w:val="center"/>
    </w:pPr>
    <w:rPr>
      <w:rFonts w:ascii="Arial Unicode MS" w:hAnsi="Arial Unicode MS"/>
      <w:kern w:val="0"/>
      <w:sz w:val="12"/>
      <w:szCs w:val="12"/>
    </w:rPr>
  </w:style>
  <w:style w:type="paragraph" w:customStyle="1" w:styleId="1292">
    <w:name w:val="表格内字体214"/>
    <w:basedOn w:val="418"/>
    <w:next w:val="418"/>
    <w:autoRedefine/>
    <w:qFormat/>
    <w:uiPriority w:val="0"/>
    <w:pPr>
      <w:spacing w:line="240" w:lineRule="auto"/>
      <w:ind w:firstLine="0"/>
      <w:jc w:val="center"/>
    </w:pPr>
    <w:rPr>
      <w:rFonts w:ascii="宋体" w:hAnsi="宋体"/>
      <w:b w:val="0"/>
      <w:spacing w:val="0"/>
      <w:szCs w:val="24"/>
    </w:rPr>
  </w:style>
  <w:style w:type="paragraph" w:customStyle="1" w:styleId="1293">
    <w:name w:val="xl40"/>
    <w:basedOn w:val="1"/>
    <w:autoRedefine/>
    <w:qFormat/>
    <w:uiPriority w:val="0"/>
    <w:pPr>
      <w:widowControl/>
      <w:pBdr>
        <w:top w:val="single" w:color="auto" w:sz="12" w:space="0"/>
        <w:right w:val="single" w:color="auto" w:sz="12" w:space="0"/>
      </w:pBdr>
      <w:spacing w:before="100" w:beforeAutospacing="1" w:after="100" w:afterAutospacing="1"/>
      <w:jc w:val="center"/>
      <w:textAlignment w:val="center"/>
    </w:pPr>
    <w:rPr>
      <w:rFonts w:ascii="Arial Unicode MS" w:hAnsi="Arial Unicode MS"/>
      <w:kern w:val="0"/>
      <w:sz w:val="16"/>
      <w:szCs w:val="16"/>
    </w:rPr>
  </w:style>
  <w:style w:type="character" w:customStyle="1" w:styleId="1294">
    <w:name w:val="正文首行缩进 Char2"/>
    <w:autoRedefine/>
    <w:qFormat/>
    <w:uiPriority w:val="0"/>
    <w:rPr>
      <w:kern w:val="2"/>
      <w:sz w:val="21"/>
      <w:szCs w:val="24"/>
    </w:rPr>
  </w:style>
  <w:style w:type="paragraph" w:customStyle="1" w:styleId="1295">
    <w:name w:val="正文格式54"/>
    <w:basedOn w:val="1"/>
    <w:autoRedefine/>
    <w:qFormat/>
    <w:uiPriority w:val="0"/>
    <w:pPr>
      <w:spacing w:line="360" w:lineRule="auto"/>
      <w:ind w:firstLine="482"/>
    </w:pPr>
    <w:rPr>
      <w:rFonts w:ascii="宋体" w:hAnsi="宋体"/>
      <w:sz w:val="24"/>
    </w:rPr>
  </w:style>
  <w:style w:type="paragraph" w:customStyle="1" w:styleId="1296">
    <w:name w:val="xl44"/>
    <w:basedOn w:val="1"/>
    <w:autoRedefine/>
    <w:qFormat/>
    <w:uiPriority w:val="0"/>
    <w:pPr>
      <w:widowControl/>
      <w:pBdr>
        <w:right w:val="single" w:color="auto" w:sz="12" w:space="0"/>
      </w:pBdr>
      <w:spacing w:before="100" w:beforeAutospacing="1" w:after="100" w:afterAutospacing="1"/>
      <w:jc w:val="left"/>
    </w:pPr>
    <w:rPr>
      <w:rFonts w:ascii="Arial Unicode MS" w:hAnsi="Arial Unicode MS"/>
      <w:kern w:val="0"/>
      <w:sz w:val="16"/>
      <w:szCs w:val="16"/>
    </w:rPr>
  </w:style>
  <w:style w:type="paragraph" w:customStyle="1" w:styleId="1297">
    <w:name w:val="xl43"/>
    <w:basedOn w:val="1"/>
    <w:autoRedefine/>
    <w:qFormat/>
    <w:uiPriority w:val="0"/>
    <w:pPr>
      <w:widowControl/>
      <w:pBdr>
        <w:right w:val="single" w:color="auto" w:sz="12"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298">
    <w:name w:val="表内5415"/>
    <w:basedOn w:val="1"/>
    <w:autoRedefine/>
    <w:qFormat/>
    <w:uiPriority w:val="0"/>
    <w:pPr>
      <w:adjustRightInd w:val="0"/>
      <w:snapToGrid w:val="0"/>
      <w:spacing w:line="300" w:lineRule="auto"/>
      <w:jc w:val="center"/>
    </w:pPr>
    <w:rPr>
      <w:rFonts w:ascii="宋体" w:hAnsi="宋体" w:cs="宋体"/>
      <w:szCs w:val="20"/>
    </w:rPr>
  </w:style>
  <w:style w:type="paragraph" w:customStyle="1" w:styleId="1299">
    <w:name w:val="表文字"/>
    <w:basedOn w:val="1"/>
    <w:autoRedefine/>
    <w:qFormat/>
    <w:uiPriority w:val="0"/>
    <w:pPr>
      <w:jc w:val="center"/>
    </w:pPr>
    <w:rPr>
      <w:szCs w:val="21"/>
    </w:rPr>
  </w:style>
  <w:style w:type="character" w:customStyle="1" w:styleId="1300">
    <w:name w:val="正文文本 3 Char4"/>
    <w:autoRedefine/>
    <w:qFormat/>
    <w:uiPriority w:val="0"/>
    <w:rPr>
      <w:kern w:val="2"/>
      <w:sz w:val="16"/>
      <w:szCs w:val="16"/>
    </w:rPr>
  </w:style>
  <w:style w:type="character" w:customStyle="1" w:styleId="1301">
    <w:name w:val="HTML 预设格式 Char1"/>
    <w:autoRedefine/>
    <w:qFormat/>
    <w:uiPriority w:val="99"/>
    <w:rPr>
      <w:rFonts w:ascii="Courier New" w:hAnsi="Courier New" w:cs="Courier New"/>
      <w:kern w:val="2"/>
    </w:rPr>
  </w:style>
  <w:style w:type="paragraph" w:customStyle="1" w:styleId="1302">
    <w:name w:val="Style1"/>
    <w:basedOn w:val="1"/>
    <w:autoRedefine/>
    <w:qFormat/>
    <w:uiPriority w:val="0"/>
    <w:pPr>
      <w:spacing w:after="120"/>
      <w:ind w:left="851"/>
    </w:pPr>
    <w:rPr>
      <w:szCs w:val="20"/>
    </w:rPr>
  </w:style>
  <w:style w:type="paragraph" w:customStyle="1" w:styleId="1303">
    <w:name w:val="样式 标题 3 + 段前: 12 磅12"/>
    <w:basedOn w:val="5"/>
    <w:autoRedefine/>
    <w:qFormat/>
    <w:uiPriority w:val="0"/>
    <w:pPr>
      <w:keepNext w:val="0"/>
      <w:keepLines w:val="0"/>
      <w:widowControl/>
      <w:autoSpaceDE w:val="0"/>
      <w:autoSpaceDN w:val="0"/>
      <w:adjustRightInd w:val="0"/>
      <w:snapToGrid w:val="0"/>
      <w:spacing w:before="0" w:after="0" w:line="360" w:lineRule="auto"/>
    </w:pPr>
    <w:rPr>
      <w:rFonts w:ascii="黑体" w:hAnsi="宋体" w:eastAsia="黑体" w:cs="宋体"/>
      <w:b w:val="0"/>
      <w:bCs w:val="0"/>
      <w:color w:val="000000"/>
      <w:kern w:val="21"/>
      <w:sz w:val="24"/>
      <w:szCs w:val="20"/>
      <w:lang w:val="en-US"/>
    </w:rPr>
  </w:style>
  <w:style w:type="paragraph" w:customStyle="1" w:styleId="1304">
    <w:name w:val="目录 4 Char Char"/>
    <w:basedOn w:val="1"/>
    <w:next w:val="1"/>
    <w:autoRedefine/>
    <w:qFormat/>
    <w:uiPriority w:val="0"/>
    <w:pPr>
      <w:spacing w:line="351" w:lineRule="atLeast"/>
      <w:ind w:left="629" w:firstLine="419"/>
      <w:jc w:val="left"/>
    </w:pPr>
    <w:rPr>
      <w:rFonts w:hint="eastAsia"/>
      <w:szCs w:val="20"/>
    </w:rPr>
  </w:style>
  <w:style w:type="paragraph" w:customStyle="1" w:styleId="1305">
    <w:name w:val="样式3"/>
    <w:basedOn w:val="5"/>
    <w:autoRedefine/>
    <w:qFormat/>
    <w:uiPriority w:val="0"/>
    <w:pPr>
      <w:ind w:left="720" w:hanging="432"/>
    </w:pPr>
    <w:rPr>
      <w:kern w:val="0"/>
      <w:lang w:val="en-US"/>
    </w:rPr>
  </w:style>
  <w:style w:type="paragraph" w:customStyle="1" w:styleId="1306">
    <w:name w:val="表内宋5115"/>
    <w:basedOn w:val="81"/>
    <w:autoRedefine/>
    <w:qFormat/>
    <w:uiPriority w:val="0"/>
    <w:pPr>
      <w:widowControl w:val="0"/>
      <w:spacing w:before="0" w:beforeAutospacing="0" w:after="0" w:afterAutospacing="0"/>
      <w:jc w:val="both"/>
    </w:pPr>
    <w:rPr>
      <w:rFonts w:ascii="Times New Roman" w:hAnsi="Times New Roman"/>
      <w:kern w:val="2"/>
      <w:szCs w:val="24"/>
      <w:lang w:val="en-US"/>
    </w:rPr>
  </w:style>
  <w:style w:type="paragraph" w:customStyle="1" w:styleId="1307">
    <w:name w:val="黑体三号112"/>
    <w:basedOn w:val="418"/>
    <w:autoRedefine/>
    <w:qFormat/>
    <w:uiPriority w:val="0"/>
    <w:pPr>
      <w:jc w:val="center"/>
    </w:pPr>
    <w:rPr>
      <w:rFonts w:ascii="黑体" w:hAnsi="宋体" w:eastAsia="黑体" w:cs="宋体"/>
      <w:bCs/>
      <w:spacing w:val="0"/>
      <w:sz w:val="32"/>
    </w:rPr>
  </w:style>
  <w:style w:type="paragraph" w:customStyle="1" w:styleId="1308">
    <w:name w:val="表文字534"/>
    <w:basedOn w:val="1"/>
    <w:autoRedefine/>
    <w:qFormat/>
    <w:uiPriority w:val="0"/>
    <w:pPr>
      <w:adjustRightInd w:val="0"/>
      <w:jc w:val="left"/>
      <w:textAlignment w:val="baseline"/>
    </w:pPr>
    <w:rPr>
      <w:rFonts w:ascii="宋体"/>
      <w:kern w:val="0"/>
      <w:szCs w:val="20"/>
    </w:rPr>
  </w:style>
  <w:style w:type="paragraph" w:customStyle="1" w:styleId="1309">
    <w:name w:val="xl113"/>
    <w:basedOn w:val="1"/>
    <w:autoRedefine/>
    <w:qFormat/>
    <w:uiPriority w:val="99"/>
    <w:pPr>
      <w:widowControl/>
      <w:pBdr>
        <w:top w:val="single" w:color="auto" w:sz="8" w:space="0"/>
        <w:bottom w:val="single" w:color="auto" w:sz="12" w:space="0"/>
      </w:pBdr>
      <w:spacing w:before="100" w:beforeAutospacing="1" w:after="100" w:afterAutospacing="1"/>
      <w:jc w:val="left"/>
    </w:pPr>
    <w:rPr>
      <w:rFonts w:ascii="Arial Unicode MS" w:hAnsi="Arial Unicode MS"/>
      <w:kern w:val="0"/>
      <w:sz w:val="16"/>
      <w:szCs w:val="16"/>
    </w:rPr>
  </w:style>
  <w:style w:type="paragraph" w:customStyle="1" w:styleId="1310">
    <w:name w:val="目录 9 Char Char"/>
    <w:basedOn w:val="1"/>
    <w:next w:val="1"/>
    <w:autoRedefine/>
    <w:qFormat/>
    <w:uiPriority w:val="0"/>
    <w:pPr>
      <w:spacing w:line="351" w:lineRule="atLeast"/>
      <w:ind w:left="1678" w:firstLine="419"/>
      <w:jc w:val="left"/>
    </w:pPr>
    <w:rPr>
      <w:rFonts w:hint="eastAsia"/>
      <w:szCs w:val="20"/>
    </w:rPr>
  </w:style>
  <w:style w:type="paragraph" w:customStyle="1" w:styleId="1311">
    <w:name w:val="源程序"/>
    <w:autoRedefine/>
    <w:qFormat/>
    <w:uiPriority w:val="99"/>
    <w:pPr>
      <w:widowControl w:val="0"/>
      <w:kinsoku w:val="0"/>
      <w:wordWrap w:val="0"/>
      <w:overflowPunct w:val="0"/>
      <w:autoSpaceDE w:val="0"/>
      <w:autoSpaceDN w:val="0"/>
      <w:adjustRightInd w:val="0"/>
      <w:ind w:left="482"/>
    </w:pPr>
    <w:rPr>
      <w:rFonts w:ascii="Courier New" w:hAnsi="Courier New" w:eastAsia="仿宋_GB2312" w:cs="Times New Roman"/>
      <w:snapToGrid w:val="0"/>
      <w:sz w:val="24"/>
      <w:lang w:val="en-US" w:eastAsia="zh-CN" w:bidi="ar-SA"/>
    </w:rPr>
  </w:style>
  <w:style w:type="paragraph" w:customStyle="1" w:styleId="1312">
    <w:name w:val="font9"/>
    <w:basedOn w:val="1"/>
    <w:autoRedefine/>
    <w:qFormat/>
    <w:uiPriority w:val="0"/>
    <w:pPr>
      <w:widowControl/>
      <w:spacing w:before="100" w:beforeAutospacing="1" w:after="100" w:afterAutospacing="1"/>
      <w:jc w:val="left"/>
    </w:pPr>
    <w:rPr>
      <w:kern w:val="0"/>
      <w:sz w:val="24"/>
    </w:rPr>
  </w:style>
  <w:style w:type="paragraph" w:customStyle="1" w:styleId="1313">
    <w:name w:val="正文格式21"/>
    <w:basedOn w:val="1"/>
    <w:autoRedefine/>
    <w:qFormat/>
    <w:uiPriority w:val="0"/>
    <w:pPr>
      <w:spacing w:line="360" w:lineRule="auto"/>
      <w:ind w:firstLine="482"/>
    </w:pPr>
    <w:rPr>
      <w:rFonts w:ascii="宋体" w:hAnsi="宋体"/>
      <w:sz w:val="24"/>
    </w:rPr>
  </w:style>
  <w:style w:type="paragraph" w:customStyle="1" w:styleId="1314">
    <w:name w:val="表12"/>
    <w:basedOn w:val="1"/>
    <w:autoRedefine/>
    <w:qFormat/>
    <w:uiPriority w:val="0"/>
    <w:pPr>
      <w:tabs>
        <w:tab w:val="left" w:pos="840"/>
        <w:tab w:val="left" w:pos="2479"/>
      </w:tabs>
      <w:spacing w:line="360" w:lineRule="auto"/>
      <w:ind w:left="840" w:hanging="360"/>
      <w:jc w:val="center"/>
    </w:pPr>
    <w:rPr>
      <w:b/>
      <w:sz w:val="24"/>
    </w:rPr>
  </w:style>
  <w:style w:type="paragraph" w:customStyle="1" w:styleId="1315">
    <w:name w:val="4"/>
    <w:basedOn w:val="1"/>
    <w:next w:val="45"/>
    <w:autoRedefine/>
    <w:qFormat/>
    <w:uiPriority w:val="0"/>
    <w:rPr>
      <w:rFonts w:ascii="宋体" w:hAnsi="Courier New" w:cs="Courier New"/>
      <w:szCs w:val="21"/>
    </w:rPr>
  </w:style>
  <w:style w:type="paragraph" w:customStyle="1" w:styleId="1316">
    <w:name w:val="1 Char"/>
    <w:basedOn w:val="1"/>
    <w:autoRedefine/>
    <w:qFormat/>
    <w:uiPriority w:val="0"/>
    <w:rPr>
      <w:sz w:val="24"/>
    </w:rPr>
  </w:style>
  <w:style w:type="paragraph" w:customStyle="1" w:styleId="1317">
    <w:name w:val="xl128"/>
    <w:basedOn w:val="1"/>
    <w:autoRedefine/>
    <w:qFormat/>
    <w:uiPriority w:val="99"/>
    <w:pPr>
      <w:widowControl/>
      <w:pBdr>
        <w:bottom w:val="single" w:color="auto" w:sz="8"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318">
    <w:name w:val="表格文字居中 Char"/>
    <w:basedOn w:val="66"/>
    <w:autoRedefine/>
    <w:qFormat/>
    <w:uiPriority w:val="0"/>
    <w:pPr>
      <w:keepNext/>
      <w:tabs>
        <w:tab w:val="left" w:pos="-1820"/>
        <w:tab w:val="left" w:pos="1727"/>
        <w:tab w:val="left" w:pos="1884"/>
      </w:tabs>
      <w:spacing w:line="360" w:lineRule="auto"/>
      <w:ind w:left="-2" w:leftChars="-4" w:right="-176" w:rightChars="-84" w:hanging="6"/>
    </w:pPr>
    <w:rPr>
      <w:rFonts w:ascii="楷体_GB2312" w:hAnsi="楷体_GB2312" w:eastAsia="楷体_GB2312"/>
      <w:kern w:val="0"/>
    </w:rPr>
  </w:style>
  <w:style w:type="character" w:customStyle="1" w:styleId="1319">
    <w:name w:val="标题 Char2"/>
    <w:autoRedefine/>
    <w:qFormat/>
    <w:uiPriority w:val="10"/>
    <w:rPr>
      <w:rFonts w:ascii="等线 Light" w:hAnsi="等线 Light" w:cs="Times New Roman"/>
      <w:b/>
      <w:bCs/>
      <w:kern w:val="2"/>
      <w:sz w:val="32"/>
      <w:szCs w:val="32"/>
    </w:rPr>
  </w:style>
  <w:style w:type="paragraph" w:customStyle="1" w:styleId="1320">
    <w:name w:val="图题7"/>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321">
    <w:name w:val="xl69"/>
    <w:basedOn w:val="1"/>
    <w:autoRedefine/>
    <w:qFormat/>
    <w:uiPriority w:val="0"/>
    <w:pPr>
      <w:widowControl/>
      <w:pBdr>
        <w:bottom w:val="single" w:color="auto" w:sz="8" w:space="0"/>
      </w:pBdr>
      <w:spacing w:before="100" w:beforeAutospacing="1" w:after="100" w:afterAutospacing="1"/>
      <w:jc w:val="center"/>
    </w:pPr>
    <w:rPr>
      <w:rFonts w:ascii="宋体" w:hAnsi="宋体" w:cs="宋体"/>
      <w:color w:val="FF0000"/>
      <w:kern w:val="0"/>
      <w:szCs w:val="21"/>
    </w:rPr>
  </w:style>
  <w:style w:type="paragraph" w:customStyle="1" w:styleId="1322">
    <w:name w:val="Default3"/>
    <w:autoRedefine/>
    <w:qFormat/>
    <w:uiPriority w:val="0"/>
    <w:pPr>
      <w:widowControl w:val="0"/>
      <w:autoSpaceDE w:val="0"/>
      <w:autoSpaceDN w:val="0"/>
      <w:adjustRightInd w:val="0"/>
    </w:pPr>
    <w:rPr>
      <w:rFonts w:ascii="宋体" w:hAnsi="Times New Roman" w:eastAsia="宋体" w:cs="Times New Roman"/>
      <w:color w:val="000000"/>
      <w:sz w:val="24"/>
      <w:szCs w:val="24"/>
      <w:lang w:val="en-US" w:eastAsia="zh-CN" w:bidi="ar-SA"/>
    </w:rPr>
  </w:style>
  <w:style w:type="paragraph" w:customStyle="1" w:styleId="1323">
    <w:name w:val="Body Text 21"/>
    <w:basedOn w:val="1"/>
    <w:autoRedefine/>
    <w:qFormat/>
    <w:uiPriority w:val="0"/>
    <w:pPr>
      <w:adjustRightInd w:val="0"/>
      <w:textAlignment w:val="baseline"/>
    </w:pPr>
    <w:rPr>
      <w:rFonts w:eastAsia="仿宋体"/>
      <w:sz w:val="24"/>
      <w:szCs w:val="20"/>
    </w:rPr>
  </w:style>
  <w:style w:type="paragraph" w:customStyle="1" w:styleId="1324">
    <w:name w:val="ISO标题3"/>
    <w:basedOn w:val="1325"/>
    <w:autoRedefine/>
    <w:qFormat/>
    <w:uiPriority w:val="0"/>
    <w:pPr>
      <w:tabs>
        <w:tab w:val="left" w:pos="360"/>
        <w:tab w:val="left" w:pos="425"/>
      </w:tabs>
      <w:ind w:left="709" w:hanging="709"/>
      <w:outlineLvl w:val="2"/>
    </w:pPr>
  </w:style>
  <w:style w:type="paragraph" w:customStyle="1" w:styleId="1325">
    <w:name w:val="ISO标题2"/>
    <w:basedOn w:val="1326"/>
    <w:autoRedefine/>
    <w:qFormat/>
    <w:uiPriority w:val="0"/>
    <w:pPr>
      <w:tabs>
        <w:tab w:val="left" w:pos="360"/>
        <w:tab w:val="left" w:pos="425"/>
      </w:tabs>
      <w:ind w:left="567" w:hanging="567"/>
      <w:outlineLvl w:val="1"/>
    </w:pPr>
  </w:style>
  <w:style w:type="paragraph" w:customStyle="1" w:styleId="1326">
    <w:name w:val="ISO标题1."/>
    <w:autoRedefine/>
    <w:qFormat/>
    <w:uiPriority w:val="0"/>
    <w:pPr>
      <w:tabs>
        <w:tab w:val="left" w:pos="425"/>
      </w:tabs>
      <w:autoSpaceDE w:val="0"/>
      <w:autoSpaceDN w:val="0"/>
      <w:adjustRightInd w:val="0"/>
      <w:ind w:left="425" w:hanging="425"/>
      <w:outlineLvl w:val="0"/>
    </w:pPr>
    <w:rPr>
      <w:rFonts w:ascii="宋体" w:hAnsi="宋体" w:eastAsia="宋体" w:cs="Times New Roman"/>
      <w:color w:val="000000"/>
      <w:sz w:val="24"/>
      <w:lang w:val="en-US" w:eastAsia="zh-CN" w:bidi="ar-SA"/>
    </w:rPr>
  </w:style>
  <w:style w:type="paragraph" w:customStyle="1" w:styleId="1327">
    <w:name w:val="xl146"/>
    <w:basedOn w:val="1"/>
    <w:autoRedefine/>
    <w:qFormat/>
    <w:uiPriority w:val="99"/>
    <w:pPr>
      <w:widowControl/>
      <w:spacing w:before="100" w:beforeAutospacing="1" w:after="100" w:afterAutospacing="1"/>
      <w:jc w:val="left"/>
    </w:pPr>
    <w:rPr>
      <w:rFonts w:ascii="Arial Unicode MS" w:hAnsi="Arial Unicode MS"/>
      <w:kern w:val="0"/>
      <w:sz w:val="16"/>
      <w:szCs w:val="16"/>
    </w:rPr>
  </w:style>
  <w:style w:type="paragraph" w:customStyle="1" w:styleId="1328">
    <w:name w:val="Char Char Char1 Char Char Char1 Char Char Char1 Char Char Char 字元 字元 Char Char 字元 字元 字元 字元 字元"/>
    <w:basedOn w:val="1"/>
    <w:autoRedefine/>
    <w:qFormat/>
    <w:uiPriority w:val="0"/>
    <w:pPr>
      <w:spacing w:line="400" w:lineRule="exact"/>
      <w:ind w:firstLine="200" w:firstLineChars="200"/>
    </w:pPr>
    <w:rPr>
      <w:sz w:val="28"/>
      <w:szCs w:val="28"/>
    </w:rPr>
  </w:style>
  <w:style w:type="paragraph" w:customStyle="1" w:styleId="1329">
    <w:name w:val="目录标题"/>
    <w:basedOn w:val="1"/>
    <w:next w:val="1"/>
    <w:autoRedefine/>
    <w:qFormat/>
    <w:uiPriority w:val="0"/>
    <w:pPr>
      <w:widowControl/>
      <w:spacing w:before="215" w:after="419" w:line="436" w:lineRule="atLeast"/>
      <w:ind w:firstLine="419"/>
      <w:jc w:val="center"/>
      <w:textAlignment w:val="baseline"/>
    </w:pPr>
    <w:rPr>
      <w:rFonts w:ascii="Arial" w:eastAsia="黑体"/>
      <w:color w:val="000000"/>
      <w:spacing w:val="283"/>
      <w:kern w:val="0"/>
      <w:sz w:val="42"/>
      <w:szCs w:val="20"/>
      <w:u w:color="000000"/>
    </w:rPr>
  </w:style>
  <w:style w:type="paragraph" w:customStyle="1" w:styleId="1330">
    <w:name w:val="表内文字小211"/>
    <w:basedOn w:val="1"/>
    <w:autoRedefine/>
    <w:qFormat/>
    <w:uiPriority w:val="0"/>
    <w:pPr>
      <w:adjustRightInd w:val="0"/>
      <w:snapToGrid w:val="0"/>
      <w:jc w:val="center"/>
    </w:pPr>
    <w:rPr>
      <w:rFonts w:ascii="宋体" w:hAnsi="Times"/>
      <w:bCs/>
      <w:color w:val="000000"/>
      <w:szCs w:val="20"/>
    </w:rPr>
  </w:style>
  <w:style w:type="paragraph" w:customStyle="1" w:styleId="1331">
    <w:name w:val="Normal1"/>
    <w:autoRedefine/>
    <w:qFormat/>
    <w:uiPriority w:val="99"/>
    <w:pPr>
      <w:widowControl w:val="0"/>
      <w:adjustRightInd w:val="0"/>
      <w:spacing w:line="312" w:lineRule="atLeast"/>
      <w:jc w:val="both"/>
    </w:pPr>
    <w:rPr>
      <w:rFonts w:ascii="Arial" w:hAnsi="Times New Roman" w:eastAsia="楷体_GB2312" w:cs="Times New Roman"/>
      <w:spacing w:val="-6"/>
      <w:sz w:val="28"/>
      <w:lang w:val="en-US" w:eastAsia="zh-CN" w:bidi="ar-SA"/>
    </w:rPr>
  </w:style>
  <w:style w:type="paragraph" w:customStyle="1" w:styleId="1332">
    <w:name w:val="Char Char Char Char Char Char Char Char Char1 Char Char Char Char"/>
    <w:basedOn w:val="1"/>
    <w:autoRedefine/>
    <w:qFormat/>
    <w:uiPriority w:val="0"/>
    <w:rPr>
      <w:szCs w:val="20"/>
    </w:rPr>
  </w:style>
  <w:style w:type="paragraph" w:customStyle="1" w:styleId="1333">
    <w:name w:val="xl136"/>
    <w:basedOn w:val="1"/>
    <w:autoRedefine/>
    <w:qFormat/>
    <w:uiPriority w:val="99"/>
    <w:pPr>
      <w:widowControl/>
      <w:spacing w:before="100" w:beforeAutospacing="1" w:after="100" w:afterAutospacing="1"/>
      <w:jc w:val="left"/>
    </w:pPr>
    <w:rPr>
      <w:rFonts w:ascii="Arial Unicode MS" w:hAnsi="Arial Unicode MS"/>
      <w:kern w:val="0"/>
      <w:sz w:val="12"/>
      <w:szCs w:val="12"/>
    </w:rPr>
  </w:style>
  <w:style w:type="paragraph" w:customStyle="1" w:styleId="1334">
    <w:name w:val="xl189"/>
    <w:basedOn w:val="1"/>
    <w:autoRedefine/>
    <w:qFormat/>
    <w:uiPriority w:val="99"/>
    <w:pPr>
      <w:widowControl/>
      <w:pBdr>
        <w:bottom w:val="single" w:color="auto" w:sz="12" w:space="0"/>
        <w:right w:val="single" w:color="auto" w:sz="4" w:space="0"/>
      </w:pBdr>
      <w:spacing w:before="100" w:beforeAutospacing="1" w:after="100" w:afterAutospacing="1"/>
      <w:jc w:val="center"/>
      <w:textAlignment w:val="center"/>
    </w:pPr>
    <w:rPr>
      <w:rFonts w:ascii="Arial Unicode MS" w:hAnsi="Arial Unicode MS"/>
      <w:kern w:val="0"/>
    </w:rPr>
  </w:style>
  <w:style w:type="paragraph" w:customStyle="1" w:styleId="1335">
    <w:name w:val="表后注"/>
    <w:basedOn w:val="1"/>
    <w:autoRedefine/>
    <w:qFormat/>
    <w:uiPriority w:val="99"/>
    <w:pPr>
      <w:spacing w:line="500" w:lineRule="exact"/>
      <w:ind w:firstLine="584"/>
    </w:pPr>
    <w:rPr>
      <w:sz w:val="24"/>
    </w:rPr>
  </w:style>
  <w:style w:type="paragraph" w:customStyle="1" w:styleId="1336">
    <w:name w:val="xl182"/>
    <w:basedOn w:val="1"/>
    <w:autoRedefine/>
    <w:qFormat/>
    <w:uiPriority w:val="99"/>
    <w:pPr>
      <w:widowControl/>
      <w:pBdr>
        <w:top w:val="single" w:color="auto" w:sz="4" w:space="0"/>
        <w:left w:val="single" w:color="auto" w:sz="4" w:space="0"/>
        <w:right w:val="single" w:color="auto" w:sz="4" w:space="0"/>
      </w:pBdr>
      <w:spacing w:before="100" w:beforeAutospacing="1" w:after="100" w:afterAutospacing="1"/>
      <w:jc w:val="center"/>
      <w:textAlignment w:val="center"/>
    </w:pPr>
    <w:rPr>
      <w:kern w:val="0"/>
      <w:sz w:val="16"/>
      <w:szCs w:val="16"/>
    </w:rPr>
  </w:style>
  <w:style w:type="paragraph" w:customStyle="1" w:styleId="1337">
    <w:name w:val="Char Char Char1 Char Char Char Char Char Char Char Char Char1"/>
    <w:basedOn w:val="1"/>
    <w:autoRedefine/>
    <w:qFormat/>
    <w:uiPriority w:val="39"/>
    <w:rPr>
      <w:szCs w:val="21"/>
    </w:rPr>
  </w:style>
  <w:style w:type="paragraph" w:customStyle="1" w:styleId="1338">
    <w:name w:val="表题142"/>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1339">
    <w:name w:val="二级无标题条"/>
    <w:basedOn w:val="1"/>
    <w:autoRedefine/>
    <w:qFormat/>
    <w:uiPriority w:val="0"/>
    <w:pPr>
      <w:ind w:left="210"/>
    </w:pPr>
    <w:rPr>
      <w:szCs w:val="20"/>
    </w:rPr>
  </w:style>
  <w:style w:type="paragraph" w:customStyle="1" w:styleId="1340">
    <w:name w:val="xl55"/>
    <w:basedOn w:val="1"/>
    <w:autoRedefine/>
    <w:qFormat/>
    <w:uiPriority w:val="0"/>
    <w:pPr>
      <w:widowControl/>
      <w:pBdr>
        <w:bottom w:val="single" w:color="auto" w:sz="12" w:space="0"/>
      </w:pBdr>
      <w:spacing w:before="100" w:beforeAutospacing="1" w:after="100" w:afterAutospacing="1"/>
      <w:jc w:val="left"/>
    </w:pPr>
    <w:rPr>
      <w:rFonts w:ascii="Arial Unicode MS" w:hAnsi="Arial Unicode MS"/>
      <w:kern w:val="0"/>
      <w:sz w:val="12"/>
      <w:szCs w:val="12"/>
    </w:rPr>
  </w:style>
  <w:style w:type="paragraph" w:customStyle="1" w:styleId="1341">
    <w:name w:val="样式 标题 4无效格式无效格式1河石管道4H4H41小小节河石管道41H42H411小小节1河石管道42...2"/>
    <w:basedOn w:val="6"/>
    <w:autoRedefine/>
    <w:qFormat/>
    <w:uiPriority w:val="0"/>
    <w:pPr>
      <w:adjustRightInd w:val="0"/>
      <w:snapToGrid w:val="0"/>
      <w:spacing w:before="0" w:after="0" w:line="360" w:lineRule="auto"/>
      <w:ind w:left="1404" w:hanging="864"/>
    </w:pPr>
    <w:rPr>
      <w:rFonts w:ascii="黑体"/>
      <w:b w:val="0"/>
      <w:bCs w:val="0"/>
      <w:sz w:val="24"/>
      <w:szCs w:val="24"/>
    </w:rPr>
  </w:style>
  <w:style w:type="paragraph" w:customStyle="1" w:styleId="1342">
    <w:name w:val="xl34"/>
    <w:basedOn w:val="1"/>
    <w:autoRedefine/>
    <w:qFormat/>
    <w:uiPriority w:val="0"/>
    <w:pPr>
      <w:widowControl/>
      <w:pBdr>
        <w:left w:val="single" w:color="auto" w:sz="12" w:space="0"/>
      </w:pBdr>
      <w:spacing w:before="100" w:beforeAutospacing="1" w:after="100" w:afterAutospacing="1"/>
      <w:jc w:val="left"/>
    </w:pPr>
    <w:rPr>
      <w:rFonts w:ascii="Arial Unicode MS" w:hAnsi="Arial Unicode MS"/>
      <w:kern w:val="0"/>
      <w:sz w:val="16"/>
      <w:szCs w:val="16"/>
    </w:rPr>
  </w:style>
  <w:style w:type="paragraph" w:customStyle="1" w:styleId="1343">
    <w:name w:val="Char Char2 Char Char Char Char Char Char"/>
    <w:basedOn w:val="1"/>
    <w:autoRedefine/>
    <w:qFormat/>
    <w:uiPriority w:val="39"/>
    <w:pPr>
      <w:spacing w:line="480" w:lineRule="exact"/>
    </w:pPr>
    <w:rPr>
      <w:sz w:val="22"/>
    </w:rPr>
  </w:style>
  <w:style w:type="paragraph" w:customStyle="1" w:styleId="1344">
    <w:name w:val="xl192"/>
    <w:basedOn w:val="1"/>
    <w:autoRedefine/>
    <w:qFormat/>
    <w:uiPriority w:val="99"/>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345">
    <w:name w:val="表文字54"/>
    <w:basedOn w:val="1"/>
    <w:autoRedefine/>
    <w:qFormat/>
    <w:uiPriority w:val="0"/>
    <w:pPr>
      <w:adjustRightInd w:val="0"/>
      <w:jc w:val="left"/>
      <w:textAlignment w:val="baseline"/>
    </w:pPr>
    <w:rPr>
      <w:rFonts w:ascii="宋体"/>
      <w:kern w:val="0"/>
      <w:szCs w:val="20"/>
    </w:rPr>
  </w:style>
  <w:style w:type="paragraph" w:customStyle="1" w:styleId="1346">
    <w:name w:val="Char Char Char Char Char Char Char Char Char Char Char Char Char Char Char Char Char Char Char Char Char Char Char Char Char Char Char Char Char Char Char Char Char Char Char Char Char Char Char Char1"/>
    <w:basedOn w:val="1"/>
    <w:autoRedefine/>
    <w:qFormat/>
    <w:uiPriority w:val="39"/>
    <w:rPr>
      <w:sz w:val="24"/>
    </w:rPr>
  </w:style>
  <w:style w:type="paragraph" w:customStyle="1" w:styleId="1347">
    <w:name w:val="表格标题"/>
    <w:basedOn w:val="1"/>
    <w:autoRedefine/>
    <w:qFormat/>
    <w:uiPriority w:val="99"/>
    <w:pPr>
      <w:adjustRightInd w:val="0"/>
      <w:spacing w:before="120" w:line="480" w:lineRule="exact"/>
      <w:jc w:val="center"/>
      <w:textAlignment w:val="baseline"/>
    </w:pPr>
    <w:rPr>
      <w:rFonts w:eastAsia="文鼎CS中宋"/>
      <w:spacing w:val="8"/>
      <w:kern w:val="0"/>
      <w:sz w:val="24"/>
      <w:szCs w:val="20"/>
    </w:rPr>
  </w:style>
  <w:style w:type="paragraph" w:customStyle="1" w:styleId="1348">
    <w:name w:val="xl95"/>
    <w:basedOn w:val="1"/>
    <w:autoRedefine/>
    <w:qFormat/>
    <w:uiPriority w:val="0"/>
    <w:pPr>
      <w:widowControl/>
      <w:spacing w:before="100" w:beforeAutospacing="1" w:after="100" w:afterAutospacing="1"/>
      <w:jc w:val="right"/>
    </w:pPr>
    <w:rPr>
      <w:rFonts w:ascii="Arial Unicode MS" w:hAnsi="Arial Unicode MS"/>
      <w:kern w:val="0"/>
      <w:sz w:val="12"/>
      <w:szCs w:val="12"/>
    </w:rPr>
  </w:style>
  <w:style w:type="paragraph" w:customStyle="1" w:styleId="1349">
    <w:name w:val="xl175"/>
    <w:basedOn w:val="1"/>
    <w:autoRedefine/>
    <w:qFormat/>
    <w:uiPriority w:val="99"/>
    <w:pPr>
      <w:widowControl/>
      <w:pBdr>
        <w:left w:val="single" w:color="auto" w:sz="12" w:space="0"/>
        <w:right w:val="single" w:color="auto" w:sz="4" w:space="0"/>
      </w:pBdr>
      <w:spacing w:before="100" w:beforeAutospacing="1" w:after="100" w:afterAutospacing="1"/>
      <w:jc w:val="left"/>
    </w:pPr>
    <w:rPr>
      <w:rFonts w:ascii="Arial Unicode MS" w:hAnsi="Arial Unicode MS"/>
      <w:kern w:val="0"/>
    </w:rPr>
  </w:style>
  <w:style w:type="paragraph" w:customStyle="1" w:styleId="1350">
    <w:name w:val="样式标题5"/>
    <w:basedOn w:val="1"/>
    <w:next w:val="478"/>
    <w:autoRedefine/>
    <w:qFormat/>
    <w:uiPriority w:val="99"/>
    <w:pPr>
      <w:spacing w:line="360" w:lineRule="auto"/>
      <w:ind w:firstLine="400"/>
    </w:pPr>
    <w:rPr>
      <w:sz w:val="24"/>
    </w:rPr>
  </w:style>
  <w:style w:type="paragraph" w:customStyle="1" w:styleId="1351">
    <w:name w:val="默认段落字体 Para Char Char Char Char4"/>
    <w:basedOn w:val="1"/>
    <w:autoRedefine/>
    <w:qFormat/>
    <w:uiPriority w:val="0"/>
  </w:style>
  <w:style w:type="paragraph" w:customStyle="1" w:styleId="1352">
    <w:name w:val="附件2"/>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1353">
    <w:name w:val="表"/>
    <w:autoRedefine/>
    <w:qFormat/>
    <w:uiPriority w:val="0"/>
    <w:pPr>
      <w:widowControl w:val="0"/>
      <w:adjustRightInd w:val="0"/>
      <w:snapToGrid w:val="0"/>
      <w:jc w:val="center"/>
    </w:pPr>
    <w:rPr>
      <w:rFonts w:ascii="Times New Roman" w:hAnsi="Times New Roman" w:eastAsia="宋体" w:cs="Times New Roman"/>
      <w:color w:val="000000"/>
      <w:kern w:val="2"/>
      <w:position w:val="-6"/>
      <w:sz w:val="21"/>
      <w:lang w:val="en-US" w:eastAsia="zh-CN" w:bidi="ar-SA"/>
    </w:rPr>
  </w:style>
  <w:style w:type="paragraph" w:customStyle="1" w:styleId="1354">
    <w:name w:val="样式 表格内字体 +11"/>
    <w:basedOn w:val="417"/>
    <w:autoRedefine/>
    <w:qFormat/>
    <w:uiPriority w:val="0"/>
    <w:pPr>
      <w:spacing w:line="280" w:lineRule="exact"/>
      <w:ind w:firstLine="36"/>
      <w:jc w:val="both"/>
    </w:pPr>
  </w:style>
  <w:style w:type="paragraph" w:customStyle="1" w:styleId="1355">
    <w:name w:val="xl72"/>
    <w:basedOn w:val="1"/>
    <w:autoRedefine/>
    <w:qFormat/>
    <w:uiPriority w:val="0"/>
    <w:pPr>
      <w:widowControl/>
      <w:pBdr>
        <w:left w:val="single" w:color="auto" w:sz="8" w:space="0"/>
        <w:bottom w:val="single" w:color="auto" w:sz="8" w:space="0"/>
        <w:right w:val="single" w:color="auto" w:sz="8" w:space="0"/>
      </w:pBdr>
      <w:spacing w:before="100" w:beforeAutospacing="1" w:after="100" w:afterAutospacing="1"/>
      <w:jc w:val="center"/>
    </w:pPr>
    <w:rPr>
      <w:rFonts w:ascii="宋体" w:hAnsi="宋体" w:cs="宋体"/>
      <w:kern w:val="0"/>
      <w:szCs w:val="21"/>
    </w:rPr>
  </w:style>
  <w:style w:type="paragraph" w:customStyle="1" w:styleId="1356">
    <w:name w:val="Char27"/>
    <w:basedOn w:val="1"/>
    <w:autoRedefine/>
    <w:qFormat/>
    <w:uiPriority w:val="0"/>
    <w:pPr>
      <w:ind w:left="-48"/>
    </w:pPr>
  </w:style>
  <w:style w:type="paragraph" w:customStyle="1" w:styleId="1357">
    <w:name w:val="表11"/>
    <w:basedOn w:val="1"/>
    <w:autoRedefine/>
    <w:qFormat/>
    <w:uiPriority w:val="0"/>
    <w:pPr>
      <w:adjustRightInd w:val="0"/>
      <w:snapToGrid w:val="0"/>
      <w:jc w:val="center"/>
    </w:pPr>
    <w:rPr>
      <w:rFonts w:eastAsia="仿宋_GB2312"/>
      <w:sz w:val="24"/>
    </w:rPr>
  </w:style>
  <w:style w:type="paragraph" w:customStyle="1" w:styleId="1358">
    <w:name w:val="Char2 Char Char Char Char Char2"/>
    <w:basedOn w:val="1"/>
    <w:autoRedefine/>
    <w:qFormat/>
    <w:uiPriority w:val="39"/>
    <w:rPr>
      <w:sz w:val="24"/>
    </w:rPr>
  </w:style>
  <w:style w:type="paragraph" w:customStyle="1" w:styleId="1359">
    <w:name w:val="xl87"/>
    <w:basedOn w:val="1"/>
    <w:autoRedefine/>
    <w:qFormat/>
    <w:uiPriority w:val="0"/>
    <w:pPr>
      <w:widowControl/>
      <w:spacing w:before="100" w:beforeAutospacing="1" w:after="100" w:afterAutospacing="1"/>
      <w:jc w:val="center"/>
      <w:textAlignment w:val="center"/>
    </w:pPr>
    <w:rPr>
      <w:rFonts w:ascii="Arial Unicode MS" w:hAnsi="Arial Unicode MS"/>
      <w:kern w:val="0"/>
      <w:sz w:val="12"/>
      <w:szCs w:val="12"/>
    </w:rPr>
  </w:style>
  <w:style w:type="paragraph" w:customStyle="1" w:styleId="1360">
    <w:name w:val="表内宋5中114"/>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1361">
    <w:name w:val="表题3111"/>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1362">
    <w:name w:val="xl48"/>
    <w:basedOn w:val="1"/>
    <w:autoRedefine/>
    <w:qFormat/>
    <w:uiPriority w:val="0"/>
    <w:pPr>
      <w:widowControl/>
      <w:pBdr>
        <w:left w:val="single" w:color="auto" w:sz="12" w:space="0"/>
        <w:bottom w:val="single" w:color="auto" w:sz="12" w:space="0"/>
      </w:pBdr>
      <w:spacing w:before="100" w:beforeAutospacing="1" w:after="100" w:afterAutospacing="1"/>
      <w:jc w:val="left"/>
    </w:pPr>
    <w:rPr>
      <w:rFonts w:ascii="Arial Unicode MS" w:hAnsi="Arial Unicode MS"/>
      <w:kern w:val="0"/>
      <w:sz w:val="16"/>
      <w:szCs w:val="16"/>
    </w:rPr>
  </w:style>
  <w:style w:type="paragraph" w:customStyle="1" w:styleId="1363">
    <w:name w:val="Char103"/>
    <w:basedOn w:val="1"/>
    <w:autoRedefine/>
    <w:qFormat/>
    <w:uiPriority w:val="0"/>
    <w:pPr>
      <w:adjustRightInd w:val="0"/>
      <w:snapToGrid w:val="0"/>
      <w:spacing w:line="360" w:lineRule="auto"/>
    </w:pPr>
  </w:style>
  <w:style w:type="paragraph" w:customStyle="1" w:styleId="1364">
    <w:name w:val="Char113"/>
    <w:basedOn w:val="1"/>
    <w:autoRedefine/>
    <w:qFormat/>
    <w:uiPriority w:val="0"/>
    <w:pPr>
      <w:ind w:left="-48"/>
    </w:pPr>
  </w:style>
  <w:style w:type="paragraph" w:customStyle="1" w:styleId="1365">
    <w:name w:val="xl93"/>
    <w:basedOn w:val="1"/>
    <w:autoRedefine/>
    <w:qFormat/>
    <w:uiPriority w:val="0"/>
    <w:pPr>
      <w:widowControl/>
      <w:spacing w:before="100" w:beforeAutospacing="1" w:after="100" w:afterAutospacing="1"/>
      <w:jc w:val="center"/>
      <w:textAlignment w:val="center"/>
    </w:pPr>
    <w:rPr>
      <w:rFonts w:ascii="Arial Unicode MS" w:hAnsi="Arial Unicode MS"/>
      <w:kern w:val="0"/>
      <w:sz w:val="12"/>
      <w:szCs w:val="12"/>
    </w:rPr>
  </w:style>
  <w:style w:type="paragraph" w:customStyle="1" w:styleId="1366">
    <w:name w:val="默认段落字体 Para Char Char Char Char Char Char Char Char Char"/>
    <w:basedOn w:val="1"/>
    <w:autoRedefine/>
    <w:qFormat/>
    <w:uiPriority w:val="99"/>
    <w:pPr>
      <w:keepNext/>
      <w:keepLines/>
      <w:spacing w:line="360" w:lineRule="auto"/>
      <w:jc w:val="left"/>
    </w:pPr>
    <w:rPr>
      <w:rFonts w:ascii="Tahoma" w:hAnsi="Tahoma"/>
      <w:b/>
      <w:sz w:val="30"/>
      <w:szCs w:val="20"/>
    </w:rPr>
  </w:style>
  <w:style w:type="paragraph" w:customStyle="1" w:styleId="1367">
    <w:name w:val="xl47"/>
    <w:basedOn w:val="1"/>
    <w:autoRedefine/>
    <w:qFormat/>
    <w:uiPriority w:val="0"/>
    <w:pPr>
      <w:widowControl/>
      <w:pBdr>
        <w:top w:val="single" w:color="auto" w:sz="12"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368">
    <w:name w:val="表内文字小3114"/>
    <w:basedOn w:val="1"/>
    <w:autoRedefine/>
    <w:qFormat/>
    <w:uiPriority w:val="0"/>
    <w:pPr>
      <w:adjustRightInd w:val="0"/>
      <w:snapToGrid w:val="0"/>
      <w:jc w:val="center"/>
    </w:pPr>
    <w:rPr>
      <w:rFonts w:ascii="宋体" w:hAnsi="Times" w:cs="宋体"/>
      <w:bCs/>
      <w:color w:val="003366"/>
      <w:szCs w:val="20"/>
    </w:rPr>
  </w:style>
  <w:style w:type="paragraph" w:customStyle="1" w:styleId="1369">
    <w:name w:val="表文字541"/>
    <w:basedOn w:val="1"/>
    <w:autoRedefine/>
    <w:qFormat/>
    <w:uiPriority w:val="0"/>
    <w:pPr>
      <w:adjustRightInd w:val="0"/>
      <w:jc w:val="left"/>
      <w:textAlignment w:val="baseline"/>
    </w:pPr>
    <w:rPr>
      <w:rFonts w:ascii="宋体"/>
      <w:kern w:val="0"/>
      <w:szCs w:val="20"/>
    </w:rPr>
  </w:style>
  <w:style w:type="paragraph" w:customStyle="1" w:styleId="1370">
    <w:name w:val="正文格式72"/>
    <w:basedOn w:val="1"/>
    <w:autoRedefine/>
    <w:qFormat/>
    <w:uiPriority w:val="0"/>
    <w:pPr>
      <w:spacing w:line="360" w:lineRule="auto"/>
      <w:ind w:firstLine="482"/>
    </w:pPr>
    <w:rPr>
      <w:rFonts w:ascii="宋体" w:hAnsi="宋体"/>
      <w:sz w:val="24"/>
    </w:rPr>
  </w:style>
  <w:style w:type="paragraph" w:customStyle="1" w:styleId="1371">
    <w:name w:val="5号表文"/>
    <w:autoRedefine/>
    <w:qFormat/>
    <w:uiPriority w:val="0"/>
    <w:pPr>
      <w:widowControl w:val="0"/>
      <w:autoSpaceDE w:val="0"/>
      <w:adjustRightInd w:val="0"/>
      <w:snapToGrid w:val="0"/>
      <w:jc w:val="center"/>
    </w:pPr>
    <w:rPr>
      <w:rFonts w:ascii="宋体" w:hAnsi="宋体" w:eastAsia="宋体" w:cs="Times New Roman"/>
      <w:kern w:val="2"/>
      <w:sz w:val="21"/>
      <w:szCs w:val="21"/>
      <w:lang w:val="en-US" w:eastAsia="zh-CN" w:bidi="ar-SA"/>
    </w:rPr>
  </w:style>
  <w:style w:type="paragraph" w:customStyle="1" w:styleId="1372">
    <w:name w:val="标准3"/>
    <w:basedOn w:val="1"/>
    <w:autoRedefine/>
    <w:qFormat/>
    <w:uiPriority w:val="0"/>
    <w:pPr>
      <w:adjustRightInd w:val="0"/>
      <w:spacing w:before="120" w:line="336" w:lineRule="auto"/>
      <w:jc w:val="center"/>
      <w:textAlignment w:val="baseline"/>
    </w:pPr>
    <w:rPr>
      <w:rFonts w:ascii="黑体" w:eastAsia="黑体"/>
      <w:szCs w:val="20"/>
    </w:rPr>
  </w:style>
  <w:style w:type="paragraph" w:customStyle="1" w:styleId="1373">
    <w:name w:val="黑体三号33"/>
    <w:basedOn w:val="418"/>
    <w:autoRedefine/>
    <w:qFormat/>
    <w:uiPriority w:val="0"/>
    <w:pPr>
      <w:jc w:val="center"/>
    </w:pPr>
    <w:rPr>
      <w:rFonts w:ascii="黑体" w:hAnsi="宋体" w:eastAsia="黑体" w:cs="宋体"/>
      <w:bCs/>
      <w:spacing w:val="0"/>
      <w:sz w:val="32"/>
    </w:rPr>
  </w:style>
  <w:style w:type="paragraph" w:customStyle="1" w:styleId="1374">
    <w:name w:val="表内字体"/>
    <w:basedOn w:val="1"/>
    <w:autoRedefine/>
    <w:qFormat/>
    <w:uiPriority w:val="99"/>
    <w:pPr>
      <w:jc w:val="center"/>
    </w:pPr>
    <w:rPr>
      <w:rFonts w:hAnsi="宋体" w:eastAsia="华文中宋"/>
      <w:szCs w:val="28"/>
    </w:rPr>
  </w:style>
  <w:style w:type="paragraph" w:customStyle="1" w:styleId="1375">
    <w:name w:val="xl144"/>
    <w:basedOn w:val="1"/>
    <w:autoRedefine/>
    <w:qFormat/>
    <w:uiPriority w:val="99"/>
    <w:pPr>
      <w:widowControl/>
      <w:pBdr>
        <w:left w:val="single" w:color="auto" w:sz="4" w:space="0"/>
        <w:bottom w:val="single" w:color="auto" w:sz="8"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376">
    <w:name w:val="表格内字体2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1377">
    <w:name w:val="正文.14"/>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1378">
    <w:name w:val="表格样式2"/>
    <w:basedOn w:val="1"/>
    <w:autoRedefine/>
    <w:qFormat/>
    <w:uiPriority w:val="99"/>
    <w:pPr>
      <w:spacing w:line="320" w:lineRule="exact"/>
      <w:jc w:val="center"/>
    </w:pPr>
    <w:rPr>
      <w:color w:val="000000"/>
      <w:szCs w:val="21"/>
    </w:rPr>
  </w:style>
  <w:style w:type="paragraph" w:customStyle="1" w:styleId="1379">
    <w:name w:val="高段文"/>
    <w:basedOn w:val="1"/>
    <w:autoRedefine/>
    <w:qFormat/>
    <w:uiPriority w:val="99"/>
    <w:pPr>
      <w:spacing w:line="300" w:lineRule="auto"/>
      <w:ind w:firstLine="200" w:firstLineChars="200"/>
    </w:pPr>
    <w:rPr>
      <w:rFonts w:ascii="Arial" w:hAnsi="Arial" w:eastAsia="楷体_GB2312"/>
      <w:sz w:val="28"/>
      <w:szCs w:val="28"/>
    </w:rPr>
  </w:style>
  <w:style w:type="paragraph" w:customStyle="1" w:styleId="1380">
    <w:name w:val="图题54"/>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381">
    <w:name w:val="Char Char Char Char1 Char Char Char12"/>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1382">
    <w:name w:val="宋体 行距: 固定值 12 磅"/>
    <w:basedOn w:val="57"/>
    <w:autoRedefine/>
    <w:qFormat/>
    <w:uiPriority w:val="39"/>
    <w:rPr>
      <w:rFonts w:ascii="Calibri" w:hAnsi="Calibri"/>
      <w:szCs w:val="18"/>
      <w:lang w:val="en-US"/>
    </w:rPr>
  </w:style>
  <w:style w:type="paragraph" w:customStyle="1" w:styleId="1383">
    <w:name w:val="正文修改24"/>
    <w:basedOn w:val="193"/>
    <w:autoRedefine/>
    <w:qFormat/>
    <w:uiPriority w:val="0"/>
    <w:rPr>
      <w:rFonts w:hAnsi="宋体"/>
      <w:color w:val="000000"/>
    </w:rPr>
  </w:style>
  <w:style w:type="paragraph" w:customStyle="1" w:styleId="1384">
    <w:name w:val="表内5中411"/>
    <w:basedOn w:val="1"/>
    <w:autoRedefine/>
    <w:qFormat/>
    <w:uiPriority w:val="0"/>
    <w:pPr>
      <w:adjustRightInd w:val="0"/>
      <w:snapToGrid w:val="0"/>
      <w:jc w:val="center"/>
    </w:pPr>
    <w:rPr>
      <w:rFonts w:ascii="宋体"/>
      <w:bCs/>
      <w:szCs w:val="20"/>
    </w:rPr>
  </w:style>
  <w:style w:type="paragraph" w:customStyle="1" w:styleId="1385">
    <w:name w:val="jcss"/>
    <w:basedOn w:val="1"/>
    <w:autoRedefine/>
    <w:qFormat/>
    <w:uiPriority w:val="39"/>
    <w:pPr>
      <w:widowControl/>
      <w:spacing w:before="100" w:beforeAutospacing="1" w:after="100" w:afterAutospacing="1" w:line="375" w:lineRule="atLeast"/>
      <w:jc w:val="left"/>
    </w:pPr>
    <w:rPr>
      <w:rFonts w:ascii="宋体" w:hAnsi="宋体" w:cs="宋体"/>
      <w:color w:val="000000"/>
      <w:kern w:val="0"/>
      <w:sz w:val="18"/>
      <w:szCs w:val="18"/>
    </w:rPr>
  </w:style>
  <w:style w:type="paragraph" w:customStyle="1" w:styleId="1386">
    <w:name w:val="标题水污染"/>
    <w:basedOn w:val="6"/>
    <w:autoRedefine/>
    <w:qFormat/>
    <w:uiPriority w:val="99"/>
    <w:pPr>
      <w:tabs>
        <w:tab w:val="left" w:pos="0"/>
      </w:tabs>
      <w:spacing w:before="0" w:after="0" w:line="360" w:lineRule="auto"/>
      <w:ind w:left="1890" w:hanging="420"/>
      <w:jc w:val="left"/>
    </w:pPr>
    <w:rPr>
      <w:rFonts w:ascii="宋体" w:eastAsia="宋体"/>
      <w:b w:val="0"/>
      <w:color w:val="000000"/>
      <w:sz w:val="24"/>
    </w:rPr>
  </w:style>
  <w:style w:type="paragraph" w:customStyle="1" w:styleId="1387">
    <w:name w:val="1 Char Char Char Char Char Char Char Char"/>
    <w:basedOn w:val="1"/>
    <w:autoRedefine/>
    <w:qFormat/>
    <w:uiPriority w:val="39"/>
    <w:rPr>
      <w:sz w:val="24"/>
    </w:rPr>
  </w:style>
  <w:style w:type="paragraph" w:customStyle="1" w:styleId="1388">
    <w:name w:val="Char117"/>
    <w:basedOn w:val="1"/>
    <w:autoRedefine/>
    <w:qFormat/>
    <w:uiPriority w:val="0"/>
    <w:pPr>
      <w:ind w:left="-48"/>
    </w:pPr>
  </w:style>
  <w:style w:type="paragraph" w:customStyle="1" w:styleId="1389">
    <w:name w:val="xl125"/>
    <w:basedOn w:val="1"/>
    <w:autoRedefine/>
    <w:qFormat/>
    <w:uiPriority w:val="99"/>
    <w:pPr>
      <w:widowControl/>
      <w:spacing w:before="100" w:beforeAutospacing="1" w:after="100" w:afterAutospacing="1"/>
      <w:jc w:val="left"/>
      <w:textAlignment w:val="center"/>
    </w:pPr>
    <w:rPr>
      <w:rFonts w:ascii="Arial Unicode MS" w:hAnsi="Arial Unicode MS"/>
      <w:kern w:val="0"/>
      <w:sz w:val="16"/>
      <w:szCs w:val="16"/>
    </w:rPr>
  </w:style>
  <w:style w:type="paragraph" w:customStyle="1" w:styleId="1390">
    <w:name w:val="默认段落字体 Para Char Char Char Char22"/>
    <w:basedOn w:val="1"/>
    <w:autoRedefine/>
    <w:qFormat/>
    <w:uiPriority w:val="0"/>
  </w:style>
  <w:style w:type="paragraph" w:customStyle="1" w:styleId="1391">
    <w:name w:val="验方正文"/>
    <w:basedOn w:val="1"/>
    <w:autoRedefine/>
    <w:qFormat/>
    <w:uiPriority w:val="39"/>
    <w:pPr>
      <w:adjustRightInd w:val="0"/>
      <w:spacing w:line="312" w:lineRule="atLeast"/>
      <w:ind w:firstLine="686"/>
      <w:textAlignment w:val="baseline"/>
    </w:pPr>
    <w:rPr>
      <w:rFonts w:ascii="仿宋_GB2312" w:hAnsi="Courier New" w:eastAsia="仿宋_GB2312"/>
      <w:kern w:val="0"/>
      <w:sz w:val="28"/>
      <w:szCs w:val="20"/>
    </w:rPr>
  </w:style>
  <w:style w:type="paragraph" w:customStyle="1" w:styleId="1392">
    <w:name w:val="表中文字122"/>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1393">
    <w:name w:val="正文格式64"/>
    <w:basedOn w:val="1"/>
    <w:autoRedefine/>
    <w:qFormat/>
    <w:uiPriority w:val="0"/>
    <w:pPr>
      <w:spacing w:line="360" w:lineRule="auto"/>
      <w:ind w:firstLine="482"/>
    </w:pPr>
    <w:rPr>
      <w:rFonts w:ascii="宋体" w:hAnsi="宋体"/>
      <w:sz w:val="24"/>
    </w:rPr>
  </w:style>
  <w:style w:type="paragraph" w:customStyle="1" w:styleId="1394">
    <w:name w:val="xl109"/>
    <w:basedOn w:val="1"/>
    <w:autoRedefine/>
    <w:qFormat/>
    <w:uiPriority w:val="99"/>
    <w:pPr>
      <w:widowControl/>
      <w:pBdr>
        <w:top w:val="single" w:color="auto" w:sz="12" w:space="0"/>
        <w:bottom w:val="single" w:color="auto" w:sz="8"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395">
    <w:name w:val="黑体三号311"/>
    <w:basedOn w:val="418"/>
    <w:autoRedefine/>
    <w:qFormat/>
    <w:uiPriority w:val="0"/>
    <w:pPr>
      <w:jc w:val="center"/>
    </w:pPr>
    <w:rPr>
      <w:rFonts w:ascii="黑体" w:hAnsi="宋体" w:eastAsia="黑体" w:cs="宋体"/>
      <w:bCs/>
      <w:spacing w:val="0"/>
      <w:sz w:val="32"/>
    </w:rPr>
  </w:style>
  <w:style w:type="paragraph" w:customStyle="1" w:styleId="1396">
    <w:name w:val="表格内字体22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1397">
    <w:name w:val="目录B"/>
    <w:basedOn w:val="1"/>
    <w:autoRedefine/>
    <w:qFormat/>
    <w:uiPriority w:val="99"/>
    <w:pPr>
      <w:spacing w:line="480" w:lineRule="exact"/>
      <w:outlineLvl w:val="1"/>
    </w:pPr>
    <w:rPr>
      <w:rFonts w:ascii="黑体" w:eastAsia="黑体"/>
      <w:sz w:val="28"/>
      <w:szCs w:val="28"/>
    </w:rPr>
  </w:style>
  <w:style w:type="paragraph" w:customStyle="1" w:styleId="1398">
    <w:name w:val="xl27"/>
    <w:basedOn w:val="1"/>
    <w:autoRedefine/>
    <w:qFormat/>
    <w:uiPriority w:val="0"/>
    <w:pPr>
      <w:widowControl/>
      <w:pBdr>
        <w:left w:val="single" w:color="auto" w:sz="12" w:space="0"/>
        <w:bottom w:val="single" w:color="auto" w:sz="12" w:space="0"/>
      </w:pBdr>
      <w:spacing w:before="100" w:beforeAutospacing="1" w:after="100" w:afterAutospacing="1"/>
      <w:jc w:val="left"/>
    </w:pPr>
    <w:rPr>
      <w:rFonts w:ascii="Arial Unicode MS" w:hAnsi="Arial Unicode MS"/>
      <w:kern w:val="0"/>
    </w:rPr>
  </w:style>
  <w:style w:type="paragraph" w:customStyle="1" w:styleId="1399">
    <w:name w:val="样式 样式 标题2.2 + 段前: 0.5 行2"/>
    <w:basedOn w:val="1400"/>
    <w:autoRedefine/>
    <w:qFormat/>
    <w:uiPriority w:val="99"/>
    <w:pPr>
      <w:spacing w:beforeLines="0"/>
    </w:pPr>
  </w:style>
  <w:style w:type="paragraph" w:customStyle="1" w:styleId="1400">
    <w:name w:val="样式 标题2.2"/>
    <w:basedOn w:val="1401"/>
    <w:autoRedefine/>
    <w:qFormat/>
    <w:uiPriority w:val="99"/>
    <w:pPr>
      <w:outlineLvl w:val="2"/>
    </w:pPr>
    <w:rPr>
      <w:rFonts w:eastAsia="宋体"/>
    </w:rPr>
  </w:style>
  <w:style w:type="paragraph" w:customStyle="1" w:styleId="1401">
    <w:name w:val="标题3  2.6.1"/>
    <w:basedOn w:val="4"/>
    <w:autoRedefine/>
    <w:qFormat/>
    <w:uiPriority w:val="99"/>
    <w:pPr>
      <w:spacing w:beforeLines="50" w:after="0" w:line="360" w:lineRule="auto"/>
    </w:pPr>
    <w:rPr>
      <w:rFonts w:ascii="Times New Roman" w:hAnsi="Times New Roman" w:eastAsia="黑体" w:cs="宋体"/>
      <w:sz w:val="28"/>
      <w:szCs w:val="24"/>
    </w:rPr>
  </w:style>
  <w:style w:type="paragraph" w:customStyle="1" w:styleId="1402">
    <w:name w:val="图题2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403">
    <w:name w:val="表内文字小223"/>
    <w:basedOn w:val="1"/>
    <w:autoRedefine/>
    <w:qFormat/>
    <w:uiPriority w:val="0"/>
    <w:pPr>
      <w:adjustRightInd w:val="0"/>
      <w:snapToGrid w:val="0"/>
      <w:jc w:val="center"/>
    </w:pPr>
    <w:rPr>
      <w:rFonts w:ascii="宋体" w:hAnsi="Times"/>
      <w:bCs/>
      <w:color w:val="000000"/>
      <w:szCs w:val="20"/>
    </w:rPr>
  </w:style>
  <w:style w:type="paragraph" w:customStyle="1" w:styleId="1404">
    <w:name w:val="Char Char Char Char Char Char Char Char Char1 Char Char Char Char Char Char Char2"/>
    <w:basedOn w:val="1"/>
    <w:autoRedefine/>
    <w:qFormat/>
    <w:uiPriority w:val="39"/>
    <w:rPr>
      <w:szCs w:val="21"/>
    </w:rPr>
  </w:style>
  <w:style w:type="paragraph" w:customStyle="1" w:styleId="1405">
    <w:name w:val="Char Char1 Char Char Char Char2"/>
    <w:basedOn w:val="1"/>
    <w:autoRedefine/>
    <w:qFormat/>
    <w:uiPriority w:val="99"/>
    <w:rPr>
      <w:szCs w:val="20"/>
    </w:rPr>
  </w:style>
  <w:style w:type="paragraph" w:customStyle="1" w:styleId="1406">
    <w:name w:val="表内文字小3124"/>
    <w:basedOn w:val="1"/>
    <w:autoRedefine/>
    <w:qFormat/>
    <w:uiPriority w:val="0"/>
    <w:pPr>
      <w:adjustRightInd w:val="0"/>
      <w:snapToGrid w:val="0"/>
      <w:jc w:val="center"/>
    </w:pPr>
    <w:rPr>
      <w:rFonts w:ascii="宋体" w:hAnsi="Times" w:cs="宋体"/>
      <w:bCs/>
      <w:color w:val="003366"/>
      <w:szCs w:val="20"/>
    </w:rPr>
  </w:style>
  <w:style w:type="paragraph" w:customStyle="1" w:styleId="1407">
    <w:name w:val="表内文字小2211"/>
    <w:basedOn w:val="1"/>
    <w:autoRedefine/>
    <w:qFormat/>
    <w:uiPriority w:val="0"/>
    <w:pPr>
      <w:adjustRightInd w:val="0"/>
      <w:snapToGrid w:val="0"/>
      <w:jc w:val="center"/>
    </w:pPr>
    <w:rPr>
      <w:rFonts w:ascii="宋体" w:hAnsi="Times"/>
      <w:bCs/>
      <w:color w:val="000000"/>
      <w:szCs w:val="20"/>
    </w:rPr>
  </w:style>
  <w:style w:type="paragraph" w:customStyle="1" w:styleId="1408">
    <w:name w:val="表内文字小232"/>
    <w:basedOn w:val="1"/>
    <w:autoRedefine/>
    <w:qFormat/>
    <w:uiPriority w:val="0"/>
    <w:pPr>
      <w:adjustRightInd w:val="0"/>
      <w:snapToGrid w:val="0"/>
      <w:jc w:val="center"/>
    </w:pPr>
    <w:rPr>
      <w:rFonts w:ascii="宋体" w:hAnsi="Times"/>
      <w:bCs/>
      <w:color w:val="000000"/>
      <w:szCs w:val="20"/>
    </w:rPr>
  </w:style>
  <w:style w:type="paragraph" w:customStyle="1" w:styleId="1409">
    <w:name w:val="xl143"/>
    <w:basedOn w:val="1"/>
    <w:autoRedefine/>
    <w:qFormat/>
    <w:uiPriority w:val="99"/>
    <w:pPr>
      <w:widowControl/>
      <w:pBdr>
        <w:top w:val="single" w:color="auto" w:sz="8" w:space="0"/>
        <w:left w:val="single" w:color="auto" w:sz="4" w:space="0"/>
        <w:bottom w:val="single" w:color="auto" w:sz="8"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410">
    <w:name w:val="正文格式711"/>
    <w:basedOn w:val="1"/>
    <w:autoRedefine/>
    <w:qFormat/>
    <w:uiPriority w:val="0"/>
    <w:pPr>
      <w:spacing w:line="360" w:lineRule="auto"/>
      <w:ind w:firstLine="482"/>
    </w:pPr>
    <w:rPr>
      <w:rFonts w:ascii="宋体" w:hAnsi="宋体"/>
      <w:sz w:val="24"/>
    </w:rPr>
  </w:style>
  <w:style w:type="paragraph" w:customStyle="1" w:styleId="1411">
    <w:name w:val="TOC 标题1"/>
    <w:basedOn w:val="3"/>
    <w:next w:val="1"/>
    <w:autoRedefine/>
    <w:qFormat/>
    <w:uiPriority w:val="99"/>
    <w:pPr>
      <w:keepLines/>
      <w:widowControl/>
      <w:overflowPunct/>
      <w:snapToGrid/>
      <w:spacing w:before="480" w:after="0" w:line="276" w:lineRule="auto"/>
      <w:ind w:left="0" w:firstLine="0"/>
      <w:jc w:val="left"/>
      <w:outlineLvl w:val="9"/>
    </w:pPr>
    <w:rPr>
      <w:rFonts w:ascii="Cambria" w:hAnsi="Cambria" w:eastAsia="宋体"/>
      <w:color w:val="365F91"/>
      <w:kern w:val="0"/>
      <w:sz w:val="28"/>
      <w:szCs w:val="28"/>
    </w:rPr>
  </w:style>
  <w:style w:type="paragraph" w:customStyle="1" w:styleId="1412">
    <w:name w:val="公式"/>
    <w:basedOn w:val="1"/>
    <w:autoRedefine/>
    <w:qFormat/>
    <w:uiPriority w:val="0"/>
    <w:pPr>
      <w:adjustRightInd w:val="0"/>
      <w:snapToGrid w:val="0"/>
      <w:spacing w:line="360" w:lineRule="auto"/>
      <w:ind w:right="-11" w:firstLine="573"/>
    </w:pPr>
    <w:rPr>
      <w:rFonts w:ascii="仿宋_GB2312" w:eastAsia="仿宋_GB2312"/>
      <w:position w:val="-28"/>
      <w:sz w:val="28"/>
      <w:szCs w:val="20"/>
    </w:rPr>
  </w:style>
  <w:style w:type="paragraph" w:customStyle="1" w:styleId="1413">
    <w:name w:val="图题34"/>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414">
    <w:name w:val="样式 宋体 小四 左 段前: 6 磅 段后: 6 磅 行距: 1.5 倍行距2"/>
    <w:basedOn w:val="1"/>
    <w:autoRedefine/>
    <w:qFormat/>
    <w:uiPriority w:val="39"/>
    <w:pPr>
      <w:spacing w:line="300" w:lineRule="exact"/>
      <w:jc w:val="center"/>
    </w:pPr>
    <w:rPr>
      <w:szCs w:val="21"/>
    </w:rPr>
  </w:style>
  <w:style w:type="paragraph" w:customStyle="1" w:styleId="1415">
    <w:name w:val="表111"/>
    <w:basedOn w:val="1"/>
    <w:autoRedefine/>
    <w:qFormat/>
    <w:uiPriority w:val="0"/>
    <w:pPr>
      <w:adjustRightInd w:val="0"/>
      <w:snapToGrid w:val="0"/>
      <w:jc w:val="center"/>
    </w:pPr>
    <w:rPr>
      <w:rFonts w:eastAsia="仿宋_GB2312"/>
      <w:sz w:val="24"/>
    </w:rPr>
  </w:style>
  <w:style w:type="paragraph" w:customStyle="1" w:styleId="1416">
    <w:name w:val="正文缩12"/>
    <w:basedOn w:val="1"/>
    <w:autoRedefine/>
    <w:qFormat/>
    <w:uiPriority w:val="0"/>
    <w:pPr>
      <w:adjustRightInd w:val="0"/>
      <w:snapToGrid w:val="0"/>
      <w:spacing w:line="480" w:lineRule="atLeast"/>
      <w:ind w:firstLine="567"/>
      <w:textAlignment w:val="baseline"/>
    </w:pPr>
    <w:rPr>
      <w:rFonts w:ascii="宋体"/>
      <w:color w:val="000080"/>
      <w:spacing w:val="6"/>
      <w:kern w:val="0"/>
      <w:sz w:val="28"/>
      <w:szCs w:val="20"/>
    </w:rPr>
  </w:style>
  <w:style w:type="paragraph" w:customStyle="1" w:styleId="1417">
    <w:name w:val="样式 样式 标题 4 + 加粗 + 黑色"/>
    <w:basedOn w:val="1"/>
    <w:autoRedefine/>
    <w:qFormat/>
    <w:uiPriority w:val="39"/>
    <w:pPr>
      <w:keepNext/>
      <w:keepLines/>
      <w:spacing w:line="360" w:lineRule="auto"/>
      <w:ind w:left="709" w:hanging="709"/>
      <w:outlineLvl w:val="3"/>
    </w:pPr>
    <w:rPr>
      <w:color w:val="000000"/>
      <w:sz w:val="24"/>
      <w:szCs w:val="28"/>
    </w:rPr>
  </w:style>
  <w:style w:type="paragraph" w:customStyle="1" w:styleId="1418">
    <w:name w:val="正文格式511"/>
    <w:basedOn w:val="1"/>
    <w:autoRedefine/>
    <w:qFormat/>
    <w:uiPriority w:val="0"/>
    <w:pPr>
      <w:spacing w:line="360" w:lineRule="auto"/>
      <w:ind w:firstLine="482"/>
    </w:pPr>
    <w:rPr>
      <w:rFonts w:ascii="宋体" w:hAnsi="宋体"/>
      <w:sz w:val="24"/>
    </w:rPr>
  </w:style>
  <w:style w:type="paragraph" w:customStyle="1" w:styleId="1419">
    <w:name w:val="样式 Times New Roman 四号 加粗 行距: 1.5 倍行距"/>
    <w:basedOn w:val="1420"/>
    <w:autoRedefine/>
    <w:qFormat/>
    <w:uiPriority w:val="99"/>
    <w:rPr>
      <w:bCs/>
      <w:sz w:val="24"/>
    </w:rPr>
  </w:style>
  <w:style w:type="paragraph" w:customStyle="1" w:styleId="1420">
    <w:name w:val="样式 标题 3条标题1.1.1H3BOD 0Heading 3 - oldLevel 3 Headh33rd le...1"/>
    <w:basedOn w:val="5"/>
    <w:autoRedefine/>
    <w:qFormat/>
    <w:uiPriority w:val="99"/>
    <w:pPr>
      <w:spacing w:beforeLines="50" w:after="0" w:line="360" w:lineRule="auto"/>
    </w:pPr>
    <w:rPr>
      <w:rFonts w:cs="宋体"/>
      <w:bCs w:val="0"/>
      <w:kern w:val="0"/>
      <w:sz w:val="28"/>
      <w:szCs w:val="20"/>
      <w:lang w:val="en-US"/>
    </w:rPr>
  </w:style>
  <w:style w:type="paragraph" w:customStyle="1" w:styleId="1421">
    <w:name w:val="xl29"/>
    <w:basedOn w:val="1"/>
    <w:autoRedefine/>
    <w:qFormat/>
    <w:uiPriority w:val="0"/>
    <w:pPr>
      <w:widowControl/>
      <w:spacing w:before="100" w:beforeAutospacing="1" w:after="100" w:afterAutospacing="1"/>
      <w:jc w:val="left"/>
      <w:textAlignment w:val="center"/>
    </w:pPr>
    <w:rPr>
      <w:kern w:val="0"/>
      <w:sz w:val="16"/>
      <w:szCs w:val="16"/>
    </w:rPr>
  </w:style>
  <w:style w:type="paragraph" w:customStyle="1" w:styleId="1422">
    <w:name w:val="Char Char Char Char Char Char Char18"/>
    <w:basedOn w:val="1"/>
    <w:autoRedefine/>
    <w:qFormat/>
    <w:uiPriority w:val="0"/>
  </w:style>
  <w:style w:type="paragraph" w:customStyle="1" w:styleId="1423">
    <w:name w:val="燕山正文1124"/>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1424">
    <w:name w:val="正文格式＝311"/>
    <w:basedOn w:val="418"/>
    <w:next w:val="418"/>
    <w:autoRedefine/>
    <w:qFormat/>
    <w:uiPriority w:val="0"/>
    <w:rPr>
      <w:rFonts w:ascii="宋体" w:hAnsi="宋体"/>
      <w:b w:val="0"/>
      <w:spacing w:val="0"/>
      <w:sz w:val="24"/>
      <w:szCs w:val="24"/>
    </w:rPr>
  </w:style>
  <w:style w:type="paragraph" w:customStyle="1" w:styleId="1425">
    <w:name w:val="Char2"/>
    <w:basedOn w:val="1"/>
    <w:autoRedefine/>
    <w:qFormat/>
    <w:uiPriority w:val="0"/>
    <w:rPr>
      <w:sz w:val="24"/>
      <w:szCs w:val="20"/>
    </w:rPr>
  </w:style>
  <w:style w:type="paragraph" w:customStyle="1" w:styleId="1426">
    <w:name w:val="列出段落5"/>
    <w:basedOn w:val="1"/>
    <w:autoRedefine/>
    <w:qFormat/>
    <w:uiPriority w:val="39"/>
    <w:pPr>
      <w:ind w:firstLine="420" w:firstLineChars="200"/>
    </w:pPr>
    <w:rPr>
      <w:szCs w:val="22"/>
    </w:rPr>
  </w:style>
  <w:style w:type="paragraph" w:customStyle="1" w:styleId="1427">
    <w:name w:val="五级无标题条"/>
    <w:basedOn w:val="1"/>
    <w:autoRedefine/>
    <w:qFormat/>
    <w:uiPriority w:val="99"/>
    <w:rPr>
      <w:szCs w:val="20"/>
    </w:rPr>
  </w:style>
  <w:style w:type="paragraph" w:customStyle="1" w:styleId="1428">
    <w:name w:val="表格内字体63"/>
    <w:basedOn w:val="418"/>
    <w:next w:val="418"/>
    <w:autoRedefine/>
    <w:qFormat/>
    <w:uiPriority w:val="0"/>
    <w:pPr>
      <w:spacing w:line="240" w:lineRule="auto"/>
      <w:ind w:firstLine="0"/>
      <w:jc w:val="center"/>
    </w:pPr>
    <w:rPr>
      <w:rFonts w:ascii="宋体" w:hAnsi="宋体"/>
      <w:b w:val="0"/>
      <w:spacing w:val="0"/>
      <w:szCs w:val="24"/>
    </w:rPr>
  </w:style>
  <w:style w:type="paragraph" w:customStyle="1" w:styleId="1429">
    <w:name w:val="2.2.1.1"/>
    <w:basedOn w:val="1"/>
    <w:autoRedefine/>
    <w:qFormat/>
    <w:uiPriority w:val="99"/>
    <w:pPr>
      <w:tabs>
        <w:tab w:val="left" w:pos="0"/>
      </w:tabs>
      <w:spacing w:line="360" w:lineRule="auto"/>
      <w:ind w:left="644" w:firstLine="200" w:firstLineChars="200"/>
    </w:pPr>
    <w:rPr>
      <w:rFonts w:ascii="宋体" w:hAnsi="宋体"/>
      <w:color w:val="000000"/>
      <w:sz w:val="24"/>
      <w:szCs w:val="21"/>
    </w:rPr>
  </w:style>
  <w:style w:type="paragraph" w:customStyle="1" w:styleId="1430">
    <w:name w:val="xl194"/>
    <w:basedOn w:val="1"/>
    <w:autoRedefine/>
    <w:qFormat/>
    <w:uiPriority w:val="99"/>
    <w:pPr>
      <w:widowControl/>
      <w:spacing w:before="100" w:beforeAutospacing="1" w:after="100" w:afterAutospacing="1"/>
      <w:jc w:val="center"/>
    </w:pPr>
    <w:rPr>
      <w:kern w:val="0"/>
      <w:sz w:val="16"/>
      <w:szCs w:val="16"/>
    </w:rPr>
  </w:style>
  <w:style w:type="paragraph" w:customStyle="1" w:styleId="1431">
    <w:name w:val="Char Char2 Char Char Char Char5"/>
    <w:basedOn w:val="1"/>
    <w:autoRedefine/>
    <w:qFormat/>
    <w:uiPriority w:val="0"/>
  </w:style>
  <w:style w:type="paragraph" w:customStyle="1" w:styleId="1432">
    <w:name w:val="样式 样式2.4.4 + 段前: 0.5 行"/>
    <w:basedOn w:val="1433"/>
    <w:autoRedefine/>
    <w:qFormat/>
    <w:uiPriority w:val="99"/>
    <w:pPr>
      <w:tabs>
        <w:tab w:val="left" w:pos="0"/>
        <w:tab w:val="left" w:pos="360"/>
      </w:tabs>
      <w:spacing w:beforeLines="0"/>
      <w:ind w:left="360" w:hanging="360"/>
    </w:pPr>
    <w:rPr>
      <w:rFonts w:cs="宋体"/>
      <w:b/>
      <w:szCs w:val="20"/>
    </w:rPr>
  </w:style>
  <w:style w:type="paragraph" w:customStyle="1" w:styleId="1433">
    <w:name w:val="样式2.5.3"/>
    <w:basedOn w:val="1"/>
    <w:autoRedefine/>
    <w:qFormat/>
    <w:uiPriority w:val="99"/>
    <w:pPr>
      <w:spacing w:beforeLines="50" w:line="360" w:lineRule="auto"/>
      <w:outlineLvl w:val="3"/>
    </w:pPr>
    <w:rPr>
      <w:color w:val="000000"/>
      <w:sz w:val="24"/>
    </w:rPr>
  </w:style>
  <w:style w:type="paragraph" w:customStyle="1" w:styleId="1434">
    <w:name w:val="Char Char Char Char Char2"/>
    <w:basedOn w:val="1"/>
    <w:autoRedefine/>
    <w:qFormat/>
    <w:uiPriority w:val="99"/>
    <w:rPr>
      <w:sz w:val="24"/>
    </w:rPr>
  </w:style>
  <w:style w:type="paragraph" w:customStyle="1" w:styleId="1435">
    <w:name w:val="正文格式＝23"/>
    <w:basedOn w:val="418"/>
    <w:next w:val="418"/>
    <w:autoRedefine/>
    <w:qFormat/>
    <w:uiPriority w:val="0"/>
    <w:rPr>
      <w:rFonts w:ascii="宋体" w:hAnsi="宋体"/>
      <w:b w:val="0"/>
      <w:spacing w:val="0"/>
      <w:sz w:val="24"/>
      <w:szCs w:val="24"/>
    </w:rPr>
  </w:style>
  <w:style w:type="paragraph" w:customStyle="1" w:styleId="1436">
    <w:name w:val="正文格式16"/>
    <w:basedOn w:val="1"/>
    <w:autoRedefine/>
    <w:qFormat/>
    <w:uiPriority w:val="0"/>
    <w:pPr>
      <w:spacing w:line="360" w:lineRule="auto"/>
      <w:ind w:firstLine="482"/>
    </w:pPr>
    <w:rPr>
      <w:rFonts w:ascii="宋体" w:hAnsi="宋体"/>
      <w:sz w:val="24"/>
    </w:rPr>
  </w:style>
  <w:style w:type="paragraph" w:customStyle="1" w:styleId="1437">
    <w:name w:val="正文格式＝412"/>
    <w:basedOn w:val="418"/>
    <w:next w:val="418"/>
    <w:autoRedefine/>
    <w:qFormat/>
    <w:uiPriority w:val="0"/>
    <w:rPr>
      <w:rFonts w:ascii="宋体" w:hAnsi="宋体"/>
      <w:b w:val="0"/>
      <w:spacing w:val="0"/>
      <w:sz w:val="24"/>
      <w:szCs w:val="24"/>
    </w:rPr>
  </w:style>
  <w:style w:type="paragraph" w:customStyle="1" w:styleId="1438">
    <w:name w:val="默认段落字体 Para Char Char Char1 Char Char Char"/>
    <w:basedOn w:val="1"/>
    <w:autoRedefine/>
    <w:qFormat/>
    <w:uiPriority w:val="99"/>
    <w:rPr>
      <w:sz w:val="24"/>
      <w:szCs w:val="20"/>
    </w:rPr>
  </w:style>
  <w:style w:type="paragraph" w:customStyle="1" w:styleId="1439">
    <w:name w:val="图题1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440">
    <w:name w:val="正文缩进31"/>
    <w:basedOn w:val="1"/>
    <w:autoRedefine/>
    <w:qFormat/>
    <w:uiPriority w:val="39"/>
    <w:pPr>
      <w:adjustRightInd w:val="0"/>
      <w:ind w:firstLine="420" w:firstLineChars="200"/>
      <w:textAlignment w:val="baseline"/>
    </w:pPr>
    <w:rPr>
      <w:rFonts w:hint="eastAsia" w:hAnsi="宋体"/>
      <w:sz w:val="24"/>
      <w:szCs w:val="20"/>
    </w:rPr>
  </w:style>
  <w:style w:type="paragraph" w:customStyle="1" w:styleId="1441">
    <w:name w:val="xl53"/>
    <w:basedOn w:val="1"/>
    <w:autoRedefine/>
    <w:qFormat/>
    <w:uiPriority w:val="0"/>
    <w:pPr>
      <w:widowControl/>
      <w:pBdr>
        <w:top w:val="single" w:color="auto" w:sz="12" w:space="0"/>
        <w:bottom w:val="single" w:color="auto" w:sz="12"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442">
    <w:name w:val="图表名称4"/>
    <w:basedOn w:val="86"/>
    <w:autoRedefine/>
    <w:qFormat/>
    <w:uiPriority w:val="0"/>
    <w:pPr>
      <w:widowControl/>
      <w:adjustRightInd w:val="0"/>
      <w:snapToGrid w:val="0"/>
      <w:spacing w:after="0" w:line="480" w:lineRule="exact"/>
      <w:ind w:firstLine="0" w:firstLineChars="0"/>
      <w:jc w:val="center"/>
    </w:pPr>
    <w:rPr>
      <w:rFonts w:ascii="宋体" w:hAnsi="宋体"/>
      <w:bCs/>
      <w:sz w:val="24"/>
      <w:szCs w:val="24"/>
    </w:rPr>
  </w:style>
  <w:style w:type="paragraph" w:customStyle="1" w:styleId="1443">
    <w:name w:val="xl141"/>
    <w:basedOn w:val="1"/>
    <w:autoRedefine/>
    <w:qFormat/>
    <w:uiPriority w:val="99"/>
    <w:pPr>
      <w:widowControl/>
      <w:spacing w:before="100" w:beforeAutospacing="1" w:after="100" w:afterAutospacing="1"/>
      <w:jc w:val="left"/>
    </w:pPr>
    <w:rPr>
      <w:rFonts w:ascii="Arial Unicode MS" w:hAnsi="Arial Unicode MS"/>
      <w:kern w:val="0"/>
      <w:sz w:val="16"/>
      <w:szCs w:val="16"/>
    </w:rPr>
  </w:style>
  <w:style w:type="paragraph" w:customStyle="1" w:styleId="1444">
    <w:name w:val="题1"/>
    <w:basedOn w:val="1"/>
    <w:autoRedefine/>
    <w:qFormat/>
    <w:uiPriority w:val="99"/>
    <w:pPr>
      <w:jc w:val="center"/>
    </w:pPr>
    <w:rPr>
      <w:rFonts w:eastAsia="黑体"/>
      <w:b/>
      <w:bCs/>
      <w:sz w:val="30"/>
    </w:rPr>
  </w:style>
  <w:style w:type="paragraph" w:customStyle="1" w:styleId="1445">
    <w:name w:val="表格内字体11"/>
    <w:basedOn w:val="418"/>
    <w:autoRedefine/>
    <w:qFormat/>
    <w:uiPriority w:val="0"/>
    <w:pPr>
      <w:spacing w:line="240" w:lineRule="auto"/>
      <w:ind w:firstLine="0"/>
      <w:jc w:val="center"/>
    </w:pPr>
    <w:rPr>
      <w:rFonts w:ascii="宋体" w:hAnsi="Times New Roman" w:cs="宋体"/>
      <w:b w:val="0"/>
      <w:spacing w:val="0"/>
    </w:rPr>
  </w:style>
  <w:style w:type="paragraph" w:customStyle="1" w:styleId="1446">
    <w:name w:val="正文格式＝24"/>
    <w:basedOn w:val="418"/>
    <w:next w:val="418"/>
    <w:autoRedefine/>
    <w:qFormat/>
    <w:uiPriority w:val="0"/>
    <w:rPr>
      <w:rFonts w:ascii="宋体" w:hAnsi="宋体"/>
      <w:b w:val="0"/>
      <w:spacing w:val="0"/>
      <w:sz w:val="24"/>
      <w:szCs w:val="24"/>
    </w:rPr>
  </w:style>
  <w:style w:type="paragraph" w:customStyle="1" w:styleId="1447">
    <w:name w:val="Char Char Char Char Char Char Char Char Char1 Char Char Char Char Char Char Char Char1 Char Char Char"/>
    <w:basedOn w:val="1"/>
    <w:autoRedefine/>
    <w:qFormat/>
    <w:uiPriority w:val="99"/>
    <w:pPr>
      <w:snapToGrid w:val="0"/>
      <w:spacing w:line="360" w:lineRule="auto"/>
      <w:ind w:firstLine="200" w:firstLineChars="200"/>
    </w:pPr>
    <w:rPr>
      <w:rFonts w:eastAsia="仿宋_GB2312"/>
      <w:sz w:val="24"/>
    </w:rPr>
  </w:style>
  <w:style w:type="paragraph" w:customStyle="1" w:styleId="1448">
    <w:name w:val="表格内字体54"/>
    <w:basedOn w:val="418"/>
    <w:next w:val="418"/>
    <w:autoRedefine/>
    <w:qFormat/>
    <w:uiPriority w:val="0"/>
    <w:pPr>
      <w:adjustRightInd w:val="0"/>
      <w:snapToGrid w:val="0"/>
      <w:spacing w:line="240" w:lineRule="auto"/>
      <w:ind w:firstLine="0"/>
    </w:pPr>
    <w:rPr>
      <w:rFonts w:ascii="宋体" w:hAnsi="宋体"/>
      <w:b w:val="0"/>
      <w:spacing w:val="0"/>
      <w:szCs w:val="24"/>
    </w:rPr>
  </w:style>
  <w:style w:type="paragraph" w:customStyle="1" w:styleId="1449">
    <w:name w:val="正文修改52"/>
    <w:basedOn w:val="193"/>
    <w:autoRedefine/>
    <w:qFormat/>
    <w:uiPriority w:val="0"/>
    <w:rPr>
      <w:rFonts w:hAnsi="宋体"/>
      <w:color w:val="000000"/>
    </w:rPr>
  </w:style>
  <w:style w:type="paragraph" w:customStyle="1" w:styleId="1450">
    <w:name w:val="Char3 Char Char Char"/>
    <w:basedOn w:val="1"/>
    <w:autoRedefine/>
    <w:qFormat/>
    <w:uiPriority w:val="99"/>
    <w:rPr>
      <w:sz w:val="28"/>
    </w:rPr>
  </w:style>
  <w:style w:type="paragraph" w:customStyle="1" w:styleId="1451">
    <w:name w:val="标题413"/>
    <w:basedOn w:val="6"/>
    <w:next w:val="1"/>
    <w:autoRedefine/>
    <w:qFormat/>
    <w:uiPriority w:val="0"/>
    <w:pPr>
      <w:spacing w:before="160" w:after="170" w:line="360" w:lineRule="auto"/>
      <w:ind w:left="0" w:firstLine="0"/>
    </w:pPr>
    <w:rPr>
      <w:rFonts w:ascii="黑体"/>
      <w:sz w:val="24"/>
    </w:rPr>
  </w:style>
  <w:style w:type="paragraph" w:customStyle="1" w:styleId="1452">
    <w:name w:val="CM15"/>
    <w:basedOn w:val="107"/>
    <w:next w:val="107"/>
    <w:autoRedefine/>
    <w:qFormat/>
    <w:uiPriority w:val="39"/>
    <w:pPr>
      <w:spacing w:line="440" w:lineRule="atLeast"/>
    </w:pPr>
    <w:rPr>
      <w:rFonts w:ascii="楷体_GB2312" w:hAnsi="Times New Roman" w:eastAsia="楷体_GB2312" w:cs="Times New Roman"/>
      <w:color w:val="auto"/>
    </w:rPr>
  </w:style>
  <w:style w:type="paragraph" w:customStyle="1" w:styleId="1453">
    <w:name w:val="正文格式214"/>
    <w:basedOn w:val="1"/>
    <w:autoRedefine/>
    <w:qFormat/>
    <w:uiPriority w:val="0"/>
    <w:pPr>
      <w:spacing w:line="360" w:lineRule="auto"/>
      <w:ind w:firstLine="482"/>
    </w:pPr>
    <w:rPr>
      <w:rFonts w:ascii="宋体" w:hAnsi="宋体"/>
      <w:sz w:val="24"/>
    </w:rPr>
  </w:style>
  <w:style w:type="paragraph" w:customStyle="1" w:styleId="1454">
    <w:name w:val="表内文字小81"/>
    <w:basedOn w:val="1"/>
    <w:autoRedefine/>
    <w:qFormat/>
    <w:uiPriority w:val="0"/>
    <w:pPr>
      <w:adjustRightInd w:val="0"/>
      <w:snapToGrid w:val="0"/>
      <w:jc w:val="center"/>
    </w:pPr>
    <w:rPr>
      <w:rFonts w:ascii="宋体" w:hAnsi="Times" w:cs="宋体"/>
      <w:szCs w:val="20"/>
    </w:rPr>
  </w:style>
  <w:style w:type="paragraph" w:customStyle="1" w:styleId="1455">
    <w:name w:val="xl176"/>
    <w:basedOn w:val="1"/>
    <w:autoRedefine/>
    <w:qFormat/>
    <w:uiPriority w:val="99"/>
    <w:pPr>
      <w:widowControl/>
      <w:pBdr>
        <w:top w:val="single" w:color="auto" w:sz="12" w:space="0"/>
        <w:left w:val="single" w:color="auto" w:sz="12" w:space="0"/>
      </w:pBdr>
      <w:spacing w:before="100" w:beforeAutospacing="1" w:after="100" w:afterAutospacing="1"/>
      <w:jc w:val="left"/>
    </w:pPr>
    <w:rPr>
      <w:rFonts w:ascii="Arial Unicode MS" w:hAnsi="Arial Unicode MS"/>
      <w:kern w:val="0"/>
    </w:rPr>
  </w:style>
  <w:style w:type="paragraph" w:customStyle="1" w:styleId="1456">
    <w:name w:val="表内513"/>
    <w:basedOn w:val="1"/>
    <w:autoRedefine/>
    <w:qFormat/>
    <w:uiPriority w:val="0"/>
    <w:pPr>
      <w:adjustRightInd w:val="0"/>
      <w:snapToGrid w:val="0"/>
      <w:jc w:val="center"/>
    </w:pPr>
    <w:rPr>
      <w:rFonts w:ascii="宋体" w:hAnsi="宋体"/>
      <w:szCs w:val="21"/>
    </w:rPr>
  </w:style>
  <w:style w:type="paragraph" w:customStyle="1" w:styleId="1457">
    <w:name w:val="正文格式＝53"/>
    <w:basedOn w:val="418"/>
    <w:next w:val="418"/>
    <w:autoRedefine/>
    <w:qFormat/>
    <w:uiPriority w:val="0"/>
    <w:rPr>
      <w:rFonts w:ascii="宋体" w:hAnsi="宋体"/>
      <w:b w:val="0"/>
      <w:spacing w:val="0"/>
      <w:sz w:val="24"/>
      <w:szCs w:val="24"/>
    </w:rPr>
  </w:style>
  <w:style w:type="paragraph" w:customStyle="1" w:styleId="1458">
    <w:name w:val="样式 标题 3 + 段前: 12 磅3"/>
    <w:basedOn w:val="5"/>
    <w:autoRedefine/>
    <w:qFormat/>
    <w:uiPriority w:val="0"/>
    <w:pPr>
      <w:keepNext w:val="0"/>
      <w:keepLines w:val="0"/>
      <w:widowControl/>
      <w:autoSpaceDE w:val="0"/>
      <w:autoSpaceDN w:val="0"/>
      <w:adjustRightInd w:val="0"/>
      <w:snapToGrid w:val="0"/>
      <w:spacing w:before="0" w:after="0" w:line="360" w:lineRule="auto"/>
    </w:pPr>
    <w:rPr>
      <w:rFonts w:ascii="黑体" w:hAnsi="宋体" w:eastAsia="黑体" w:cs="宋体"/>
      <w:b w:val="0"/>
      <w:bCs w:val="0"/>
      <w:color w:val="000000"/>
      <w:kern w:val="21"/>
      <w:sz w:val="24"/>
      <w:szCs w:val="20"/>
      <w:lang w:val="en-US"/>
    </w:rPr>
  </w:style>
  <w:style w:type="paragraph" w:customStyle="1" w:styleId="1459">
    <w:name w:val="Char1 Char Char Char Char Char Char Char Char Char Char Char Char"/>
    <w:basedOn w:val="1"/>
    <w:next w:val="1"/>
    <w:autoRedefine/>
    <w:qFormat/>
    <w:uiPriority w:val="99"/>
    <w:pPr>
      <w:keepNext/>
      <w:keepLines/>
      <w:widowControl/>
      <w:adjustRightInd w:val="0"/>
      <w:spacing w:before="40" w:after="40" w:line="360" w:lineRule="auto"/>
      <w:ind w:firstLine="200" w:firstLineChars="200"/>
      <w:textAlignment w:val="baseline"/>
    </w:pPr>
    <w:rPr>
      <w:rFonts w:cs="宋体"/>
      <w:kern w:val="0"/>
      <w:sz w:val="24"/>
      <w:szCs w:val="28"/>
    </w:rPr>
  </w:style>
  <w:style w:type="paragraph" w:customStyle="1" w:styleId="1460">
    <w:name w:val="正文样式"/>
    <w:basedOn w:val="1"/>
    <w:autoRedefine/>
    <w:qFormat/>
    <w:uiPriority w:val="39"/>
    <w:pPr>
      <w:adjustRightInd w:val="0"/>
      <w:snapToGrid w:val="0"/>
      <w:spacing w:beforeLines="50" w:afterLines="50" w:line="312" w:lineRule="auto"/>
      <w:ind w:firstLine="480" w:firstLineChars="200"/>
    </w:pPr>
    <w:rPr>
      <w:rFonts w:cs="宋体"/>
      <w:sz w:val="24"/>
    </w:rPr>
  </w:style>
  <w:style w:type="paragraph" w:customStyle="1" w:styleId="1461">
    <w:name w:val="样式 正文缩进 + 宋体 黑色4"/>
    <w:basedOn w:val="9"/>
    <w:autoRedefine/>
    <w:qFormat/>
    <w:uiPriority w:val="0"/>
    <w:pPr>
      <w:spacing w:line="360" w:lineRule="auto"/>
      <w:ind w:firstLine="200"/>
      <w:jc w:val="left"/>
    </w:pPr>
    <w:rPr>
      <w:rFonts w:ascii="宋体" w:hAnsi="宋体"/>
      <w:color w:val="000000"/>
      <w:kern w:val="0"/>
      <w:sz w:val="24"/>
      <w:lang w:val="en-US"/>
    </w:rPr>
  </w:style>
  <w:style w:type="paragraph" w:customStyle="1" w:styleId="1462">
    <w:name w:val="表内5中1"/>
    <w:basedOn w:val="1"/>
    <w:autoRedefine/>
    <w:qFormat/>
    <w:uiPriority w:val="0"/>
    <w:pPr>
      <w:adjustRightInd w:val="0"/>
      <w:snapToGrid w:val="0"/>
      <w:jc w:val="center"/>
    </w:pPr>
    <w:rPr>
      <w:rFonts w:ascii="宋体" w:hAnsi="宋体" w:cs="Arial"/>
      <w:snapToGrid w:val="0"/>
      <w:color w:val="000000"/>
      <w:szCs w:val="21"/>
    </w:rPr>
  </w:style>
  <w:style w:type="paragraph" w:customStyle="1" w:styleId="1463">
    <w:name w:val="表题1511"/>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1464">
    <w:name w:val="gb1"/>
    <w:basedOn w:val="1"/>
    <w:autoRedefine/>
    <w:qFormat/>
    <w:uiPriority w:val="0"/>
    <w:pPr>
      <w:widowControl/>
      <w:tabs>
        <w:tab w:val="left" w:pos="227"/>
      </w:tabs>
      <w:overflowPunct w:val="0"/>
      <w:autoSpaceDE w:val="0"/>
      <w:autoSpaceDN w:val="0"/>
      <w:adjustRightInd w:val="0"/>
      <w:spacing w:before="120" w:after="120"/>
      <w:jc w:val="left"/>
      <w:textAlignment w:val="baseline"/>
    </w:pPr>
    <w:rPr>
      <w:rFonts w:ascii="Arial" w:hAnsi="Arial" w:eastAsia="仿宋体" w:cs="Arial"/>
      <w:kern w:val="0"/>
      <w:sz w:val="20"/>
    </w:rPr>
  </w:style>
  <w:style w:type="paragraph" w:customStyle="1" w:styleId="1465">
    <w:name w:val="xl243"/>
    <w:basedOn w:val="1"/>
    <w:autoRedefine/>
    <w:qFormat/>
    <w:uiPriority w:val="0"/>
    <w:pPr>
      <w:widowControl/>
      <w:pBdr>
        <w:bottom w:val="single" w:color="auto" w:sz="4" w:space="0"/>
        <w:right w:val="single" w:color="auto" w:sz="4" w:space="0"/>
      </w:pBdr>
      <w:spacing w:before="100" w:beforeAutospacing="1" w:after="100" w:afterAutospacing="1"/>
      <w:jc w:val="center"/>
    </w:pPr>
    <w:rPr>
      <w:kern w:val="0"/>
      <w:szCs w:val="21"/>
    </w:rPr>
  </w:style>
  <w:style w:type="paragraph" w:customStyle="1" w:styleId="1466">
    <w:name w:val="表格内字体12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1467">
    <w:name w:val="xl142"/>
    <w:basedOn w:val="1"/>
    <w:autoRedefine/>
    <w:qFormat/>
    <w:uiPriority w:val="99"/>
    <w:pPr>
      <w:widowControl/>
      <w:pBdr>
        <w:left w:val="single" w:color="auto" w:sz="4" w:space="0"/>
        <w:bottom w:val="single" w:color="auto" w:sz="8"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468">
    <w:name w:val="燕山正文1"/>
    <w:basedOn w:val="1"/>
    <w:autoRedefine/>
    <w:qFormat/>
    <w:uiPriority w:val="0"/>
    <w:pPr>
      <w:tabs>
        <w:tab w:val="left" w:pos="4680"/>
      </w:tabs>
      <w:adjustRightInd w:val="0"/>
      <w:snapToGrid w:val="0"/>
      <w:spacing w:line="480" w:lineRule="exact"/>
    </w:pPr>
    <w:rPr>
      <w:rFonts w:ascii="宋体" w:cs="宋体"/>
      <w:sz w:val="24"/>
    </w:rPr>
  </w:style>
  <w:style w:type="paragraph" w:customStyle="1" w:styleId="1469">
    <w:name w:val="Char Char Char1"/>
    <w:basedOn w:val="1"/>
    <w:autoRedefine/>
    <w:qFormat/>
    <w:uiPriority w:val="0"/>
    <w:rPr>
      <w:sz w:val="24"/>
    </w:rPr>
  </w:style>
  <w:style w:type="paragraph" w:customStyle="1" w:styleId="1470">
    <w:name w:val="样式 正文缩进 + 宋体 黑色3"/>
    <w:basedOn w:val="9"/>
    <w:autoRedefine/>
    <w:qFormat/>
    <w:uiPriority w:val="0"/>
    <w:pPr>
      <w:spacing w:line="360" w:lineRule="auto"/>
      <w:ind w:firstLine="200"/>
      <w:jc w:val="left"/>
    </w:pPr>
    <w:rPr>
      <w:rFonts w:ascii="宋体" w:hAnsi="宋体"/>
      <w:color w:val="000000"/>
      <w:kern w:val="0"/>
      <w:sz w:val="24"/>
      <w:lang w:val="en-US"/>
    </w:rPr>
  </w:style>
  <w:style w:type="paragraph" w:customStyle="1" w:styleId="1471">
    <w:name w:val="表内541212"/>
    <w:basedOn w:val="1"/>
    <w:autoRedefine/>
    <w:qFormat/>
    <w:uiPriority w:val="0"/>
    <w:pPr>
      <w:adjustRightInd w:val="0"/>
      <w:snapToGrid w:val="0"/>
      <w:spacing w:line="300" w:lineRule="auto"/>
      <w:jc w:val="center"/>
    </w:pPr>
    <w:rPr>
      <w:rFonts w:ascii="宋体" w:hAnsi="宋体" w:cs="宋体"/>
      <w:szCs w:val="20"/>
    </w:rPr>
  </w:style>
  <w:style w:type="paragraph" w:customStyle="1" w:styleId="1472">
    <w:name w:val="报告名"/>
    <w:basedOn w:val="1"/>
    <w:autoRedefine/>
    <w:qFormat/>
    <w:uiPriority w:val="39"/>
    <w:pPr>
      <w:tabs>
        <w:tab w:val="left" w:pos="1727"/>
        <w:tab w:val="left" w:pos="1884"/>
      </w:tabs>
      <w:adjustRightInd w:val="0"/>
      <w:snapToGrid w:val="0"/>
      <w:spacing w:line="360" w:lineRule="auto"/>
      <w:ind w:left="26"/>
      <w:jc w:val="center"/>
      <w:outlineLvl w:val="0"/>
    </w:pPr>
    <w:rPr>
      <w:rFonts w:ascii="文鼎大标宋简" w:hAnsi="宋体" w:eastAsia="文鼎大标宋简"/>
      <w:sz w:val="56"/>
      <w:szCs w:val="20"/>
    </w:rPr>
  </w:style>
  <w:style w:type="paragraph" w:customStyle="1" w:styleId="1473">
    <w:name w:val="副题"/>
    <w:basedOn w:val="1"/>
    <w:autoRedefine/>
    <w:qFormat/>
    <w:uiPriority w:val="99"/>
    <w:pPr>
      <w:jc w:val="center"/>
    </w:pPr>
    <w:rPr>
      <w:sz w:val="24"/>
    </w:rPr>
  </w:style>
  <w:style w:type="paragraph" w:customStyle="1" w:styleId="1474">
    <w:name w:val="xl100"/>
    <w:basedOn w:val="1"/>
    <w:autoRedefine/>
    <w:qFormat/>
    <w:uiPriority w:val="0"/>
    <w:pPr>
      <w:widowControl/>
      <w:spacing w:before="100" w:beforeAutospacing="1" w:after="100" w:afterAutospacing="1"/>
      <w:jc w:val="left"/>
    </w:pPr>
    <w:rPr>
      <w:rFonts w:ascii="Arial Unicode MS" w:hAnsi="Arial Unicode MS"/>
      <w:kern w:val="0"/>
      <w:sz w:val="12"/>
      <w:szCs w:val="12"/>
    </w:rPr>
  </w:style>
  <w:style w:type="paragraph" w:customStyle="1" w:styleId="1475">
    <w:name w:val="正文.21"/>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1476">
    <w:name w:val="Char Char Char Char Char Char Char8"/>
    <w:basedOn w:val="1"/>
    <w:autoRedefine/>
    <w:qFormat/>
    <w:uiPriority w:val="0"/>
  </w:style>
  <w:style w:type="paragraph" w:customStyle="1" w:styleId="1477">
    <w:name w:val="表内文字小317"/>
    <w:basedOn w:val="1"/>
    <w:autoRedefine/>
    <w:qFormat/>
    <w:uiPriority w:val="0"/>
    <w:pPr>
      <w:adjustRightInd w:val="0"/>
      <w:snapToGrid w:val="0"/>
      <w:jc w:val="center"/>
    </w:pPr>
    <w:rPr>
      <w:rFonts w:ascii="宋体" w:hAnsi="Times" w:cs="宋体"/>
      <w:bCs/>
      <w:color w:val="003366"/>
      <w:szCs w:val="20"/>
    </w:rPr>
  </w:style>
  <w:style w:type="paragraph" w:customStyle="1" w:styleId="1478">
    <w:name w:val="表文字515"/>
    <w:basedOn w:val="1"/>
    <w:autoRedefine/>
    <w:qFormat/>
    <w:uiPriority w:val="0"/>
    <w:pPr>
      <w:adjustRightInd w:val="0"/>
      <w:jc w:val="left"/>
      <w:textAlignment w:val="baseline"/>
    </w:pPr>
    <w:rPr>
      <w:rFonts w:ascii="宋体"/>
      <w:kern w:val="0"/>
      <w:szCs w:val="20"/>
    </w:rPr>
  </w:style>
  <w:style w:type="paragraph" w:customStyle="1" w:styleId="1479">
    <w:name w:val="正文格式71"/>
    <w:basedOn w:val="1"/>
    <w:autoRedefine/>
    <w:qFormat/>
    <w:uiPriority w:val="0"/>
    <w:pPr>
      <w:spacing w:line="360" w:lineRule="auto"/>
      <w:ind w:firstLine="482"/>
    </w:pPr>
    <w:rPr>
      <w:rFonts w:ascii="宋体" w:hAnsi="宋体"/>
      <w:sz w:val="24"/>
    </w:rPr>
  </w:style>
  <w:style w:type="paragraph" w:customStyle="1" w:styleId="1480">
    <w:name w:val="xl22"/>
    <w:basedOn w:val="1"/>
    <w:autoRedefine/>
    <w:qFormat/>
    <w:uiPriority w:val="0"/>
    <w:pPr>
      <w:widowControl/>
      <w:spacing w:before="100" w:after="100"/>
      <w:jc w:val="center"/>
    </w:pPr>
    <w:rPr>
      <w:kern w:val="0"/>
      <w:sz w:val="24"/>
      <w:szCs w:val="20"/>
    </w:rPr>
  </w:style>
  <w:style w:type="paragraph" w:customStyle="1" w:styleId="1481">
    <w:name w:val="表内文字小1111"/>
    <w:basedOn w:val="1"/>
    <w:autoRedefine/>
    <w:qFormat/>
    <w:uiPriority w:val="0"/>
    <w:pPr>
      <w:adjustRightInd w:val="0"/>
      <w:snapToGrid w:val="0"/>
    </w:pPr>
    <w:rPr>
      <w:rFonts w:ascii="宋体" w:hAnsi="Times" w:cs="宋体"/>
      <w:szCs w:val="20"/>
    </w:rPr>
  </w:style>
  <w:style w:type="paragraph" w:customStyle="1" w:styleId="1482">
    <w:name w:val="ST20_1"/>
    <w:basedOn w:val="1"/>
    <w:autoRedefine/>
    <w:qFormat/>
    <w:uiPriority w:val="0"/>
    <w:pPr>
      <w:autoSpaceDE w:val="0"/>
      <w:autoSpaceDN w:val="0"/>
      <w:adjustRightInd w:val="0"/>
      <w:spacing w:line="312" w:lineRule="atLeast"/>
      <w:jc w:val="center"/>
      <w:textAlignment w:val="baseline"/>
    </w:pPr>
    <w:rPr>
      <w:rFonts w:ascii="宋体" w:hAnsi="Tms Rmn"/>
      <w:kern w:val="0"/>
      <w:sz w:val="24"/>
      <w:szCs w:val="20"/>
    </w:rPr>
  </w:style>
  <w:style w:type="paragraph" w:customStyle="1" w:styleId="1483">
    <w:name w:val="表内文字小3142"/>
    <w:basedOn w:val="1"/>
    <w:autoRedefine/>
    <w:qFormat/>
    <w:uiPriority w:val="0"/>
    <w:pPr>
      <w:adjustRightInd w:val="0"/>
      <w:snapToGrid w:val="0"/>
      <w:jc w:val="center"/>
    </w:pPr>
    <w:rPr>
      <w:rFonts w:ascii="宋体" w:hAnsi="Times" w:cs="宋体"/>
      <w:bCs/>
      <w:color w:val="003366"/>
      <w:szCs w:val="20"/>
    </w:rPr>
  </w:style>
  <w:style w:type="paragraph" w:customStyle="1" w:styleId="1484">
    <w:name w:val="xl65"/>
    <w:basedOn w:val="1"/>
    <w:autoRedefine/>
    <w:qFormat/>
    <w:uiPriority w:val="0"/>
    <w:pPr>
      <w:widowControl/>
      <w:pBdr>
        <w:top w:val="single" w:color="auto" w:sz="8" w:space="0"/>
        <w:right w:val="single" w:color="auto" w:sz="8" w:space="0"/>
      </w:pBdr>
      <w:spacing w:before="100" w:beforeAutospacing="1" w:after="100" w:afterAutospacing="1"/>
      <w:jc w:val="center"/>
    </w:pPr>
    <w:rPr>
      <w:rFonts w:ascii="宋体" w:hAnsi="宋体" w:cs="宋体"/>
      <w:kern w:val="0"/>
      <w:szCs w:val="21"/>
    </w:rPr>
  </w:style>
  <w:style w:type="paragraph" w:customStyle="1" w:styleId="1485">
    <w:name w:val="注释4"/>
    <w:basedOn w:val="418"/>
    <w:next w:val="34"/>
    <w:autoRedefine/>
    <w:qFormat/>
    <w:uiPriority w:val="0"/>
    <w:pPr>
      <w:spacing w:before="120" w:after="120" w:line="240" w:lineRule="auto"/>
      <w:ind w:firstLine="200" w:firstLineChars="200"/>
    </w:pPr>
    <w:rPr>
      <w:rFonts w:ascii="宋体" w:hAnsi="Times New Roman" w:cs="宋体"/>
      <w:b w:val="0"/>
      <w:spacing w:val="0"/>
    </w:rPr>
  </w:style>
  <w:style w:type="paragraph" w:customStyle="1" w:styleId="1486">
    <w:name w:val="xl32"/>
    <w:basedOn w:val="1"/>
    <w:autoRedefine/>
    <w:qFormat/>
    <w:uiPriority w:val="0"/>
    <w:pPr>
      <w:widowControl/>
      <w:pBdr>
        <w:top w:val="single" w:color="auto" w:sz="12" w:space="0"/>
        <w:left w:val="single" w:color="auto" w:sz="12" w:space="0"/>
      </w:pBdr>
      <w:spacing w:before="100" w:beforeAutospacing="1" w:after="100" w:afterAutospacing="1"/>
      <w:jc w:val="left"/>
    </w:pPr>
    <w:rPr>
      <w:rFonts w:ascii="Arial Unicode MS" w:hAnsi="Arial Unicode MS"/>
      <w:kern w:val="0"/>
      <w:sz w:val="16"/>
      <w:szCs w:val="16"/>
    </w:rPr>
  </w:style>
  <w:style w:type="paragraph" w:customStyle="1" w:styleId="1487">
    <w:name w:val="xl86"/>
    <w:basedOn w:val="1"/>
    <w:autoRedefine/>
    <w:qFormat/>
    <w:uiPriority w:val="0"/>
    <w:pPr>
      <w:widowControl/>
      <w:spacing w:before="100" w:beforeAutospacing="1" w:after="100" w:afterAutospacing="1"/>
      <w:jc w:val="center"/>
      <w:textAlignment w:val="center"/>
    </w:pPr>
    <w:rPr>
      <w:rFonts w:ascii="Arial Unicode MS" w:hAnsi="Arial Unicode MS"/>
      <w:kern w:val="0"/>
      <w:sz w:val="12"/>
      <w:szCs w:val="12"/>
    </w:rPr>
  </w:style>
  <w:style w:type="paragraph" w:customStyle="1" w:styleId="1488">
    <w:name w:val="Char118"/>
    <w:basedOn w:val="1"/>
    <w:autoRedefine/>
    <w:qFormat/>
    <w:uiPriority w:val="0"/>
    <w:pPr>
      <w:adjustRightInd w:val="0"/>
      <w:snapToGrid w:val="0"/>
      <w:spacing w:beforeLines="50" w:line="360" w:lineRule="auto"/>
    </w:pPr>
    <w:rPr>
      <w:rFonts w:ascii="黑体" w:eastAsia="黑体"/>
      <w:sz w:val="32"/>
      <w:szCs w:val="32"/>
    </w:rPr>
  </w:style>
  <w:style w:type="paragraph" w:customStyle="1" w:styleId="1489">
    <w:name w:val="正文格式31"/>
    <w:basedOn w:val="1"/>
    <w:autoRedefine/>
    <w:qFormat/>
    <w:uiPriority w:val="0"/>
    <w:pPr>
      <w:spacing w:line="360" w:lineRule="auto"/>
      <w:ind w:firstLine="482"/>
    </w:pPr>
    <w:rPr>
      <w:rFonts w:ascii="宋体" w:hAnsi="宋体"/>
      <w:sz w:val="24"/>
    </w:rPr>
  </w:style>
  <w:style w:type="paragraph" w:customStyle="1" w:styleId="1490">
    <w:name w:val="目录 3 Char Char"/>
    <w:basedOn w:val="1"/>
    <w:next w:val="1"/>
    <w:autoRedefine/>
    <w:qFormat/>
    <w:uiPriority w:val="0"/>
    <w:pPr>
      <w:spacing w:line="351" w:lineRule="atLeast"/>
      <w:ind w:left="419" w:firstLine="419"/>
      <w:jc w:val="left"/>
    </w:pPr>
    <w:rPr>
      <w:rFonts w:hint="eastAsia"/>
      <w:i/>
      <w:szCs w:val="20"/>
    </w:rPr>
  </w:style>
  <w:style w:type="paragraph" w:customStyle="1" w:styleId="1491">
    <w:name w:val="2.2.1"/>
    <w:basedOn w:val="6"/>
    <w:autoRedefine/>
    <w:qFormat/>
    <w:uiPriority w:val="99"/>
    <w:pPr>
      <w:tabs>
        <w:tab w:val="left" w:pos="0"/>
        <w:tab w:val="left" w:pos="864"/>
      </w:tabs>
      <w:spacing w:before="0" w:after="0" w:line="360" w:lineRule="auto"/>
      <w:ind w:left="2145" w:hanging="420"/>
      <w:jc w:val="left"/>
    </w:pPr>
    <w:rPr>
      <w:rFonts w:ascii="宋体" w:eastAsia="宋体"/>
      <w:b w:val="0"/>
      <w:color w:val="000000"/>
      <w:sz w:val="24"/>
    </w:rPr>
  </w:style>
  <w:style w:type="paragraph" w:customStyle="1" w:styleId="1492">
    <w:name w:val="Char Char Char Char Char Char Char Char Char Char Char Char Char Char"/>
    <w:basedOn w:val="1"/>
    <w:autoRedefine/>
    <w:qFormat/>
    <w:uiPriority w:val="99"/>
    <w:rPr>
      <w:sz w:val="24"/>
    </w:rPr>
  </w:style>
  <w:style w:type="paragraph" w:customStyle="1" w:styleId="1493">
    <w:name w:val="char"/>
    <w:basedOn w:val="1"/>
    <w:autoRedefine/>
    <w:qFormat/>
    <w:uiPriority w:val="99"/>
    <w:pPr>
      <w:widowControl/>
      <w:spacing w:after="160" w:line="240" w:lineRule="exact"/>
      <w:jc w:val="left"/>
    </w:pPr>
    <w:rPr>
      <w:rFonts w:ascii="Verdana" w:hAnsi="Verdana" w:eastAsia="仿宋_GB2312" w:cs="”“Times New Roman”“"/>
      <w:kern w:val="0"/>
      <w:sz w:val="24"/>
      <w:szCs w:val="20"/>
      <w:lang w:eastAsia="en-US"/>
    </w:rPr>
  </w:style>
  <w:style w:type="paragraph" w:customStyle="1" w:styleId="1494">
    <w:name w:val="xl110"/>
    <w:basedOn w:val="1"/>
    <w:autoRedefine/>
    <w:qFormat/>
    <w:uiPriority w:val="99"/>
    <w:pPr>
      <w:widowControl/>
      <w:pBdr>
        <w:top w:val="single" w:color="auto" w:sz="12" w:space="0"/>
        <w:bottom w:val="single" w:color="auto" w:sz="8" w:space="0"/>
      </w:pBdr>
      <w:spacing w:before="100" w:beforeAutospacing="1" w:after="100" w:afterAutospacing="1"/>
      <w:jc w:val="center"/>
      <w:textAlignment w:val="center"/>
    </w:pPr>
    <w:rPr>
      <w:rFonts w:ascii="Arial Unicode MS" w:hAnsi="Arial Unicode MS"/>
      <w:kern w:val="0"/>
    </w:rPr>
  </w:style>
  <w:style w:type="paragraph" w:customStyle="1" w:styleId="1495">
    <w:name w:val="表中文字44"/>
    <w:basedOn w:val="1"/>
    <w:autoRedefine/>
    <w:qFormat/>
    <w:uiPriority w:val="0"/>
    <w:pPr>
      <w:snapToGrid w:val="0"/>
      <w:spacing w:line="340" w:lineRule="exact"/>
      <w:ind w:firstLine="480" w:firstLineChars="200"/>
      <w:jc w:val="center"/>
    </w:pPr>
    <w:rPr>
      <w:rFonts w:ascii="Arial" w:hAnsi="Arial"/>
      <w:kern w:val="0"/>
      <w:sz w:val="20"/>
      <w:lang w:eastAsia="zh-TW"/>
    </w:rPr>
  </w:style>
  <w:style w:type="paragraph" w:customStyle="1" w:styleId="1496">
    <w:name w:val="Char210"/>
    <w:basedOn w:val="1"/>
    <w:autoRedefine/>
    <w:qFormat/>
    <w:uiPriority w:val="0"/>
    <w:pPr>
      <w:ind w:left="-48"/>
    </w:pPr>
  </w:style>
  <w:style w:type="paragraph" w:customStyle="1" w:styleId="1497">
    <w:name w:val="MFS正文 Char"/>
    <w:basedOn w:val="86"/>
    <w:autoRedefine/>
    <w:qFormat/>
    <w:uiPriority w:val="99"/>
    <w:pPr>
      <w:adjustRightInd w:val="0"/>
      <w:snapToGrid w:val="0"/>
      <w:spacing w:before="93" w:line="360" w:lineRule="auto"/>
      <w:ind w:firstLine="200" w:firstLineChars="200"/>
    </w:pPr>
    <w:rPr>
      <w:rFonts w:hAnsi="Calibri" w:eastAsia="楷体_GB2312"/>
      <w:sz w:val="24"/>
      <w:szCs w:val="22"/>
    </w:rPr>
  </w:style>
  <w:style w:type="paragraph" w:customStyle="1" w:styleId="1498">
    <w:name w:val="正文居中"/>
    <w:basedOn w:val="1"/>
    <w:autoRedefine/>
    <w:qFormat/>
    <w:uiPriority w:val="0"/>
    <w:pPr>
      <w:adjustRightInd w:val="0"/>
      <w:snapToGrid w:val="0"/>
      <w:spacing w:line="400" w:lineRule="exact"/>
      <w:jc w:val="center"/>
    </w:pPr>
    <w:rPr>
      <w:rFonts w:ascii="宋体"/>
      <w:snapToGrid w:val="0"/>
      <w:spacing w:val="6"/>
      <w:kern w:val="0"/>
      <w:szCs w:val="20"/>
    </w:rPr>
  </w:style>
  <w:style w:type="paragraph" w:customStyle="1" w:styleId="1499">
    <w:name w:val="样式 正文缩进 + 宋体 黑色 首行缩进:  2 字符4"/>
    <w:basedOn w:val="9"/>
    <w:autoRedefine/>
    <w:qFormat/>
    <w:uiPriority w:val="0"/>
    <w:pPr>
      <w:spacing w:line="360" w:lineRule="auto"/>
      <w:ind w:firstLine="480"/>
      <w:jc w:val="left"/>
    </w:pPr>
    <w:rPr>
      <w:rFonts w:ascii="宋体" w:hAnsi="宋体" w:cs="宋体"/>
      <w:color w:val="FF00FF"/>
      <w:kern w:val="0"/>
      <w:sz w:val="24"/>
      <w:szCs w:val="20"/>
      <w:lang w:val="en-US"/>
    </w:rPr>
  </w:style>
  <w:style w:type="paragraph" w:customStyle="1" w:styleId="1500">
    <w:name w:val="h"/>
    <w:basedOn w:val="1"/>
    <w:autoRedefine/>
    <w:qFormat/>
    <w:uiPriority w:val="0"/>
    <w:pPr>
      <w:spacing w:before="60"/>
      <w:ind w:firstLine="482"/>
    </w:pPr>
    <w:rPr>
      <w:rFonts w:ascii="Arial" w:hAnsi="Arial" w:eastAsia="仿宋_GB2312"/>
      <w:kern w:val="0"/>
      <w:sz w:val="24"/>
      <w:szCs w:val="20"/>
    </w:rPr>
  </w:style>
  <w:style w:type="paragraph" w:customStyle="1" w:styleId="1501">
    <w:name w:val="A正文3"/>
    <w:basedOn w:val="1"/>
    <w:autoRedefine/>
    <w:qFormat/>
    <w:uiPriority w:val="0"/>
    <w:pPr>
      <w:widowControl/>
      <w:overflowPunct w:val="0"/>
      <w:autoSpaceDE w:val="0"/>
      <w:autoSpaceDN w:val="0"/>
      <w:adjustRightInd w:val="0"/>
      <w:spacing w:line="360" w:lineRule="auto"/>
      <w:ind w:firstLine="200" w:firstLineChars="200"/>
      <w:jc w:val="left"/>
      <w:textAlignment w:val="baseline"/>
    </w:pPr>
    <w:rPr>
      <w:rFonts w:eastAsia="仿宋_GB2312"/>
      <w:kern w:val="0"/>
      <w:sz w:val="24"/>
    </w:rPr>
  </w:style>
  <w:style w:type="paragraph" w:customStyle="1" w:styleId="1502">
    <w:name w:val="xl145"/>
    <w:basedOn w:val="1"/>
    <w:autoRedefine/>
    <w:qFormat/>
    <w:uiPriority w:val="99"/>
    <w:pPr>
      <w:widowControl/>
      <w:spacing w:before="100" w:beforeAutospacing="1" w:after="100" w:afterAutospacing="1"/>
      <w:jc w:val="left"/>
    </w:pPr>
    <w:rPr>
      <w:rFonts w:ascii="Arial Unicode MS" w:hAnsi="Arial Unicode MS"/>
      <w:kern w:val="0"/>
      <w:sz w:val="16"/>
      <w:szCs w:val="16"/>
    </w:rPr>
  </w:style>
  <w:style w:type="paragraph" w:customStyle="1" w:styleId="1503">
    <w:name w:val="燕山正文1123"/>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1504">
    <w:name w:val="表左"/>
    <w:basedOn w:val="1"/>
    <w:autoRedefine/>
    <w:qFormat/>
    <w:uiPriority w:val="39"/>
    <w:pPr>
      <w:keepNext/>
      <w:spacing w:line="200" w:lineRule="atLeast"/>
      <w:ind w:left="84" w:leftChars="30" w:right="84" w:rightChars="30"/>
      <w:jc w:val="center"/>
    </w:pPr>
    <w:rPr>
      <w:rFonts w:ascii="宋体" w:hAnsi="宋体"/>
      <w:color w:val="000000"/>
      <w:kern w:val="0"/>
      <w:sz w:val="24"/>
      <w:szCs w:val="20"/>
    </w:rPr>
  </w:style>
  <w:style w:type="paragraph" w:customStyle="1" w:styleId="1505">
    <w:name w:val="表题3134"/>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1506">
    <w:name w:val="xl193"/>
    <w:basedOn w:val="1"/>
    <w:autoRedefine/>
    <w:qFormat/>
    <w:uiPriority w:val="99"/>
    <w:pPr>
      <w:widowControl/>
      <w:pBdr>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kern w:val="0"/>
      <w:sz w:val="16"/>
      <w:szCs w:val="16"/>
    </w:rPr>
  </w:style>
  <w:style w:type="paragraph" w:customStyle="1" w:styleId="1507">
    <w:name w:val="正文修改14"/>
    <w:basedOn w:val="193"/>
    <w:autoRedefine/>
    <w:qFormat/>
    <w:uiPriority w:val="0"/>
    <w:rPr>
      <w:rFonts w:hAnsi="宋体"/>
      <w:color w:val="000000"/>
    </w:rPr>
  </w:style>
  <w:style w:type="paragraph" w:customStyle="1" w:styleId="1508">
    <w:name w:val="Char31"/>
    <w:basedOn w:val="1"/>
    <w:autoRedefine/>
    <w:qFormat/>
    <w:uiPriority w:val="0"/>
    <w:rPr>
      <w:sz w:val="24"/>
    </w:rPr>
  </w:style>
  <w:style w:type="paragraph" w:customStyle="1" w:styleId="1509">
    <w:name w:val="标题6"/>
    <w:basedOn w:val="1"/>
    <w:autoRedefine/>
    <w:qFormat/>
    <w:uiPriority w:val="0"/>
    <w:pPr>
      <w:autoSpaceDE w:val="0"/>
      <w:autoSpaceDN w:val="0"/>
      <w:adjustRightInd w:val="0"/>
      <w:snapToGrid w:val="0"/>
      <w:spacing w:line="300" w:lineRule="auto"/>
      <w:ind w:firstLine="567"/>
      <w:outlineLvl w:val="5"/>
    </w:pPr>
    <w:rPr>
      <w:rFonts w:ascii="仿宋_GB2312" w:hAnsi="宋体" w:eastAsia="仿宋_GB2312"/>
      <w:sz w:val="24"/>
      <w:szCs w:val="21"/>
    </w:rPr>
  </w:style>
  <w:style w:type="paragraph" w:customStyle="1" w:styleId="1510">
    <w:name w:val="xl51"/>
    <w:basedOn w:val="1"/>
    <w:autoRedefine/>
    <w:qFormat/>
    <w:uiPriority w:val="0"/>
    <w:pPr>
      <w:widowControl/>
      <w:pBdr>
        <w:left w:val="single" w:color="auto" w:sz="4" w:space="0"/>
        <w:bottom w:val="single" w:color="auto" w:sz="12"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511">
    <w:name w:val="T正文"/>
    <w:autoRedefine/>
    <w:qFormat/>
    <w:uiPriority w:val="0"/>
    <w:pPr>
      <w:widowControl w:val="0"/>
      <w:adjustRightInd w:val="0"/>
      <w:snapToGrid w:val="0"/>
      <w:spacing w:line="360" w:lineRule="auto"/>
      <w:ind w:firstLine="200" w:firstLineChars="200"/>
      <w:jc w:val="both"/>
    </w:pPr>
    <w:rPr>
      <w:rFonts w:ascii="Times New Roman" w:hAnsi="Times New Roman" w:eastAsia="仿宋_GB2312" w:cs="Times New Roman"/>
      <w:sz w:val="28"/>
      <w:lang w:val="en-US" w:eastAsia="zh-CN" w:bidi="ar-SA"/>
    </w:rPr>
  </w:style>
  <w:style w:type="paragraph" w:customStyle="1" w:styleId="1512">
    <w:name w:val="默认段落字体 Para Char Char Char Char Char Char Char Char Char Char Char Char Char Char Char Char Char Char Char Char Char Char Char Char Char Char Char Char1 Char Char Char Char Char"/>
    <w:basedOn w:val="1"/>
    <w:autoRedefine/>
    <w:qFormat/>
    <w:uiPriority w:val="99"/>
    <w:rPr>
      <w:sz w:val="24"/>
      <w:szCs w:val="20"/>
    </w:rPr>
  </w:style>
  <w:style w:type="paragraph" w:customStyle="1" w:styleId="1513">
    <w:name w:val="xl197"/>
    <w:basedOn w:val="1"/>
    <w:autoRedefine/>
    <w:qFormat/>
    <w:uiPriority w:val="99"/>
    <w:pPr>
      <w:widowControl/>
      <w:pBdr>
        <w:left w:val="single" w:color="auto" w:sz="4" w:space="0"/>
        <w:bottom w:val="single" w:color="auto" w:sz="8" w:space="0"/>
        <w:right w:val="single" w:color="auto" w:sz="4" w:space="0"/>
      </w:pBdr>
      <w:spacing w:before="100" w:beforeAutospacing="1" w:after="100" w:afterAutospacing="1"/>
      <w:jc w:val="center"/>
    </w:pPr>
    <w:rPr>
      <w:rFonts w:ascii="Arial Unicode MS" w:hAnsi="Arial Unicode MS"/>
      <w:kern w:val="0"/>
    </w:rPr>
  </w:style>
  <w:style w:type="paragraph" w:customStyle="1" w:styleId="1514">
    <w:name w:val="xl104"/>
    <w:basedOn w:val="1"/>
    <w:autoRedefine/>
    <w:qFormat/>
    <w:uiPriority w:val="0"/>
    <w:pPr>
      <w:widowControl/>
      <w:spacing w:before="100" w:beforeAutospacing="1" w:after="100" w:afterAutospacing="1"/>
      <w:jc w:val="center"/>
      <w:textAlignment w:val="center"/>
    </w:pPr>
    <w:rPr>
      <w:rFonts w:ascii="Arial Unicode MS" w:hAnsi="Arial Unicode MS"/>
      <w:kern w:val="0"/>
      <w:sz w:val="12"/>
      <w:szCs w:val="12"/>
    </w:rPr>
  </w:style>
  <w:style w:type="paragraph" w:customStyle="1" w:styleId="1515">
    <w:name w:val="正文格式＝41"/>
    <w:basedOn w:val="418"/>
    <w:next w:val="418"/>
    <w:autoRedefine/>
    <w:qFormat/>
    <w:uiPriority w:val="0"/>
    <w:rPr>
      <w:rFonts w:ascii="宋体" w:hAnsi="宋体"/>
      <w:b w:val="0"/>
      <w:spacing w:val="0"/>
      <w:sz w:val="24"/>
      <w:szCs w:val="24"/>
    </w:rPr>
  </w:style>
  <w:style w:type="paragraph" w:customStyle="1" w:styleId="1516">
    <w:name w:val="Char Char Char Char Char Char Char222"/>
    <w:basedOn w:val="1"/>
    <w:autoRedefine/>
    <w:qFormat/>
    <w:uiPriority w:val="0"/>
  </w:style>
  <w:style w:type="paragraph" w:customStyle="1" w:styleId="1517">
    <w:name w:val="项目符号"/>
    <w:basedOn w:val="1"/>
    <w:autoRedefine/>
    <w:qFormat/>
    <w:uiPriority w:val="39"/>
    <w:pPr>
      <w:tabs>
        <w:tab w:val="left" w:pos="170"/>
      </w:tabs>
      <w:overflowPunct w:val="0"/>
      <w:snapToGrid w:val="0"/>
      <w:spacing w:before="120" w:line="480" w:lineRule="exact"/>
      <w:ind w:firstLine="454" w:firstLineChars="200"/>
    </w:pPr>
    <w:rPr>
      <w:rFonts w:ascii="Arial" w:hAnsi="Arial" w:eastAsia="仿宋_GB2312"/>
      <w:sz w:val="28"/>
      <w:szCs w:val="20"/>
    </w:rPr>
  </w:style>
  <w:style w:type="paragraph" w:customStyle="1" w:styleId="1518">
    <w:name w:val="xl117"/>
    <w:basedOn w:val="1"/>
    <w:autoRedefine/>
    <w:qFormat/>
    <w:uiPriority w:val="99"/>
    <w:pPr>
      <w:widowControl/>
      <w:pBdr>
        <w:left w:val="single" w:color="auto" w:sz="8" w:space="0"/>
      </w:pBdr>
      <w:spacing w:before="100" w:beforeAutospacing="1" w:after="100" w:afterAutospacing="1"/>
      <w:jc w:val="left"/>
    </w:pPr>
    <w:rPr>
      <w:rFonts w:ascii="Arial Unicode MS" w:hAnsi="Arial Unicode MS"/>
      <w:kern w:val="0"/>
    </w:rPr>
  </w:style>
  <w:style w:type="paragraph" w:customStyle="1" w:styleId="1519">
    <w:name w:val="Char Char Char Char Char Char Char Char Char1 Char Char Char Char Char Char1 Char1"/>
    <w:basedOn w:val="1"/>
    <w:autoRedefine/>
    <w:qFormat/>
    <w:uiPriority w:val="39"/>
    <w:rPr>
      <w:szCs w:val="21"/>
    </w:rPr>
  </w:style>
  <w:style w:type="paragraph" w:customStyle="1" w:styleId="1520">
    <w:name w:val="xl64"/>
    <w:basedOn w:val="1"/>
    <w:autoRedefine/>
    <w:qFormat/>
    <w:uiPriority w:val="0"/>
    <w:pPr>
      <w:widowControl/>
      <w:pBdr>
        <w:left w:val="single" w:color="auto" w:sz="4" w:space="0"/>
        <w:bottom w:val="single" w:color="auto" w:sz="12"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521">
    <w:name w:val="标题4316"/>
    <w:basedOn w:val="1"/>
    <w:autoRedefine/>
    <w:qFormat/>
    <w:uiPriority w:val="0"/>
    <w:pPr>
      <w:adjustRightInd w:val="0"/>
      <w:snapToGrid w:val="0"/>
      <w:spacing w:line="480" w:lineRule="exact"/>
      <w:jc w:val="center"/>
    </w:pPr>
    <w:rPr>
      <w:rFonts w:ascii="宋体" w:hAnsi="宋体" w:cs="宋体"/>
      <w:sz w:val="24"/>
    </w:rPr>
  </w:style>
  <w:style w:type="paragraph" w:customStyle="1" w:styleId="1522">
    <w:name w:val="Char Char Char Char Char Char Char Char Char Char Char Char Char Char Char Char1"/>
    <w:basedOn w:val="1"/>
    <w:autoRedefine/>
    <w:qFormat/>
    <w:uiPriority w:val="99"/>
    <w:rPr>
      <w:szCs w:val="20"/>
    </w:rPr>
  </w:style>
  <w:style w:type="paragraph" w:customStyle="1" w:styleId="1523">
    <w:name w:val="Char Char Char Char Char Char Char Char Char Char Char Char Char Char Char Char Char Char Char Char Char Char Char Char Char Char Char Char"/>
    <w:basedOn w:val="1"/>
    <w:autoRedefine/>
    <w:qFormat/>
    <w:uiPriority w:val="0"/>
    <w:rPr>
      <w:sz w:val="24"/>
    </w:rPr>
  </w:style>
  <w:style w:type="paragraph" w:customStyle="1" w:styleId="1524">
    <w:name w:val="表中"/>
    <w:basedOn w:val="1"/>
    <w:autoRedefine/>
    <w:qFormat/>
    <w:uiPriority w:val="0"/>
    <w:pPr>
      <w:spacing w:line="300" w:lineRule="exact"/>
      <w:jc w:val="center"/>
    </w:pPr>
    <w:rPr>
      <w:rFonts w:ascii="宋体"/>
    </w:rPr>
  </w:style>
  <w:style w:type="paragraph" w:customStyle="1" w:styleId="1525">
    <w:name w:val="表题91"/>
    <w:basedOn w:val="45"/>
    <w:autoRedefine/>
    <w:qFormat/>
    <w:uiPriority w:val="0"/>
    <w:pPr>
      <w:adjustRightInd w:val="0"/>
      <w:snapToGrid w:val="0"/>
      <w:spacing w:line="300" w:lineRule="auto"/>
      <w:jc w:val="center"/>
    </w:pPr>
    <w:rPr>
      <w:rFonts w:ascii="黑体" w:eastAsia="黑体"/>
      <w:sz w:val="24"/>
      <w:szCs w:val="20"/>
    </w:rPr>
  </w:style>
  <w:style w:type="paragraph" w:customStyle="1" w:styleId="1526">
    <w:name w:val="基准页眉样式"/>
    <w:basedOn w:val="34"/>
    <w:autoRedefine/>
    <w:qFormat/>
    <w:uiPriority w:val="0"/>
    <w:pPr>
      <w:widowControl w:val="0"/>
      <w:snapToGrid/>
      <w:spacing w:before="0" w:after="0" w:line="300" w:lineRule="exact"/>
      <w:ind w:right="0"/>
      <w:jc w:val="center"/>
    </w:pPr>
    <w:rPr>
      <w:spacing w:val="15"/>
      <w:sz w:val="20"/>
      <w:lang w:val="en-US"/>
    </w:rPr>
  </w:style>
  <w:style w:type="paragraph" w:customStyle="1" w:styleId="1527">
    <w:name w:val="默认段落字体 Para Char Char Char1 Char Char Char Char Char Char Char Char Char Char Char Char"/>
    <w:basedOn w:val="1"/>
    <w:autoRedefine/>
    <w:qFormat/>
    <w:uiPriority w:val="99"/>
    <w:rPr>
      <w:sz w:val="24"/>
    </w:rPr>
  </w:style>
  <w:style w:type="paragraph" w:customStyle="1" w:styleId="1528">
    <w:name w:val="xl123"/>
    <w:basedOn w:val="1"/>
    <w:autoRedefine/>
    <w:qFormat/>
    <w:uiPriority w:val="99"/>
    <w:pPr>
      <w:widowControl/>
      <w:pBdr>
        <w:top w:val="single" w:color="auto" w:sz="8" w:space="0"/>
      </w:pBdr>
      <w:spacing w:before="100" w:beforeAutospacing="1" w:after="100" w:afterAutospacing="1"/>
      <w:jc w:val="left"/>
    </w:pPr>
    <w:rPr>
      <w:rFonts w:ascii="Arial Unicode MS" w:hAnsi="Arial Unicode MS"/>
      <w:kern w:val="0"/>
      <w:sz w:val="16"/>
      <w:szCs w:val="16"/>
    </w:rPr>
  </w:style>
  <w:style w:type="paragraph" w:customStyle="1" w:styleId="1529">
    <w:name w:val="表、图名宋旭峰"/>
    <w:basedOn w:val="1"/>
    <w:autoRedefine/>
    <w:qFormat/>
    <w:uiPriority w:val="0"/>
    <w:pPr>
      <w:spacing w:beforeLines="50" w:line="360" w:lineRule="auto"/>
      <w:jc w:val="center"/>
    </w:pPr>
    <w:rPr>
      <w:rFonts w:ascii="黑体" w:hAnsi="宋体" w:eastAsia="黑体"/>
      <w:snapToGrid w:val="0"/>
      <w:kern w:val="0"/>
      <w:szCs w:val="21"/>
    </w:rPr>
  </w:style>
  <w:style w:type="paragraph" w:customStyle="1" w:styleId="1530">
    <w:name w:val="表内54113"/>
    <w:basedOn w:val="1"/>
    <w:autoRedefine/>
    <w:qFormat/>
    <w:uiPriority w:val="0"/>
    <w:pPr>
      <w:adjustRightInd w:val="0"/>
      <w:snapToGrid w:val="0"/>
      <w:spacing w:line="300" w:lineRule="auto"/>
      <w:jc w:val="center"/>
    </w:pPr>
    <w:rPr>
      <w:rFonts w:ascii="宋体" w:hAnsi="宋体" w:cs="宋体"/>
      <w:szCs w:val="20"/>
    </w:rPr>
  </w:style>
  <w:style w:type="paragraph" w:customStyle="1" w:styleId="1531">
    <w:name w:val="Char1 Char Char Char3"/>
    <w:basedOn w:val="1"/>
    <w:autoRedefine/>
    <w:qFormat/>
    <w:uiPriority w:val="99"/>
  </w:style>
  <w:style w:type="paragraph" w:customStyle="1" w:styleId="1532">
    <w:name w:val="Char Char Char13"/>
    <w:basedOn w:val="1"/>
    <w:autoRedefine/>
    <w:qFormat/>
    <w:uiPriority w:val="39"/>
    <w:rPr>
      <w:sz w:val="24"/>
    </w:rPr>
  </w:style>
  <w:style w:type="paragraph" w:customStyle="1" w:styleId="1533">
    <w:name w:val="xl30"/>
    <w:basedOn w:val="1"/>
    <w:autoRedefine/>
    <w:qFormat/>
    <w:uiPriority w:val="0"/>
    <w:pPr>
      <w:widowControl/>
      <w:spacing w:before="100" w:beforeAutospacing="1" w:after="100" w:afterAutospacing="1"/>
      <w:jc w:val="left"/>
    </w:pPr>
    <w:rPr>
      <w:rFonts w:ascii="Arial Unicode MS" w:hAnsi="Arial Unicode MS"/>
      <w:kern w:val="0"/>
      <w:sz w:val="16"/>
      <w:szCs w:val="16"/>
    </w:rPr>
  </w:style>
  <w:style w:type="paragraph" w:customStyle="1" w:styleId="1534">
    <w:name w:val="默认段落字体 Para Char Char Char Char Char11"/>
    <w:basedOn w:val="1"/>
    <w:autoRedefine/>
    <w:qFormat/>
    <w:uiPriority w:val="0"/>
  </w:style>
  <w:style w:type="paragraph" w:customStyle="1" w:styleId="1535">
    <w:name w:val="样式 标题 2 + 宋体 小四 非加粗 段前: 1 行 段后: 1 行"/>
    <w:basedOn w:val="4"/>
    <w:autoRedefine/>
    <w:qFormat/>
    <w:uiPriority w:val="99"/>
  </w:style>
  <w:style w:type="paragraph" w:customStyle="1" w:styleId="1536">
    <w:name w:val="xl179"/>
    <w:basedOn w:val="1"/>
    <w:autoRedefine/>
    <w:qFormat/>
    <w:uiPriority w:val="99"/>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537">
    <w:name w:val="表题1422"/>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1538">
    <w:name w:val="Char"/>
    <w:basedOn w:val="1"/>
    <w:autoRedefine/>
    <w:qFormat/>
    <w:uiPriority w:val="39"/>
    <w:rPr>
      <w:sz w:val="24"/>
    </w:rPr>
  </w:style>
  <w:style w:type="paragraph" w:customStyle="1" w:styleId="1539">
    <w:name w:val="xl130"/>
    <w:basedOn w:val="1"/>
    <w:autoRedefine/>
    <w:qFormat/>
    <w:uiPriority w:val="99"/>
    <w:pPr>
      <w:widowControl/>
      <w:pBdr>
        <w:left w:val="single" w:color="auto" w:sz="4" w:space="0"/>
        <w:right w:val="single" w:color="auto" w:sz="8"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540">
    <w:name w:val="Char431"/>
    <w:basedOn w:val="1"/>
    <w:autoRedefine/>
    <w:qFormat/>
    <w:uiPriority w:val="0"/>
    <w:pPr>
      <w:ind w:left="-48"/>
    </w:pPr>
  </w:style>
  <w:style w:type="paragraph" w:customStyle="1" w:styleId="1541">
    <w:name w:val="前言、引言标题"/>
    <w:next w:val="1"/>
    <w:autoRedefine/>
    <w:qFormat/>
    <w:uiPriority w:val="0"/>
    <w:pPr>
      <w:shd w:val="clear" w:color="FFFFFF" w:fill="FFFFFF"/>
      <w:tabs>
        <w:tab w:val="left" w:pos="903"/>
        <w:tab w:val="left" w:pos="980"/>
      </w:tabs>
      <w:spacing w:before="640" w:after="560"/>
      <w:ind w:left="903" w:hanging="315"/>
      <w:jc w:val="center"/>
      <w:outlineLvl w:val="0"/>
    </w:pPr>
    <w:rPr>
      <w:rFonts w:ascii="黑体" w:hAnsi="Times New Roman" w:eastAsia="黑体" w:cs="Times New Roman"/>
      <w:sz w:val="32"/>
      <w:lang w:val="en-US" w:eastAsia="zh-CN" w:bidi="ar-SA"/>
    </w:rPr>
  </w:style>
  <w:style w:type="paragraph" w:customStyle="1" w:styleId="1542">
    <w:name w:val="Default12"/>
    <w:autoRedefine/>
    <w:qFormat/>
    <w:uiPriority w:val="0"/>
    <w:pPr>
      <w:widowControl w:val="0"/>
      <w:autoSpaceDE w:val="0"/>
      <w:autoSpaceDN w:val="0"/>
      <w:adjustRightInd w:val="0"/>
    </w:pPr>
    <w:rPr>
      <w:rFonts w:ascii="宋体" w:hAnsi="Times New Roman" w:eastAsia="宋体" w:cs="Times New Roman"/>
      <w:color w:val="000000"/>
      <w:sz w:val="24"/>
      <w:szCs w:val="24"/>
      <w:lang w:val="en-US" w:eastAsia="zh-CN" w:bidi="ar-SA"/>
    </w:rPr>
  </w:style>
  <w:style w:type="paragraph" w:customStyle="1" w:styleId="1543">
    <w:name w:val="样式 标题 3 + 段前: 12 磅4"/>
    <w:basedOn w:val="5"/>
    <w:autoRedefine/>
    <w:qFormat/>
    <w:uiPriority w:val="0"/>
    <w:pPr>
      <w:keepNext w:val="0"/>
      <w:keepLines w:val="0"/>
      <w:widowControl/>
      <w:autoSpaceDE w:val="0"/>
      <w:autoSpaceDN w:val="0"/>
      <w:adjustRightInd w:val="0"/>
      <w:snapToGrid w:val="0"/>
      <w:spacing w:before="0" w:after="0" w:line="360" w:lineRule="auto"/>
    </w:pPr>
    <w:rPr>
      <w:rFonts w:ascii="黑体" w:hAnsi="宋体" w:eastAsia="黑体" w:cs="宋体"/>
      <w:b w:val="0"/>
      <w:bCs w:val="0"/>
      <w:color w:val="000000"/>
      <w:kern w:val="21"/>
      <w:sz w:val="24"/>
      <w:szCs w:val="20"/>
      <w:lang w:val="en-US"/>
    </w:rPr>
  </w:style>
  <w:style w:type="paragraph" w:customStyle="1" w:styleId="1544">
    <w:name w:val="正文缩进3"/>
    <w:basedOn w:val="1"/>
    <w:autoRedefine/>
    <w:qFormat/>
    <w:uiPriority w:val="99"/>
    <w:pPr>
      <w:adjustRightInd w:val="0"/>
      <w:ind w:firstLine="420" w:firstLineChars="200"/>
      <w:textAlignment w:val="baseline"/>
    </w:pPr>
    <w:rPr>
      <w:rFonts w:hint="eastAsia" w:hAnsi="宋体"/>
      <w:sz w:val="24"/>
      <w:szCs w:val="20"/>
    </w:rPr>
  </w:style>
  <w:style w:type="paragraph" w:customStyle="1" w:styleId="1545">
    <w:name w:val="标题43114"/>
    <w:basedOn w:val="1"/>
    <w:autoRedefine/>
    <w:qFormat/>
    <w:uiPriority w:val="0"/>
    <w:pPr>
      <w:adjustRightInd w:val="0"/>
      <w:snapToGrid w:val="0"/>
      <w:spacing w:line="480" w:lineRule="exact"/>
      <w:jc w:val="center"/>
    </w:pPr>
    <w:rPr>
      <w:rFonts w:ascii="宋体" w:hAnsi="宋体" w:cs="宋体"/>
      <w:sz w:val="24"/>
    </w:rPr>
  </w:style>
  <w:style w:type="paragraph" w:customStyle="1" w:styleId="1546">
    <w:name w:val="xl187"/>
    <w:basedOn w:val="1"/>
    <w:autoRedefine/>
    <w:qFormat/>
    <w:uiPriority w:val="99"/>
    <w:pPr>
      <w:widowControl/>
      <w:pBdr>
        <w:top w:val="single" w:color="auto" w:sz="4" w:space="0"/>
        <w:left w:val="single" w:color="auto" w:sz="4" w:space="0"/>
        <w:right w:val="single" w:color="auto" w:sz="4" w:space="0"/>
      </w:pBdr>
      <w:spacing w:before="100" w:beforeAutospacing="1" w:after="100" w:afterAutospacing="1"/>
      <w:jc w:val="center"/>
      <w:textAlignment w:val="center"/>
    </w:pPr>
    <w:rPr>
      <w:kern w:val="0"/>
      <w:sz w:val="16"/>
      <w:szCs w:val="16"/>
    </w:rPr>
  </w:style>
  <w:style w:type="paragraph" w:customStyle="1" w:styleId="1547">
    <w:name w:val="标准11"/>
    <w:basedOn w:val="1"/>
    <w:autoRedefine/>
    <w:qFormat/>
    <w:uiPriority w:val="0"/>
    <w:pPr>
      <w:adjustRightInd w:val="0"/>
      <w:spacing w:before="120" w:line="336" w:lineRule="auto"/>
      <w:jc w:val="center"/>
      <w:textAlignment w:val="baseline"/>
    </w:pPr>
    <w:rPr>
      <w:rFonts w:ascii="黑体" w:eastAsia="黑体"/>
      <w:szCs w:val="20"/>
    </w:rPr>
  </w:style>
  <w:style w:type="paragraph" w:customStyle="1" w:styleId="1548">
    <w:name w:val="Char Char Char1 Char Char Char Char Char Char Char1"/>
    <w:basedOn w:val="1"/>
    <w:autoRedefine/>
    <w:qFormat/>
    <w:uiPriority w:val="99"/>
    <w:rPr>
      <w:rFonts w:ascii="Tahoma" w:hAnsi="Tahoma"/>
      <w:sz w:val="24"/>
      <w:szCs w:val="20"/>
    </w:rPr>
  </w:style>
  <w:style w:type="paragraph" w:customStyle="1" w:styleId="1549">
    <w:name w:val="Definition List"/>
    <w:basedOn w:val="1"/>
    <w:next w:val="1550"/>
    <w:autoRedefine/>
    <w:qFormat/>
    <w:uiPriority w:val="99"/>
    <w:pPr>
      <w:autoSpaceDE w:val="0"/>
      <w:autoSpaceDN w:val="0"/>
      <w:adjustRightInd w:val="0"/>
      <w:ind w:left="360"/>
      <w:jc w:val="left"/>
    </w:pPr>
    <w:rPr>
      <w:kern w:val="0"/>
      <w:sz w:val="24"/>
      <w:szCs w:val="20"/>
    </w:rPr>
  </w:style>
  <w:style w:type="paragraph" w:customStyle="1" w:styleId="1550">
    <w:name w:val="Definition Term"/>
    <w:basedOn w:val="1"/>
    <w:next w:val="1549"/>
    <w:autoRedefine/>
    <w:qFormat/>
    <w:uiPriority w:val="99"/>
    <w:pPr>
      <w:autoSpaceDE w:val="0"/>
      <w:autoSpaceDN w:val="0"/>
      <w:adjustRightInd w:val="0"/>
      <w:jc w:val="left"/>
    </w:pPr>
    <w:rPr>
      <w:kern w:val="0"/>
      <w:sz w:val="24"/>
      <w:szCs w:val="20"/>
    </w:rPr>
  </w:style>
  <w:style w:type="paragraph" w:customStyle="1" w:styleId="1551">
    <w:name w:val="表题格式"/>
    <w:basedOn w:val="1"/>
    <w:autoRedefine/>
    <w:qFormat/>
    <w:uiPriority w:val="0"/>
    <w:pPr>
      <w:spacing w:line="400" w:lineRule="exact"/>
    </w:pPr>
    <w:rPr>
      <w:rFonts w:eastAsia="仿宋_GB2312"/>
      <w:kern w:val="0"/>
      <w:sz w:val="24"/>
      <w:szCs w:val="20"/>
    </w:rPr>
  </w:style>
  <w:style w:type="paragraph" w:customStyle="1" w:styleId="1552">
    <w:name w:val="style12"/>
    <w:basedOn w:val="1"/>
    <w:autoRedefine/>
    <w:qFormat/>
    <w:uiPriority w:val="99"/>
    <w:pPr>
      <w:widowControl/>
      <w:spacing w:before="100" w:beforeAutospacing="1" w:after="100" w:afterAutospacing="1"/>
      <w:jc w:val="left"/>
    </w:pPr>
    <w:rPr>
      <w:rFonts w:ascii="Arial" w:hAnsi="Arial" w:cs="Arial"/>
      <w:color w:val="666666"/>
      <w:kern w:val="0"/>
      <w:sz w:val="18"/>
      <w:szCs w:val="18"/>
    </w:rPr>
  </w:style>
  <w:style w:type="paragraph" w:customStyle="1" w:styleId="1553">
    <w:name w:val="表格正文"/>
    <w:basedOn w:val="1"/>
    <w:autoRedefine/>
    <w:qFormat/>
    <w:uiPriority w:val="0"/>
    <w:pPr>
      <w:adjustRightInd w:val="0"/>
      <w:snapToGrid w:val="0"/>
      <w:spacing w:before="60" w:after="60"/>
      <w:jc w:val="center"/>
      <w:textAlignment w:val="baseline"/>
    </w:pPr>
    <w:rPr>
      <w:kern w:val="0"/>
      <w:sz w:val="24"/>
      <w:szCs w:val="20"/>
    </w:rPr>
  </w:style>
  <w:style w:type="paragraph" w:customStyle="1" w:styleId="1554">
    <w:name w:val="xl33"/>
    <w:basedOn w:val="1"/>
    <w:autoRedefine/>
    <w:qFormat/>
    <w:uiPriority w:val="0"/>
    <w:pPr>
      <w:widowControl/>
      <w:pBdr>
        <w:top w:val="single" w:color="auto" w:sz="12" w:space="0"/>
      </w:pBdr>
      <w:spacing w:before="100" w:beforeAutospacing="1" w:after="100" w:afterAutospacing="1"/>
      <w:jc w:val="left"/>
    </w:pPr>
    <w:rPr>
      <w:rFonts w:ascii="Arial Unicode MS" w:hAnsi="Arial Unicode MS"/>
      <w:kern w:val="0"/>
      <w:sz w:val="16"/>
      <w:szCs w:val="16"/>
    </w:rPr>
  </w:style>
  <w:style w:type="paragraph" w:customStyle="1" w:styleId="1555">
    <w:name w:val="xl60"/>
    <w:basedOn w:val="1"/>
    <w:autoRedefine/>
    <w:qFormat/>
    <w:uiPriority w:val="0"/>
    <w:pPr>
      <w:widowControl/>
      <w:spacing w:before="100" w:beforeAutospacing="1" w:after="100" w:afterAutospacing="1"/>
      <w:jc w:val="center"/>
      <w:textAlignment w:val="center"/>
    </w:pPr>
    <w:rPr>
      <w:rFonts w:ascii="Arial Unicode MS" w:hAnsi="Arial Unicode MS"/>
      <w:kern w:val="0"/>
      <w:sz w:val="12"/>
      <w:szCs w:val="12"/>
    </w:rPr>
  </w:style>
  <w:style w:type="paragraph" w:customStyle="1" w:styleId="1556">
    <w:name w:val="标题421"/>
    <w:basedOn w:val="1"/>
    <w:autoRedefine/>
    <w:qFormat/>
    <w:uiPriority w:val="0"/>
    <w:pPr>
      <w:adjustRightInd w:val="0"/>
      <w:snapToGrid w:val="0"/>
      <w:spacing w:line="300" w:lineRule="auto"/>
      <w:jc w:val="left"/>
    </w:pPr>
    <w:rPr>
      <w:rFonts w:ascii="黑体" w:eastAsia="黑体"/>
      <w:bCs/>
      <w:sz w:val="24"/>
    </w:rPr>
  </w:style>
  <w:style w:type="paragraph" w:customStyle="1" w:styleId="1557">
    <w:name w:val="xl114"/>
    <w:basedOn w:val="1"/>
    <w:autoRedefine/>
    <w:qFormat/>
    <w:uiPriority w:val="99"/>
    <w:pPr>
      <w:widowControl/>
      <w:pBdr>
        <w:left w:val="single" w:color="auto" w:sz="8" w:space="0"/>
      </w:pBdr>
      <w:spacing w:before="100" w:beforeAutospacing="1" w:after="100" w:afterAutospacing="1"/>
      <w:jc w:val="left"/>
    </w:pPr>
    <w:rPr>
      <w:rFonts w:ascii="Arial Unicode MS" w:hAnsi="Arial Unicode MS"/>
      <w:kern w:val="0"/>
      <w:sz w:val="16"/>
      <w:szCs w:val="16"/>
    </w:rPr>
  </w:style>
  <w:style w:type="paragraph" w:customStyle="1" w:styleId="1558">
    <w:name w:val="Char3 Char Char Char1"/>
    <w:basedOn w:val="1"/>
    <w:autoRedefine/>
    <w:qFormat/>
    <w:uiPriority w:val="39"/>
    <w:rPr>
      <w:sz w:val="28"/>
    </w:rPr>
  </w:style>
  <w:style w:type="paragraph" w:customStyle="1" w:styleId="1559">
    <w:name w:val="正文22"/>
    <w:autoRedefine/>
    <w:qFormat/>
    <w:uiPriority w:val="0"/>
    <w:pPr>
      <w:widowControl w:val="0"/>
      <w:adjustRightInd w:val="0"/>
      <w:spacing w:line="360" w:lineRule="atLeast"/>
    </w:pPr>
    <w:rPr>
      <w:rFonts w:ascii="宋体" w:hAnsi="Times New Roman" w:eastAsia="宋体" w:cs="Times New Roman"/>
      <w:sz w:val="24"/>
      <w:lang w:val="en-US" w:eastAsia="zh-CN" w:bidi="ar-SA"/>
    </w:rPr>
  </w:style>
  <w:style w:type="paragraph" w:customStyle="1" w:styleId="1560">
    <w:name w:val="正文格式＝6"/>
    <w:basedOn w:val="418"/>
    <w:next w:val="418"/>
    <w:autoRedefine/>
    <w:qFormat/>
    <w:uiPriority w:val="0"/>
    <w:rPr>
      <w:rFonts w:ascii="宋体" w:hAnsi="宋体"/>
      <w:b w:val="0"/>
      <w:spacing w:val="0"/>
      <w:sz w:val="24"/>
      <w:szCs w:val="24"/>
    </w:rPr>
  </w:style>
  <w:style w:type="paragraph" w:customStyle="1" w:styleId="1561">
    <w:name w:val="xl63"/>
    <w:basedOn w:val="1"/>
    <w:autoRedefine/>
    <w:qFormat/>
    <w:uiPriority w:val="0"/>
    <w:pPr>
      <w:widowControl/>
      <w:spacing w:before="100" w:beforeAutospacing="1" w:after="100" w:afterAutospacing="1"/>
      <w:jc w:val="center"/>
      <w:textAlignment w:val="center"/>
    </w:pPr>
    <w:rPr>
      <w:kern w:val="0"/>
      <w:sz w:val="12"/>
      <w:szCs w:val="12"/>
    </w:rPr>
  </w:style>
  <w:style w:type="paragraph" w:customStyle="1" w:styleId="1562">
    <w:name w:val="Char Char Char Char Char Char Char Char1 Char Char Char Char Char Char Char Char Char Char1"/>
    <w:basedOn w:val="1"/>
    <w:autoRedefine/>
    <w:qFormat/>
    <w:uiPriority w:val="39"/>
    <w:rPr>
      <w:sz w:val="24"/>
    </w:rPr>
  </w:style>
  <w:style w:type="paragraph" w:customStyle="1" w:styleId="1563">
    <w:name w:val="预评价二"/>
    <w:basedOn w:val="1"/>
    <w:autoRedefine/>
    <w:qFormat/>
    <w:uiPriority w:val="39"/>
    <w:pPr>
      <w:spacing w:line="360" w:lineRule="auto"/>
      <w:ind w:right="-22" w:rightChars="-22"/>
      <w:jc w:val="left"/>
    </w:pPr>
    <w:rPr>
      <w:rFonts w:ascii="宋体" w:hAnsi="宋体" w:eastAsia="楷体_GB2312"/>
      <w:b/>
      <w:bCs/>
      <w:sz w:val="32"/>
    </w:rPr>
  </w:style>
  <w:style w:type="paragraph" w:customStyle="1" w:styleId="1564">
    <w:name w:val="xl120"/>
    <w:basedOn w:val="1"/>
    <w:autoRedefine/>
    <w:qFormat/>
    <w:uiPriority w:val="99"/>
    <w:pPr>
      <w:widowControl/>
      <w:spacing w:before="100" w:beforeAutospacing="1" w:after="100" w:afterAutospacing="1"/>
      <w:jc w:val="left"/>
      <w:textAlignment w:val="center"/>
    </w:pPr>
    <w:rPr>
      <w:rFonts w:ascii="Arial Unicode MS" w:hAnsi="Arial Unicode MS"/>
      <w:kern w:val="0"/>
      <w:sz w:val="12"/>
      <w:szCs w:val="12"/>
    </w:rPr>
  </w:style>
  <w:style w:type="paragraph" w:customStyle="1" w:styleId="1565">
    <w:name w:val="font13"/>
    <w:basedOn w:val="1"/>
    <w:autoRedefine/>
    <w:qFormat/>
    <w:uiPriority w:val="0"/>
    <w:pPr>
      <w:widowControl/>
      <w:spacing w:before="100" w:beforeAutospacing="1" w:after="100" w:afterAutospacing="1"/>
      <w:jc w:val="left"/>
    </w:pPr>
    <w:rPr>
      <w:rFonts w:ascii="宋体" w:hAnsi="宋体" w:cs="宋体"/>
      <w:color w:val="000000"/>
      <w:kern w:val="0"/>
      <w:sz w:val="18"/>
      <w:szCs w:val="18"/>
    </w:rPr>
  </w:style>
  <w:style w:type="paragraph" w:customStyle="1" w:styleId="1566">
    <w:name w:val="xl184"/>
    <w:basedOn w:val="1"/>
    <w:autoRedefine/>
    <w:qFormat/>
    <w:uiPriority w:val="99"/>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567">
    <w:name w:val="xl122"/>
    <w:basedOn w:val="1"/>
    <w:autoRedefine/>
    <w:qFormat/>
    <w:uiPriority w:val="99"/>
    <w:pPr>
      <w:widowControl/>
      <w:pBdr>
        <w:left w:val="single" w:color="auto" w:sz="8"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568">
    <w:name w:val="23-47表名1"/>
    <w:basedOn w:val="1"/>
    <w:autoRedefine/>
    <w:qFormat/>
    <w:uiPriority w:val="0"/>
    <w:pPr>
      <w:spacing w:afterLines="50" w:line="440" w:lineRule="exact"/>
      <w:jc w:val="center"/>
    </w:pPr>
    <w:rPr>
      <w:rFonts w:ascii="宋体" w:hAnsi="宋体"/>
      <w:b/>
      <w:sz w:val="24"/>
    </w:rPr>
  </w:style>
  <w:style w:type="paragraph" w:customStyle="1" w:styleId="1569">
    <w:name w:val="xl50"/>
    <w:basedOn w:val="1"/>
    <w:autoRedefine/>
    <w:qFormat/>
    <w:uiPriority w:val="0"/>
    <w:pPr>
      <w:widowControl/>
      <w:pBdr>
        <w:right w:val="single" w:color="auto" w:sz="4" w:space="0"/>
      </w:pBdr>
      <w:spacing w:before="100" w:beforeAutospacing="1" w:after="100" w:afterAutospacing="1"/>
      <w:jc w:val="left"/>
    </w:pPr>
    <w:rPr>
      <w:rFonts w:ascii="Arial Unicode MS" w:hAnsi="Arial Unicode MS" w:eastAsia="Arial Unicode MS"/>
      <w:kern w:val="0"/>
      <w:sz w:val="24"/>
      <w:szCs w:val="20"/>
    </w:rPr>
  </w:style>
  <w:style w:type="paragraph" w:customStyle="1" w:styleId="1570">
    <w:name w:val="样式 小四 行距: 1.5 倍行距"/>
    <w:basedOn w:val="1"/>
    <w:autoRedefine/>
    <w:qFormat/>
    <w:uiPriority w:val="39"/>
    <w:pPr>
      <w:spacing w:line="360" w:lineRule="auto"/>
      <w:ind w:firstLine="200" w:firstLineChars="200"/>
    </w:pPr>
    <w:rPr>
      <w:rFonts w:cs="宋体"/>
      <w:kern w:val="0"/>
      <w:sz w:val="24"/>
      <w:szCs w:val="20"/>
    </w:rPr>
  </w:style>
  <w:style w:type="paragraph" w:customStyle="1" w:styleId="1571">
    <w:name w:val="样式 表格文字 + (西文) Times New Roman (中文) 黑体 两端对齐 行距: 1.5 倍行距"/>
    <w:basedOn w:val="149"/>
    <w:autoRedefine/>
    <w:qFormat/>
    <w:uiPriority w:val="99"/>
    <w:pPr>
      <w:widowControl w:val="0"/>
      <w:spacing w:line="360" w:lineRule="auto"/>
      <w:ind w:firstLine="300" w:firstLineChars="300"/>
      <w:jc w:val="both"/>
    </w:pPr>
    <w:rPr>
      <w:rFonts w:ascii="Times New Roman" w:hAnsi="Times New Roman" w:eastAsia="黑体" w:cs="宋体"/>
      <w:lang w:val="en-US"/>
    </w:rPr>
  </w:style>
  <w:style w:type="paragraph" w:customStyle="1" w:styleId="1572">
    <w:name w:val="环表"/>
    <w:basedOn w:val="317"/>
    <w:autoRedefine/>
    <w:qFormat/>
    <w:uiPriority w:val="0"/>
    <w:pPr>
      <w:tabs>
        <w:tab w:val="left" w:pos="1464"/>
        <w:tab w:val="left" w:pos="5094"/>
      </w:tabs>
      <w:suppressAutoHyphens w:val="0"/>
      <w:snapToGrid w:val="0"/>
      <w:spacing w:before="120" w:after="120" w:line="324" w:lineRule="auto"/>
      <w:ind w:left="7" w:right="29" w:firstLine="539" w:firstLineChars="0"/>
      <w:jc w:val="center"/>
    </w:pPr>
    <w:rPr>
      <w:rFonts w:ascii="仿宋_GB2312" w:hAnsi="Courier New" w:eastAsia="仿宋_GB2312"/>
      <w:sz w:val="21"/>
    </w:rPr>
  </w:style>
  <w:style w:type="paragraph" w:customStyle="1" w:styleId="1573">
    <w:name w:val="xl36"/>
    <w:basedOn w:val="1"/>
    <w:autoRedefine/>
    <w:qFormat/>
    <w:uiPriority w:val="0"/>
    <w:pPr>
      <w:widowControl/>
      <w:pBdr>
        <w:left w:val="single" w:color="auto" w:sz="12" w:space="0"/>
        <w:bottom w:val="single" w:color="auto" w:sz="12"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574">
    <w:name w:val="xl133"/>
    <w:basedOn w:val="1"/>
    <w:autoRedefine/>
    <w:qFormat/>
    <w:uiPriority w:val="99"/>
    <w:pPr>
      <w:widowControl/>
      <w:pBdr>
        <w:right w:val="single" w:color="auto" w:sz="4" w:space="0"/>
      </w:pBdr>
      <w:spacing w:before="100" w:beforeAutospacing="1" w:after="100" w:afterAutospacing="1"/>
      <w:jc w:val="center"/>
    </w:pPr>
    <w:rPr>
      <w:rFonts w:ascii="Arial Unicode MS" w:hAnsi="Arial Unicode MS"/>
      <w:kern w:val="0"/>
      <w:sz w:val="12"/>
      <w:szCs w:val="12"/>
    </w:rPr>
  </w:style>
  <w:style w:type="paragraph" w:customStyle="1" w:styleId="1575">
    <w:name w:val="表后"/>
    <w:basedOn w:val="1"/>
    <w:next w:val="1"/>
    <w:autoRedefine/>
    <w:qFormat/>
    <w:uiPriority w:val="39"/>
    <w:pPr>
      <w:adjustRightInd w:val="0"/>
      <w:spacing w:before="120" w:line="360" w:lineRule="auto"/>
      <w:ind w:firstLine="493"/>
      <w:textAlignment w:val="baseline"/>
    </w:pPr>
    <w:rPr>
      <w:rFonts w:ascii="宋体" w:hAnsi="宋体"/>
      <w:spacing w:val="-2"/>
      <w:kern w:val="0"/>
      <w:sz w:val="24"/>
    </w:rPr>
  </w:style>
  <w:style w:type="paragraph" w:customStyle="1" w:styleId="1576">
    <w:name w:val="xl119"/>
    <w:basedOn w:val="1"/>
    <w:autoRedefine/>
    <w:qFormat/>
    <w:uiPriority w:val="99"/>
    <w:pPr>
      <w:widowControl/>
      <w:spacing w:before="100" w:beforeAutospacing="1" w:after="100" w:afterAutospacing="1"/>
      <w:jc w:val="center"/>
      <w:textAlignment w:val="center"/>
    </w:pPr>
    <w:rPr>
      <w:rFonts w:ascii="Arial Unicode MS" w:hAnsi="Arial Unicode MS"/>
      <w:kern w:val="0"/>
      <w:sz w:val="16"/>
      <w:szCs w:val="16"/>
    </w:rPr>
  </w:style>
  <w:style w:type="paragraph" w:customStyle="1" w:styleId="1577">
    <w:name w:val="图框文字"/>
    <w:basedOn w:val="1"/>
    <w:autoRedefine/>
    <w:qFormat/>
    <w:uiPriority w:val="0"/>
    <w:pPr>
      <w:jc w:val="center"/>
    </w:pPr>
  </w:style>
  <w:style w:type="paragraph" w:customStyle="1" w:styleId="1578">
    <w:name w:val="样式 样式 标题 2节 + (西文) Times New Roman (中文) 宋体 四号 段前: 0.5 行 段后: 0......"/>
    <w:basedOn w:val="1"/>
    <w:autoRedefine/>
    <w:qFormat/>
    <w:uiPriority w:val="0"/>
    <w:pPr>
      <w:keepNext/>
      <w:keepLines/>
      <w:tabs>
        <w:tab w:val="left" w:pos="720"/>
      </w:tabs>
      <w:adjustRightInd w:val="0"/>
      <w:snapToGrid w:val="0"/>
      <w:spacing w:beforeLines="90" w:afterLines="90"/>
      <w:ind w:left="397" w:hanging="397"/>
      <w:outlineLvl w:val="1"/>
    </w:pPr>
    <w:rPr>
      <w:rFonts w:ascii="楷体_GB2312" w:eastAsia="楷体_GB2312"/>
      <w:b/>
      <w:bCs/>
      <w:sz w:val="28"/>
      <w:szCs w:val="28"/>
    </w:rPr>
  </w:style>
  <w:style w:type="paragraph" w:customStyle="1" w:styleId="1579">
    <w:name w:val="标题45"/>
    <w:basedOn w:val="1"/>
    <w:autoRedefine/>
    <w:qFormat/>
    <w:uiPriority w:val="0"/>
    <w:pPr>
      <w:adjustRightInd w:val="0"/>
      <w:snapToGrid w:val="0"/>
      <w:spacing w:line="300" w:lineRule="auto"/>
      <w:jc w:val="left"/>
    </w:pPr>
    <w:rPr>
      <w:rFonts w:ascii="黑体" w:eastAsia="黑体"/>
      <w:bCs/>
      <w:sz w:val="24"/>
    </w:rPr>
  </w:style>
  <w:style w:type="paragraph" w:customStyle="1" w:styleId="1580">
    <w:name w:val="xl148"/>
    <w:basedOn w:val="1"/>
    <w:autoRedefine/>
    <w:qFormat/>
    <w:uiPriority w:val="99"/>
    <w:pPr>
      <w:widowControl/>
      <w:pBdr>
        <w:bottom w:val="single" w:color="auto" w:sz="8" w:space="0"/>
      </w:pBdr>
      <w:spacing w:before="100" w:beforeAutospacing="1" w:after="100" w:afterAutospacing="1"/>
      <w:jc w:val="left"/>
    </w:pPr>
    <w:rPr>
      <w:rFonts w:ascii="Arial Unicode MS" w:hAnsi="Arial Unicode MS"/>
      <w:kern w:val="0"/>
    </w:rPr>
  </w:style>
  <w:style w:type="paragraph" w:customStyle="1" w:styleId="1581">
    <w:name w:val="文件名称"/>
    <w:basedOn w:val="1"/>
    <w:next w:val="1"/>
    <w:autoRedefine/>
    <w:qFormat/>
    <w:uiPriority w:val="0"/>
    <w:pPr>
      <w:spacing w:beforeLines="100"/>
      <w:jc w:val="center"/>
    </w:pPr>
    <w:rPr>
      <w:rFonts w:ascii="黑体" w:eastAsia="黑体"/>
      <w:sz w:val="84"/>
      <w:szCs w:val="20"/>
    </w:rPr>
  </w:style>
  <w:style w:type="paragraph" w:customStyle="1" w:styleId="1582">
    <w:name w:val="xl152"/>
    <w:basedOn w:val="1"/>
    <w:autoRedefine/>
    <w:qFormat/>
    <w:uiPriority w:val="99"/>
    <w:pPr>
      <w:widowControl/>
      <w:spacing w:before="100" w:beforeAutospacing="1" w:after="100" w:afterAutospacing="1"/>
      <w:jc w:val="left"/>
      <w:textAlignment w:val="center"/>
    </w:pPr>
    <w:rPr>
      <w:rFonts w:ascii="Arial Unicode MS" w:hAnsi="Arial Unicode MS"/>
      <w:kern w:val="0"/>
      <w:sz w:val="16"/>
      <w:szCs w:val="16"/>
    </w:rPr>
  </w:style>
  <w:style w:type="paragraph" w:customStyle="1" w:styleId="1583">
    <w:name w:val="默认段落字体 Para Char Char Char Char Char Char Char Char Char Char Char Char1 Char"/>
    <w:basedOn w:val="1"/>
    <w:autoRedefine/>
    <w:qFormat/>
    <w:uiPriority w:val="99"/>
    <w:rPr>
      <w:sz w:val="24"/>
    </w:rPr>
  </w:style>
  <w:style w:type="paragraph" w:customStyle="1" w:styleId="1584">
    <w:name w:val="表内宋5112"/>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1585">
    <w:name w:val="表格文字居左"/>
    <w:basedOn w:val="86"/>
    <w:autoRedefine/>
    <w:qFormat/>
    <w:uiPriority w:val="39"/>
    <w:pPr>
      <w:tabs>
        <w:tab w:val="left" w:pos="628"/>
        <w:tab w:val="left" w:pos="1727"/>
        <w:tab w:val="left" w:pos="1884"/>
      </w:tabs>
      <w:snapToGrid w:val="0"/>
      <w:spacing w:before="50" w:after="100" w:afterAutospacing="1"/>
      <w:ind w:left="26" w:firstLine="0" w:firstLineChars="0"/>
      <w:jc w:val="left"/>
      <w:outlineLvl w:val="0"/>
    </w:pPr>
    <w:rPr>
      <w:rFonts w:ascii="宋体" w:hAnsi="宋体"/>
      <w:sz w:val="24"/>
      <w:szCs w:val="28"/>
    </w:rPr>
  </w:style>
  <w:style w:type="paragraph" w:customStyle="1" w:styleId="1586">
    <w:name w:val="标题 B"/>
    <w:basedOn w:val="4"/>
    <w:autoRedefine/>
    <w:qFormat/>
    <w:uiPriority w:val="39"/>
  </w:style>
  <w:style w:type="paragraph" w:customStyle="1" w:styleId="1587">
    <w:name w:val="xl126"/>
    <w:basedOn w:val="1"/>
    <w:autoRedefine/>
    <w:qFormat/>
    <w:uiPriority w:val="99"/>
    <w:pPr>
      <w:widowControl/>
      <w:pBdr>
        <w:left w:val="single" w:color="auto" w:sz="4" w:space="0"/>
        <w:bottom w:val="single" w:color="auto" w:sz="8" w:space="0"/>
      </w:pBdr>
      <w:spacing w:before="100" w:beforeAutospacing="1" w:after="100" w:afterAutospacing="1"/>
      <w:jc w:val="left"/>
    </w:pPr>
    <w:rPr>
      <w:rFonts w:ascii="Arial Unicode MS" w:hAnsi="Arial Unicode MS"/>
      <w:kern w:val="0"/>
      <w:sz w:val="16"/>
      <w:szCs w:val="16"/>
    </w:rPr>
  </w:style>
  <w:style w:type="paragraph" w:customStyle="1" w:styleId="1588">
    <w:name w:val="正文内容"/>
    <w:basedOn w:val="1"/>
    <w:autoRedefine/>
    <w:qFormat/>
    <w:uiPriority w:val="39"/>
    <w:pPr>
      <w:adjustRightInd w:val="0"/>
      <w:snapToGrid w:val="0"/>
      <w:spacing w:line="360" w:lineRule="auto"/>
      <w:ind w:firstLine="496" w:firstLineChars="200"/>
    </w:pPr>
    <w:rPr>
      <w:rFonts w:ascii="宋体" w:hAnsi="宋体"/>
      <w:snapToGrid w:val="0"/>
      <w:spacing w:val="4"/>
      <w:kern w:val="0"/>
      <w:sz w:val="24"/>
      <w:szCs w:val="20"/>
    </w:rPr>
  </w:style>
  <w:style w:type="paragraph" w:customStyle="1" w:styleId="1589">
    <w:name w:val="xl103"/>
    <w:basedOn w:val="1"/>
    <w:autoRedefine/>
    <w:qFormat/>
    <w:uiPriority w:val="0"/>
    <w:pPr>
      <w:widowControl/>
      <w:pBdr>
        <w:left w:val="single" w:color="auto" w:sz="4" w:space="0"/>
        <w:right w:val="single" w:color="auto" w:sz="12"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590">
    <w:name w:val="xl138"/>
    <w:basedOn w:val="1"/>
    <w:autoRedefine/>
    <w:qFormat/>
    <w:uiPriority w:val="99"/>
    <w:pPr>
      <w:widowControl/>
      <w:pBdr>
        <w:left w:val="single" w:color="auto" w:sz="4" w:space="0"/>
        <w:bottom w:val="single" w:color="auto" w:sz="8" w:space="0"/>
      </w:pBdr>
      <w:spacing w:before="100" w:beforeAutospacing="1" w:after="100" w:afterAutospacing="1"/>
      <w:jc w:val="center"/>
      <w:textAlignment w:val="center"/>
    </w:pPr>
    <w:rPr>
      <w:kern w:val="0"/>
      <w:sz w:val="12"/>
      <w:szCs w:val="12"/>
    </w:rPr>
  </w:style>
  <w:style w:type="paragraph" w:customStyle="1" w:styleId="1591">
    <w:name w:val="表题1421"/>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1592">
    <w:name w:val="Char Char Char Char Char Char Char Char Char Char Char1 Char Char Char Char Char Char1"/>
    <w:basedOn w:val="1"/>
    <w:autoRedefine/>
    <w:qFormat/>
    <w:uiPriority w:val="39"/>
    <w:rPr>
      <w:sz w:val="24"/>
    </w:rPr>
  </w:style>
  <w:style w:type="paragraph" w:customStyle="1" w:styleId="1593">
    <w:name w:val="正文格式111"/>
    <w:basedOn w:val="1"/>
    <w:autoRedefine/>
    <w:qFormat/>
    <w:uiPriority w:val="0"/>
    <w:pPr>
      <w:spacing w:line="360" w:lineRule="auto"/>
      <w:ind w:firstLine="482"/>
    </w:pPr>
    <w:rPr>
      <w:rFonts w:ascii="宋体" w:hAnsi="宋体"/>
      <w:sz w:val="24"/>
    </w:rPr>
  </w:style>
  <w:style w:type="paragraph" w:customStyle="1" w:styleId="1594">
    <w:name w:val="xl35"/>
    <w:basedOn w:val="1"/>
    <w:autoRedefine/>
    <w:qFormat/>
    <w:uiPriority w:val="0"/>
    <w:pPr>
      <w:widowControl/>
      <w:pBdr>
        <w:left w:val="single" w:color="auto" w:sz="12"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595">
    <w:name w:val="黑体三号52"/>
    <w:basedOn w:val="418"/>
    <w:autoRedefine/>
    <w:qFormat/>
    <w:uiPriority w:val="0"/>
    <w:pPr>
      <w:jc w:val="center"/>
    </w:pPr>
    <w:rPr>
      <w:rFonts w:ascii="黑体" w:hAnsi="宋体" w:eastAsia="黑体" w:cs="宋体"/>
      <w:bCs/>
      <w:spacing w:val="0"/>
      <w:sz w:val="32"/>
    </w:rPr>
  </w:style>
  <w:style w:type="paragraph" w:customStyle="1" w:styleId="1596">
    <w:name w:val="表内5中5"/>
    <w:basedOn w:val="1"/>
    <w:autoRedefine/>
    <w:qFormat/>
    <w:uiPriority w:val="0"/>
    <w:pPr>
      <w:adjustRightInd w:val="0"/>
      <w:snapToGrid w:val="0"/>
      <w:jc w:val="center"/>
    </w:pPr>
    <w:rPr>
      <w:rFonts w:ascii="宋体" w:hAnsi="宋体" w:cs="Arial"/>
      <w:snapToGrid w:val="0"/>
      <w:color w:val="000000"/>
      <w:szCs w:val="21"/>
    </w:rPr>
  </w:style>
  <w:style w:type="paragraph" w:customStyle="1" w:styleId="1597">
    <w:name w:val="xl89"/>
    <w:basedOn w:val="1"/>
    <w:autoRedefine/>
    <w:qFormat/>
    <w:uiPriority w:val="0"/>
    <w:pPr>
      <w:widowControl/>
      <w:spacing w:before="100" w:beforeAutospacing="1" w:after="100" w:afterAutospacing="1"/>
      <w:jc w:val="center"/>
      <w:textAlignment w:val="center"/>
    </w:pPr>
    <w:rPr>
      <w:rFonts w:ascii="Arial Unicode MS" w:hAnsi="Arial Unicode MS"/>
      <w:kern w:val="0"/>
      <w:sz w:val="12"/>
      <w:szCs w:val="12"/>
    </w:rPr>
  </w:style>
  <w:style w:type="paragraph" w:customStyle="1" w:styleId="1598">
    <w:name w:val="样式 标题 2节节标题 1.1H2（一）Underrubrik1prop2Heading 2 HiddenHea..."/>
    <w:basedOn w:val="4"/>
    <w:autoRedefine/>
    <w:qFormat/>
    <w:uiPriority w:val="99"/>
    <w:pPr>
      <w:tabs>
        <w:tab w:val="left" w:pos="576"/>
      </w:tabs>
      <w:spacing w:beforeLines="50" w:after="0" w:line="360" w:lineRule="auto"/>
      <w:jc w:val="left"/>
    </w:pPr>
    <w:rPr>
      <w:rFonts w:ascii="宋体" w:hAnsi="Arial" w:cs="宋体"/>
      <w:color w:val="000000"/>
      <w:sz w:val="30"/>
      <w:szCs w:val="24"/>
    </w:rPr>
  </w:style>
  <w:style w:type="paragraph" w:customStyle="1" w:styleId="1599">
    <w:name w:val="表格内字体3"/>
    <w:basedOn w:val="418"/>
    <w:next w:val="418"/>
    <w:autoRedefine/>
    <w:qFormat/>
    <w:uiPriority w:val="0"/>
    <w:pPr>
      <w:spacing w:line="240" w:lineRule="auto"/>
      <w:ind w:firstLine="0"/>
      <w:jc w:val="center"/>
    </w:pPr>
    <w:rPr>
      <w:rFonts w:ascii="宋体" w:hAnsi="宋体"/>
      <w:b w:val="0"/>
      <w:spacing w:val="0"/>
      <w:szCs w:val="24"/>
    </w:rPr>
  </w:style>
  <w:style w:type="paragraph" w:customStyle="1" w:styleId="1600">
    <w:name w:val="默认段落字体 Para Char33"/>
    <w:basedOn w:val="1"/>
    <w:autoRedefine/>
    <w:qFormat/>
    <w:uiPriority w:val="0"/>
    <w:pPr>
      <w:spacing w:line="360" w:lineRule="auto"/>
      <w:ind w:firstLine="200" w:firstLineChars="200"/>
    </w:pPr>
    <w:rPr>
      <w:rFonts w:ascii="宋体" w:hAnsi="宋体" w:cs="宋体"/>
      <w:sz w:val="24"/>
    </w:rPr>
  </w:style>
  <w:style w:type="paragraph" w:customStyle="1" w:styleId="1601">
    <w:name w:val="表内宋51122"/>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1602">
    <w:name w:val="正文-1"/>
    <w:basedOn w:val="1"/>
    <w:autoRedefine/>
    <w:qFormat/>
    <w:uiPriority w:val="0"/>
    <w:pPr>
      <w:adjustRightInd w:val="0"/>
      <w:spacing w:line="440" w:lineRule="exact"/>
      <w:ind w:firstLine="200" w:firstLineChars="200"/>
    </w:pPr>
    <w:rPr>
      <w:sz w:val="24"/>
      <w:szCs w:val="20"/>
    </w:rPr>
  </w:style>
  <w:style w:type="paragraph" w:customStyle="1" w:styleId="1603">
    <w:name w:val="xl633"/>
    <w:basedOn w:val="1"/>
    <w:autoRedefine/>
    <w:qFormat/>
    <w:uiPriority w:val="0"/>
    <w:pPr>
      <w:widowControl/>
      <w:spacing w:before="100" w:beforeAutospacing="1" w:after="100" w:afterAutospacing="1"/>
      <w:jc w:val="center"/>
      <w:textAlignment w:val="center"/>
    </w:pPr>
    <w:rPr>
      <w:rFonts w:hint="eastAsia" w:ascii="黑体" w:hAnsi="宋体" w:eastAsia="黑体"/>
      <w:kern w:val="0"/>
      <w:sz w:val="24"/>
    </w:rPr>
  </w:style>
  <w:style w:type="paragraph" w:customStyle="1" w:styleId="1604">
    <w:name w:val="样式112"/>
    <w:basedOn w:val="1605"/>
    <w:autoRedefine/>
    <w:qFormat/>
    <w:uiPriority w:val="0"/>
    <w:pPr>
      <w:tabs>
        <w:tab w:val="left" w:pos="4305"/>
      </w:tabs>
      <w:spacing w:line="240" w:lineRule="auto"/>
      <w:ind w:firstLine="0"/>
      <w:jc w:val="center"/>
    </w:pPr>
    <w:rPr>
      <w:rFonts w:cs="Times New Roman"/>
      <w:b/>
      <w:color w:val="auto"/>
      <w:szCs w:val="20"/>
    </w:rPr>
  </w:style>
  <w:style w:type="paragraph" w:customStyle="1" w:styleId="1605">
    <w:name w:val="表题31"/>
    <w:basedOn w:val="35"/>
    <w:autoRedefine/>
    <w:qFormat/>
    <w:uiPriority w:val="0"/>
    <w:pPr>
      <w:tabs>
        <w:tab w:val="left" w:pos="4305"/>
      </w:tabs>
      <w:adjustRightInd w:val="0"/>
      <w:snapToGrid w:val="0"/>
      <w:spacing w:after="0" w:line="360" w:lineRule="auto"/>
      <w:ind w:left="0" w:leftChars="0" w:firstLine="561"/>
    </w:pPr>
    <w:rPr>
      <w:rFonts w:ascii="宋体" w:hAnsi="宋体" w:cs="宋体"/>
      <w:color w:val="000000"/>
      <w:szCs w:val="24"/>
      <w:lang w:val="en-US"/>
    </w:rPr>
  </w:style>
  <w:style w:type="paragraph" w:customStyle="1" w:styleId="1606">
    <w:name w:val="xl49"/>
    <w:basedOn w:val="1"/>
    <w:autoRedefine/>
    <w:qFormat/>
    <w:uiPriority w:val="0"/>
    <w:pPr>
      <w:widowControl/>
      <w:pBdr>
        <w:left w:val="single" w:color="auto" w:sz="4"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607">
    <w:name w:val="表内文字小2124"/>
    <w:basedOn w:val="1"/>
    <w:autoRedefine/>
    <w:qFormat/>
    <w:uiPriority w:val="0"/>
    <w:pPr>
      <w:adjustRightInd w:val="0"/>
      <w:snapToGrid w:val="0"/>
      <w:jc w:val="center"/>
    </w:pPr>
    <w:rPr>
      <w:rFonts w:ascii="宋体" w:hAnsi="Times"/>
      <w:bCs/>
      <w:color w:val="000000"/>
      <w:szCs w:val="20"/>
    </w:rPr>
  </w:style>
  <w:style w:type="paragraph" w:customStyle="1" w:styleId="1608">
    <w:name w:val="正文修改34"/>
    <w:basedOn w:val="193"/>
    <w:autoRedefine/>
    <w:qFormat/>
    <w:uiPriority w:val="0"/>
    <w:rPr>
      <w:rFonts w:hAnsi="宋体"/>
      <w:color w:val="000000"/>
    </w:rPr>
  </w:style>
  <w:style w:type="paragraph" w:customStyle="1" w:styleId="1609">
    <w:name w:val="InstÀÀll"/>
    <w:autoRedefine/>
    <w:qFormat/>
    <w:uiPriority w:val="99"/>
    <w:pPr>
      <w:tabs>
        <w:tab w:val="left" w:pos="-720"/>
      </w:tabs>
      <w:suppressAutoHyphens/>
      <w:jc w:val="both"/>
    </w:pPr>
    <w:rPr>
      <w:rFonts w:ascii="Courier" w:hAnsi="Courier" w:eastAsia="宋体" w:cs="Times New Roman"/>
      <w:spacing w:val="-3"/>
      <w:sz w:val="24"/>
      <w:lang w:val="en-US" w:eastAsia="sv-SE" w:bidi="ar-SA"/>
    </w:rPr>
  </w:style>
  <w:style w:type="paragraph" w:customStyle="1" w:styleId="1610">
    <w:name w:val="xl118"/>
    <w:basedOn w:val="1"/>
    <w:autoRedefine/>
    <w:qFormat/>
    <w:uiPriority w:val="99"/>
    <w:pPr>
      <w:widowControl/>
      <w:pBdr>
        <w:left w:val="single" w:color="auto" w:sz="12"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611">
    <w:name w:val="默认段落字体 Para Char311"/>
    <w:basedOn w:val="1"/>
    <w:autoRedefine/>
    <w:qFormat/>
    <w:uiPriority w:val="0"/>
    <w:pPr>
      <w:spacing w:line="360" w:lineRule="auto"/>
      <w:ind w:firstLine="200" w:firstLineChars="200"/>
    </w:pPr>
    <w:rPr>
      <w:rFonts w:ascii="宋体" w:hAnsi="宋体" w:cs="宋体"/>
      <w:sz w:val="24"/>
    </w:rPr>
  </w:style>
  <w:style w:type="paragraph" w:customStyle="1" w:styleId="1612">
    <w:name w:val="表内文字小24"/>
    <w:basedOn w:val="1"/>
    <w:autoRedefine/>
    <w:qFormat/>
    <w:uiPriority w:val="0"/>
    <w:pPr>
      <w:adjustRightInd w:val="0"/>
      <w:snapToGrid w:val="0"/>
      <w:jc w:val="center"/>
    </w:pPr>
    <w:rPr>
      <w:rFonts w:ascii="宋体" w:hAnsi="Times"/>
      <w:bCs/>
      <w:color w:val="000000"/>
      <w:szCs w:val="20"/>
    </w:rPr>
  </w:style>
  <w:style w:type="paragraph" w:customStyle="1" w:styleId="1613">
    <w:name w:val="表格内字体12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1614">
    <w:name w:val="Char Char Char Char1 Char Char Char4"/>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1615">
    <w:name w:val="xl177"/>
    <w:basedOn w:val="1"/>
    <w:autoRedefine/>
    <w:qFormat/>
    <w:uiPriority w:val="99"/>
    <w:pPr>
      <w:widowControl/>
      <w:pBdr>
        <w:left w:val="single" w:color="auto" w:sz="4" w:space="0"/>
      </w:pBdr>
      <w:spacing w:before="100" w:beforeAutospacing="1" w:after="100" w:afterAutospacing="1"/>
      <w:jc w:val="center"/>
    </w:pPr>
    <w:rPr>
      <w:rFonts w:ascii="Arial Unicode MS" w:hAnsi="Arial Unicode MS"/>
      <w:kern w:val="0"/>
      <w:sz w:val="12"/>
      <w:szCs w:val="12"/>
    </w:rPr>
  </w:style>
  <w:style w:type="paragraph" w:customStyle="1" w:styleId="1616">
    <w:name w:val="xl39"/>
    <w:basedOn w:val="1"/>
    <w:autoRedefine/>
    <w:qFormat/>
    <w:uiPriority w:val="0"/>
    <w:pPr>
      <w:widowControl/>
      <w:pBdr>
        <w:bottom w:val="single" w:color="auto" w:sz="12" w:space="0"/>
      </w:pBdr>
      <w:spacing w:before="100" w:beforeAutospacing="1" w:after="100" w:afterAutospacing="1"/>
      <w:jc w:val="left"/>
      <w:textAlignment w:val="center"/>
    </w:pPr>
    <w:rPr>
      <w:kern w:val="0"/>
      <w:sz w:val="16"/>
      <w:szCs w:val="16"/>
    </w:rPr>
  </w:style>
  <w:style w:type="paragraph" w:customStyle="1" w:styleId="1617">
    <w:name w:val="燕山正文11111"/>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1618">
    <w:name w:val="xl111"/>
    <w:basedOn w:val="1"/>
    <w:autoRedefine/>
    <w:qFormat/>
    <w:uiPriority w:val="99"/>
    <w:pPr>
      <w:widowControl/>
      <w:pBdr>
        <w:top w:val="single" w:color="auto" w:sz="8"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619">
    <w:name w:val="图表题4"/>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620">
    <w:name w:val="样式 正文缩进 + 宋体 黑色11"/>
    <w:basedOn w:val="9"/>
    <w:autoRedefine/>
    <w:qFormat/>
    <w:uiPriority w:val="0"/>
    <w:pPr>
      <w:spacing w:line="360" w:lineRule="auto"/>
      <w:ind w:firstLine="200"/>
      <w:jc w:val="left"/>
    </w:pPr>
    <w:rPr>
      <w:rFonts w:ascii="宋体" w:hAnsi="宋体"/>
      <w:color w:val="000000"/>
      <w:kern w:val="0"/>
      <w:sz w:val="24"/>
      <w:lang w:val="en-US"/>
    </w:rPr>
  </w:style>
  <w:style w:type="paragraph" w:customStyle="1" w:styleId="1621">
    <w:name w:val="表中文字8"/>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1622">
    <w:name w:val="默认段落字体 Para Char1"/>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1623">
    <w:name w:val="图题41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624">
    <w:name w:val="Char Char Char Char Char Char Char112"/>
    <w:basedOn w:val="1"/>
    <w:autoRedefine/>
    <w:qFormat/>
    <w:uiPriority w:val="0"/>
  </w:style>
  <w:style w:type="paragraph" w:customStyle="1" w:styleId="1625">
    <w:name w:val="样式 样式 正文文本缩进正文文字缩进正文文字 21正文文字( 首段缩进两字） + (中文) 宋体 五号 居中 行距: 固定......"/>
    <w:basedOn w:val="1626"/>
    <w:autoRedefine/>
    <w:qFormat/>
    <w:uiPriority w:val="0"/>
    <w:rPr>
      <w:rFonts w:ascii="宋体"/>
      <w:szCs w:val="20"/>
    </w:rPr>
  </w:style>
  <w:style w:type="paragraph" w:customStyle="1" w:styleId="1626">
    <w:name w:val="样式 正文文本缩进正文文字缩进正文文字 21正文文字( 首段缩进两字） + (中文) 宋体 五号 居中 行距: 固定..."/>
    <w:basedOn w:val="35"/>
    <w:autoRedefine/>
    <w:qFormat/>
    <w:uiPriority w:val="0"/>
    <w:pPr>
      <w:spacing w:after="0" w:line="400" w:lineRule="exact"/>
      <w:ind w:left="0" w:leftChars="0"/>
      <w:jc w:val="center"/>
    </w:pPr>
    <w:rPr>
      <w:rFonts w:cs="宋体"/>
      <w:szCs w:val="24"/>
      <w:lang w:val="en-US"/>
    </w:rPr>
  </w:style>
  <w:style w:type="paragraph" w:customStyle="1" w:styleId="1627">
    <w:name w:val="xl137"/>
    <w:basedOn w:val="1"/>
    <w:autoRedefine/>
    <w:qFormat/>
    <w:uiPriority w:val="99"/>
    <w:pPr>
      <w:widowControl/>
      <w:pBdr>
        <w:bottom w:val="single" w:color="auto" w:sz="8" w:space="0"/>
      </w:pBdr>
      <w:spacing w:before="100" w:beforeAutospacing="1" w:after="100" w:afterAutospacing="1"/>
      <w:jc w:val="left"/>
    </w:pPr>
    <w:rPr>
      <w:rFonts w:ascii="Arial Unicode MS" w:hAnsi="Arial Unicode MS"/>
      <w:kern w:val="0"/>
      <w:sz w:val="12"/>
      <w:szCs w:val="12"/>
    </w:rPr>
  </w:style>
  <w:style w:type="paragraph" w:customStyle="1" w:styleId="1628">
    <w:name w:val="Char Char Char1 Char Char Char Char3"/>
    <w:basedOn w:val="1"/>
    <w:autoRedefine/>
    <w:qFormat/>
    <w:uiPriority w:val="39"/>
    <w:rPr>
      <w:szCs w:val="20"/>
    </w:rPr>
  </w:style>
  <w:style w:type="paragraph" w:customStyle="1" w:styleId="1629">
    <w:name w:val="样式 标题 4 + (西文) Times New Roman (中文) 宋体 小四"/>
    <w:basedOn w:val="6"/>
    <w:autoRedefine/>
    <w:qFormat/>
    <w:uiPriority w:val="0"/>
  </w:style>
  <w:style w:type="paragraph" w:customStyle="1" w:styleId="1630">
    <w:name w:val="表内文字小316"/>
    <w:basedOn w:val="1"/>
    <w:autoRedefine/>
    <w:qFormat/>
    <w:uiPriority w:val="0"/>
    <w:pPr>
      <w:adjustRightInd w:val="0"/>
      <w:snapToGrid w:val="0"/>
      <w:jc w:val="center"/>
    </w:pPr>
    <w:rPr>
      <w:rFonts w:ascii="宋体" w:hAnsi="Times" w:cs="宋体"/>
      <w:bCs/>
      <w:color w:val="003366"/>
      <w:szCs w:val="20"/>
    </w:rPr>
  </w:style>
  <w:style w:type="paragraph" w:customStyle="1" w:styleId="1631">
    <w:name w:val="表内533"/>
    <w:basedOn w:val="1"/>
    <w:autoRedefine/>
    <w:qFormat/>
    <w:uiPriority w:val="0"/>
    <w:pPr>
      <w:adjustRightInd w:val="0"/>
      <w:snapToGrid w:val="0"/>
      <w:spacing w:line="300" w:lineRule="auto"/>
      <w:jc w:val="left"/>
    </w:pPr>
    <w:rPr>
      <w:rFonts w:ascii="宋体"/>
      <w:szCs w:val="20"/>
    </w:rPr>
  </w:style>
  <w:style w:type="paragraph" w:customStyle="1" w:styleId="1632">
    <w:name w:val="封面标准文稿编辑信息12"/>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633">
    <w:name w:val="xl190"/>
    <w:basedOn w:val="1"/>
    <w:autoRedefine/>
    <w:qFormat/>
    <w:uiPriority w:val="99"/>
    <w:pPr>
      <w:widowControl/>
      <w:pBdr>
        <w:top w:val="single" w:color="auto" w:sz="12" w:space="0"/>
      </w:pBdr>
      <w:spacing w:before="100" w:beforeAutospacing="1" w:after="100" w:afterAutospacing="1"/>
      <w:jc w:val="left"/>
      <w:textAlignment w:val="center"/>
    </w:pPr>
    <w:rPr>
      <w:rFonts w:ascii="Arial Unicode MS" w:hAnsi="Arial Unicode MS"/>
      <w:kern w:val="0"/>
      <w:sz w:val="12"/>
      <w:szCs w:val="12"/>
    </w:rPr>
  </w:style>
  <w:style w:type="paragraph" w:customStyle="1" w:styleId="1634">
    <w:name w:val="表23"/>
    <w:basedOn w:val="1"/>
    <w:autoRedefine/>
    <w:qFormat/>
    <w:uiPriority w:val="0"/>
    <w:pPr>
      <w:adjustRightInd w:val="0"/>
      <w:snapToGrid w:val="0"/>
      <w:jc w:val="center"/>
    </w:pPr>
    <w:rPr>
      <w:rFonts w:eastAsia="仿宋_GB2312"/>
      <w:sz w:val="24"/>
    </w:rPr>
  </w:style>
  <w:style w:type="paragraph" w:customStyle="1" w:styleId="1635">
    <w:name w:val="表内54112"/>
    <w:basedOn w:val="1"/>
    <w:autoRedefine/>
    <w:qFormat/>
    <w:uiPriority w:val="0"/>
    <w:pPr>
      <w:adjustRightInd w:val="0"/>
      <w:snapToGrid w:val="0"/>
      <w:spacing w:line="300" w:lineRule="auto"/>
      <w:jc w:val="center"/>
    </w:pPr>
    <w:rPr>
      <w:rFonts w:ascii="宋体" w:hAnsi="宋体" w:cs="宋体"/>
      <w:szCs w:val="20"/>
    </w:rPr>
  </w:style>
  <w:style w:type="paragraph" w:customStyle="1" w:styleId="1636">
    <w:name w:val="图表名称12"/>
    <w:basedOn w:val="86"/>
    <w:autoRedefine/>
    <w:qFormat/>
    <w:uiPriority w:val="0"/>
    <w:pPr>
      <w:widowControl/>
      <w:adjustRightInd w:val="0"/>
      <w:snapToGrid w:val="0"/>
      <w:spacing w:after="0" w:line="480" w:lineRule="exact"/>
      <w:ind w:firstLine="0" w:firstLineChars="0"/>
      <w:jc w:val="center"/>
    </w:pPr>
    <w:rPr>
      <w:rFonts w:ascii="宋体" w:hAnsi="宋体"/>
      <w:bCs/>
      <w:sz w:val="24"/>
      <w:szCs w:val="24"/>
    </w:rPr>
  </w:style>
  <w:style w:type="paragraph" w:customStyle="1" w:styleId="1637">
    <w:name w:val="Char Char Char Char Char"/>
    <w:basedOn w:val="1"/>
    <w:autoRedefine/>
    <w:qFormat/>
    <w:uiPriority w:val="0"/>
    <w:rPr>
      <w:sz w:val="24"/>
      <w:szCs w:val="20"/>
    </w:rPr>
  </w:style>
  <w:style w:type="paragraph" w:customStyle="1" w:styleId="1638">
    <w:name w:val="燕山正文16"/>
    <w:basedOn w:val="1"/>
    <w:autoRedefine/>
    <w:qFormat/>
    <w:uiPriority w:val="0"/>
    <w:pPr>
      <w:tabs>
        <w:tab w:val="left" w:pos="4680"/>
      </w:tabs>
      <w:adjustRightInd w:val="0"/>
      <w:snapToGrid w:val="0"/>
      <w:spacing w:line="480" w:lineRule="exact"/>
    </w:pPr>
    <w:rPr>
      <w:rFonts w:ascii="宋体" w:cs="宋体"/>
      <w:sz w:val="24"/>
    </w:rPr>
  </w:style>
  <w:style w:type="paragraph" w:customStyle="1" w:styleId="1639">
    <w:name w:val="Char Char1 Char Char Char Char Char Char2"/>
    <w:basedOn w:val="1"/>
    <w:autoRedefine/>
    <w:qFormat/>
    <w:uiPriority w:val="39"/>
  </w:style>
  <w:style w:type="paragraph" w:customStyle="1" w:styleId="1640">
    <w:name w:val="样式 正文文本 + 首行缩进:  2 字符4"/>
    <w:basedOn w:val="34"/>
    <w:autoRedefine/>
    <w:qFormat/>
    <w:uiPriority w:val="0"/>
    <w:pPr>
      <w:widowControl w:val="0"/>
      <w:adjustRightInd w:val="0"/>
      <w:snapToGrid/>
      <w:spacing w:before="0" w:after="0" w:line="240" w:lineRule="auto"/>
      <w:ind w:right="0"/>
      <w:textAlignment w:val="baseline"/>
    </w:pPr>
    <w:rPr>
      <w:rFonts w:eastAsia="仿宋_GB2312" w:cs="宋体"/>
      <w:color w:val="000000"/>
      <w:sz w:val="20"/>
      <w:szCs w:val="21"/>
      <w:lang w:val="en-US"/>
    </w:rPr>
  </w:style>
  <w:style w:type="paragraph" w:customStyle="1" w:styleId="1641">
    <w:name w:val="正文格式＝34"/>
    <w:basedOn w:val="418"/>
    <w:next w:val="418"/>
    <w:autoRedefine/>
    <w:qFormat/>
    <w:uiPriority w:val="0"/>
    <w:rPr>
      <w:rFonts w:ascii="宋体" w:hAnsi="宋体"/>
      <w:b w:val="0"/>
      <w:spacing w:val="0"/>
      <w:sz w:val="24"/>
      <w:szCs w:val="24"/>
    </w:rPr>
  </w:style>
  <w:style w:type="paragraph" w:customStyle="1" w:styleId="1642">
    <w:name w:val="表题3142"/>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1643">
    <w:name w:val="表文"/>
    <w:basedOn w:val="34"/>
    <w:next w:val="1"/>
    <w:autoRedefine/>
    <w:qFormat/>
    <w:uiPriority w:val="99"/>
    <w:pPr>
      <w:widowControl w:val="0"/>
      <w:snapToGrid/>
      <w:spacing w:before="0" w:after="0" w:line="360" w:lineRule="auto"/>
      <w:ind w:right="0"/>
      <w:jc w:val="center"/>
    </w:pPr>
    <w:rPr>
      <w:rFonts w:eastAsia="仿宋_GB2312"/>
      <w:sz w:val="24"/>
      <w:lang w:val="en-US"/>
    </w:rPr>
  </w:style>
  <w:style w:type="paragraph" w:customStyle="1" w:styleId="1644">
    <w:name w:val="黑体三号6"/>
    <w:basedOn w:val="418"/>
    <w:autoRedefine/>
    <w:qFormat/>
    <w:uiPriority w:val="0"/>
    <w:pPr>
      <w:jc w:val="center"/>
    </w:pPr>
    <w:rPr>
      <w:rFonts w:ascii="黑体" w:hAnsi="宋体" w:eastAsia="黑体" w:cs="宋体"/>
      <w:bCs/>
      <w:spacing w:val="0"/>
      <w:sz w:val="32"/>
    </w:rPr>
  </w:style>
  <w:style w:type="paragraph" w:customStyle="1" w:styleId="1645">
    <w:name w:val="字元 字元 Char Char 字元 字元11"/>
    <w:basedOn w:val="1"/>
    <w:autoRedefine/>
    <w:qFormat/>
    <w:uiPriority w:val="99"/>
    <w:rPr>
      <w:sz w:val="24"/>
    </w:rPr>
  </w:style>
  <w:style w:type="paragraph" w:customStyle="1" w:styleId="1646">
    <w:name w:val="五号表格"/>
    <w:next w:val="1"/>
    <w:autoRedefine/>
    <w:qFormat/>
    <w:uiPriority w:val="0"/>
    <w:rPr>
      <w:rFonts w:ascii="宋体" w:hAnsi="Times New Roman" w:eastAsia="宋体" w:cs="Times New Roman"/>
      <w:sz w:val="21"/>
      <w:lang w:val="en-US" w:eastAsia="zh-CN" w:bidi="ar-SA"/>
    </w:rPr>
  </w:style>
  <w:style w:type="paragraph" w:customStyle="1" w:styleId="1647">
    <w:name w:val="xl97"/>
    <w:basedOn w:val="1"/>
    <w:autoRedefine/>
    <w:qFormat/>
    <w:uiPriority w:val="0"/>
    <w:pPr>
      <w:widowControl/>
      <w:pBdr>
        <w:top w:val="single" w:color="auto" w:sz="12" w:space="0"/>
        <w:right w:val="single" w:color="auto" w:sz="12"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648">
    <w:name w:val="Char Char Char1 Char Char Char Char Char Char Char Char Char Char Char Char Char Char Char1 Char Char Char Char Char Char Char Char Char Char Char Char2"/>
    <w:basedOn w:val="1"/>
    <w:autoRedefine/>
    <w:qFormat/>
    <w:uiPriority w:val="39"/>
    <w:rPr>
      <w:szCs w:val="21"/>
    </w:rPr>
  </w:style>
  <w:style w:type="paragraph" w:customStyle="1" w:styleId="1649">
    <w:name w:val="Char331"/>
    <w:basedOn w:val="1"/>
    <w:autoRedefine/>
    <w:qFormat/>
    <w:uiPriority w:val="0"/>
    <w:pPr>
      <w:ind w:left="-48"/>
    </w:pPr>
  </w:style>
  <w:style w:type="paragraph" w:customStyle="1" w:styleId="1650">
    <w:name w:val="9 Char Char Char4"/>
    <w:basedOn w:val="1"/>
    <w:autoRedefine/>
    <w:qFormat/>
    <w:uiPriority w:val="0"/>
    <w:pPr>
      <w:spacing w:line="240" w:lineRule="exact"/>
      <w:ind w:firstLine="200" w:firstLineChars="200"/>
    </w:pPr>
    <w:rPr>
      <w:sz w:val="28"/>
      <w:szCs w:val="28"/>
    </w:rPr>
  </w:style>
  <w:style w:type="paragraph" w:customStyle="1" w:styleId="1651">
    <w:name w:val="xl149"/>
    <w:basedOn w:val="1"/>
    <w:autoRedefine/>
    <w:qFormat/>
    <w:uiPriority w:val="99"/>
    <w:pPr>
      <w:widowControl/>
      <w:pBdr>
        <w:bottom w:val="single" w:color="auto" w:sz="8" w:space="0"/>
        <w:right w:val="single" w:color="auto" w:sz="4" w:space="0"/>
      </w:pBdr>
      <w:spacing w:before="100" w:beforeAutospacing="1" w:after="100" w:afterAutospacing="1"/>
      <w:jc w:val="left"/>
    </w:pPr>
    <w:rPr>
      <w:rFonts w:ascii="Arial Unicode MS" w:hAnsi="Arial Unicode MS"/>
      <w:kern w:val="0"/>
    </w:rPr>
  </w:style>
  <w:style w:type="paragraph" w:customStyle="1" w:styleId="1652">
    <w:name w:val="样式 样式3.4.5.1 + 段前: 0.5 行"/>
    <w:basedOn w:val="1653"/>
    <w:autoRedefine/>
    <w:qFormat/>
    <w:uiPriority w:val="99"/>
    <w:rPr>
      <w:rFonts w:cs="宋体"/>
      <w:szCs w:val="20"/>
    </w:rPr>
  </w:style>
  <w:style w:type="paragraph" w:customStyle="1" w:styleId="1653">
    <w:name w:val="样式3.4.5.1"/>
    <w:basedOn w:val="6"/>
    <w:autoRedefine/>
    <w:qFormat/>
    <w:uiPriority w:val="99"/>
    <w:pPr>
      <w:spacing w:beforeLines="50" w:after="0" w:line="360" w:lineRule="auto"/>
      <w:ind w:left="0" w:firstLine="0"/>
    </w:pPr>
    <w:rPr>
      <w:rFonts w:ascii="Times New Roman" w:hAnsi="Times New Roman" w:eastAsia="宋体"/>
      <w:sz w:val="24"/>
      <w:szCs w:val="24"/>
    </w:rPr>
  </w:style>
  <w:style w:type="paragraph" w:customStyle="1" w:styleId="1654">
    <w:name w:val="项目段落"/>
    <w:basedOn w:val="1"/>
    <w:autoRedefine/>
    <w:qFormat/>
    <w:uiPriority w:val="99"/>
    <w:pPr>
      <w:spacing w:before="60" w:line="360" w:lineRule="auto"/>
      <w:ind w:left="476" w:firstLine="482"/>
    </w:pPr>
    <w:rPr>
      <w:rFonts w:ascii="Arial" w:hAnsi="Arial" w:eastAsia="仿宋_GB2312"/>
      <w:kern w:val="0"/>
      <w:sz w:val="24"/>
      <w:szCs w:val="20"/>
    </w:rPr>
  </w:style>
  <w:style w:type="paragraph" w:customStyle="1" w:styleId="1655">
    <w:name w:val="表文字5211"/>
    <w:basedOn w:val="1"/>
    <w:autoRedefine/>
    <w:qFormat/>
    <w:uiPriority w:val="0"/>
    <w:pPr>
      <w:adjustRightInd w:val="0"/>
      <w:jc w:val="left"/>
      <w:textAlignment w:val="baseline"/>
    </w:pPr>
    <w:rPr>
      <w:rFonts w:ascii="宋体"/>
      <w:kern w:val="0"/>
      <w:szCs w:val="20"/>
    </w:rPr>
  </w:style>
  <w:style w:type="paragraph" w:customStyle="1" w:styleId="1656">
    <w:name w:val="表格内字体3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1657">
    <w:name w:val="xl26"/>
    <w:basedOn w:val="1"/>
    <w:autoRedefine/>
    <w:qFormat/>
    <w:uiPriority w:val="0"/>
    <w:pPr>
      <w:widowControl/>
      <w:spacing w:before="100" w:after="100"/>
      <w:jc w:val="center"/>
    </w:pPr>
    <w:rPr>
      <w:rFonts w:ascii="宋体" w:hAnsi="宋体"/>
      <w:kern w:val="0"/>
      <w:sz w:val="24"/>
      <w:szCs w:val="20"/>
    </w:rPr>
  </w:style>
  <w:style w:type="paragraph" w:customStyle="1" w:styleId="1658">
    <w:name w:val="表内文字小3133"/>
    <w:basedOn w:val="1"/>
    <w:autoRedefine/>
    <w:qFormat/>
    <w:uiPriority w:val="0"/>
    <w:pPr>
      <w:adjustRightInd w:val="0"/>
      <w:snapToGrid w:val="0"/>
      <w:jc w:val="center"/>
    </w:pPr>
    <w:rPr>
      <w:rFonts w:ascii="宋体" w:hAnsi="Times" w:cs="宋体"/>
      <w:bCs/>
      <w:color w:val="003366"/>
      <w:szCs w:val="20"/>
    </w:rPr>
  </w:style>
  <w:style w:type="paragraph" w:customStyle="1" w:styleId="1659">
    <w:name w:val="条(三级)"/>
    <w:basedOn w:val="1"/>
    <w:next w:val="1"/>
    <w:autoRedefine/>
    <w:qFormat/>
    <w:uiPriority w:val="39"/>
    <w:pPr>
      <w:keepNext/>
      <w:keepLines/>
      <w:adjustRightInd w:val="0"/>
      <w:snapToGrid w:val="0"/>
      <w:spacing w:beforeLines="20" w:line="460" w:lineRule="exact"/>
      <w:jc w:val="center"/>
      <w:textAlignment w:val="baseline"/>
    </w:pPr>
    <w:rPr>
      <w:rFonts w:hAnsi="宋体"/>
      <w:spacing w:val="3"/>
      <w:kern w:val="24"/>
      <w:sz w:val="24"/>
      <w:szCs w:val="20"/>
    </w:rPr>
  </w:style>
  <w:style w:type="paragraph" w:customStyle="1" w:styleId="1660">
    <w:name w:val="Char214"/>
    <w:basedOn w:val="1"/>
    <w:autoRedefine/>
    <w:qFormat/>
    <w:uiPriority w:val="0"/>
    <w:pPr>
      <w:adjustRightInd w:val="0"/>
      <w:snapToGrid w:val="0"/>
      <w:spacing w:beforeLines="50" w:line="360" w:lineRule="auto"/>
    </w:pPr>
    <w:rPr>
      <w:rFonts w:ascii="黑体" w:eastAsia="黑体"/>
      <w:sz w:val="32"/>
      <w:szCs w:val="32"/>
    </w:rPr>
  </w:style>
  <w:style w:type="paragraph" w:customStyle="1" w:styleId="1661">
    <w:name w:val="表前文"/>
    <w:basedOn w:val="1"/>
    <w:autoRedefine/>
    <w:qFormat/>
    <w:uiPriority w:val="0"/>
    <w:pPr>
      <w:adjustRightInd w:val="0"/>
      <w:spacing w:after="120" w:line="360" w:lineRule="auto"/>
      <w:ind w:firstLine="493"/>
      <w:textAlignment w:val="baseline"/>
    </w:pPr>
    <w:rPr>
      <w:kern w:val="0"/>
      <w:sz w:val="24"/>
    </w:rPr>
  </w:style>
  <w:style w:type="paragraph" w:customStyle="1" w:styleId="1662">
    <w:name w:val="标题43123"/>
    <w:basedOn w:val="1"/>
    <w:autoRedefine/>
    <w:qFormat/>
    <w:uiPriority w:val="0"/>
    <w:pPr>
      <w:adjustRightInd w:val="0"/>
      <w:snapToGrid w:val="0"/>
      <w:spacing w:line="480" w:lineRule="exact"/>
      <w:jc w:val="center"/>
    </w:pPr>
    <w:rPr>
      <w:rFonts w:ascii="宋体" w:hAnsi="宋体" w:cs="宋体"/>
      <w:sz w:val="24"/>
    </w:rPr>
  </w:style>
  <w:style w:type="paragraph" w:customStyle="1" w:styleId="1663">
    <w:name w:val="表内文字小21311"/>
    <w:basedOn w:val="1"/>
    <w:autoRedefine/>
    <w:qFormat/>
    <w:uiPriority w:val="0"/>
    <w:pPr>
      <w:adjustRightInd w:val="0"/>
      <w:snapToGrid w:val="0"/>
      <w:jc w:val="center"/>
      <w:textAlignment w:val="baseline"/>
    </w:pPr>
    <w:rPr>
      <w:rFonts w:ascii="宋体" w:hAnsi="Times"/>
      <w:bCs/>
      <w:color w:val="000000"/>
      <w:szCs w:val="20"/>
    </w:rPr>
  </w:style>
  <w:style w:type="paragraph" w:customStyle="1" w:styleId="1664">
    <w:name w:val="正文文本缩进 32"/>
    <w:basedOn w:val="1"/>
    <w:autoRedefine/>
    <w:qFormat/>
    <w:uiPriority w:val="99"/>
    <w:pPr>
      <w:spacing w:after="120"/>
      <w:ind w:left="420" w:leftChars="200"/>
    </w:pPr>
    <w:rPr>
      <w:rFonts w:eastAsia="仿宋_GB2312"/>
      <w:sz w:val="16"/>
      <w:szCs w:val="16"/>
    </w:rPr>
  </w:style>
  <w:style w:type="paragraph" w:customStyle="1" w:styleId="1665">
    <w:name w:val="样式114"/>
    <w:basedOn w:val="1605"/>
    <w:autoRedefine/>
    <w:qFormat/>
    <w:uiPriority w:val="0"/>
    <w:pPr>
      <w:spacing w:line="240" w:lineRule="auto"/>
      <w:ind w:firstLine="0"/>
      <w:jc w:val="center"/>
    </w:pPr>
    <w:rPr>
      <w:rFonts w:cs="Times New Roman"/>
      <w:b/>
      <w:color w:val="auto"/>
      <w:szCs w:val="20"/>
    </w:rPr>
  </w:style>
  <w:style w:type="paragraph" w:customStyle="1" w:styleId="1666">
    <w:name w:val="表内文字小2131"/>
    <w:basedOn w:val="1"/>
    <w:autoRedefine/>
    <w:qFormat/>
    <w:uiPriority w:val="0"/>
    <w:pPr>
      <w:adjustRightInd w:val="0"/>
      <w:snapToGrid w:val="0"/>
      <w:jc w:val="center"/>
      <w:textAlignment w:val="baseline"/>
    </w:pPr>
    <w:rPr>
      <w:rFonts w:ascii="宋体" w:hAnsi="Times"/>
      <w:bCs/>
      <w:color w:val="000000"/>
      <w:szCs w:val="20"/>
    </w:rPr>
  </w:style>
  <w:style w:type="paragraph" w:customStyle="1" w:styleId="1667">
    <w:name w:val="表中文字33"/>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1668">
    <w:name w:val="表内宋5114"/>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1669">
    <w:name w:val="表题313"/>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1670">
    <w:name w:val="表题133"/>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1671">
    <w:name w:val="图题33"/>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672">
    <w:name w:val="燕山正文1111"/>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1673">
    <w:name w:val="xl180"/>
    <w:basedOn w:val="1"/>
    <w:autoRedefine/>
    <w:qFormat/>
    <w:uiPriority w:val="99"/>
    <w:pPr>
      <w:widowControl/>
      <w:pBdr>
        <w:left w:val="single" w:color="auto" w:sz="4" w:space="0"/>
        <w:right w:val="single" w:color="auto" w:sz="4"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674">
    <w:name w:val="样式 样式 宋体 + 首行缩进:  2 字符111"/>
    <w:basedOn w:val="1"/>
    <w:autoRedefine/>
    <w:qFormat/>
    <w:uiPriority w:val="0"/>
    <w:pPr>
      <w:spacing w:line="360" w:lineRule="auto"/>
      <w:ind w:firstLine="480" w:firstLineChars="200"/>
      <w:jc w:val="left"/>
    </w:pPr>
    <w:rPr>
      <w:rFonts w:ascii="宋体" w:cs="宋体"/>
      <w:sz w:val="24"/>
    </w:rPr>
  </w:style>
  <w:style w:type="paragraph" w:customStyle="1" w:styleId="1675">
    <w:name w:val="xl156"/>
    <w:basedOn w:val="1"/>
    <w:autoRedefine/>
    <w:qFormat/>
    <w:uiPriority w:val="99"/>
    <w:pPr>
      <w:widowControl/>
      <w:pBdr>
        <w:left w:val="single" w:color="auto" w:sz="4" w:space="0"/>
        <w:right w:val="single" w:color="auto" w:sz="4" w:space="0"/>
      </w:pBdr>
      <w:spacing w:before="100" w:beforeAutospacing="1" w:after="100" w:afterAutospacing="1"/>
      <w:jc w:val="left"/>
    </w:pPr>
    <w:rPr>
      <w:rFonts w:ascii="Arial Unicode MS" w:hAnsi="Arial Unicode MS"/>
      <w:kern w:val="0"/>
      <w:sz w:val="20"/>
      <w:szCs w:val="20"/>
    </w:rPr>
  </w:style>
  <w:style w:type="paragraph" w:customStyle="1" w:styleId="1676">
    <w:name w:val="附件311"/>
    <w:basedOn w:val="3"/>
    <w:next w:val="418"/>
    <w:autoRedefine/>
    <w:qFormat/>
    <w:uiPriority w:val="0"/>
    <w:pPr>
      <w:keepLines/>
      <w:tabs>
        <w:tab w:val="left" w:pos="1566"/>
      </w:tabs>
      <w:overflowPunct/>
      <w:adjustRightInd w:val="0"/>
      <w:spacing w:before="0" w:after="120" w:line="360" w:lineRule="auto"/>
      <w:ind w:left="0" w:firstLine="0"/>
      <w:jc w:val="left"/>
    </w:pPr>
    <w:rPr>
      <w:rFonts w:ascii="黑体" w:hAnsi="宋体"/>
      <w:b w:val="0"/>
      <w:color w:val="auto"/>
      <w:sz w:val="32"/>
      <w:szCs w:val="32"/>
    </w:rPr>
  </w:style>
  <w:style w:type="paragraph" w:customStyle="1" w:styleId="1677">
    <w:name w:val="批注框文本 Char Char"/>
    <w:basedOn w:val="1"/>
    <w:autoRedefine/>
    <w:qFormat/>
    <w:uiPriority w:val="0"/>
    <w:rPr>
      <w:sz w:val="18"/>
      <w:szCs w:val="20"/>
    </w:rPr>
  </w:style>
  <w:style w:type="paragraph" w:customStyle="1" w:styleId="1678">
    <w:name w:val="表题316"/>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1679">
    <w:name w:val="表题132"/>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1680">
    <w:name w:val="四级条标题"/>
    <w:basedOn w:val="1681"/>
    <w:next w:val="1"/>
    <w:autoRedefine/>
    <w:qFormat/>
    <w:uiPriority w:val="0"/>
    <w:pPr>
      <w:tabs>
        <w:tab w:val="left" w:pos="360"/>
        <w:tab w:val="left" w:pos="864"/>
        <w:tab w:val="left" w:pos="903"/>
        <w:tab w:val="left" w:pos="1008"/>
        <w:tab w:val="left" w:pos="1080"/>
        <w:tab w:val="left" w:pos="1152"/>
        <w:tab w:val="left" w:pos="1260"/>
        <w:tab w:val="left" w:pos="1400"/>
        <w:tab w:val="left" w:pos="1680"/>
        <w:tab w:val="left" w:pos="1820"/>
        <w:tab w:val="left" w:pos="2100"/>
        <w:tab w:val="left" w:pos="2240"/>
        <w:tab w:val="left" w:pos="2520"/>
        <w:tab w:val="left" w:pos="2660"/>
        <w:tab w:val="left" w:pos="3080"/>
      </w:tabs>
      <w:ind w:left="2520"/>
      <w:outlineLvl w:val="5"/>
    </w:pPr>
  </w:style>
  <w:style w:type="paragraph" w:customStyle="1" w:styleId="1681">
    <w:name w:val="三级条标题"/>
    <w:basedOn w:val="1682"/>
    <w:next w:val="1"/>
    <w:autoRedefine/>
    <w:qFormat/>
    <w:uiPriority w:val="0"/>
    <w:pPr>
      <w:tabs>
        <w:tab w:val="left" w:pos="360"/>
        <w:tab w:val="left" w:pos="864"/>
        <w:tab w:val="left" w:pos="903"/>
        <w:tab w:val="left" w:pos="1008"/>
        <w:tab w:val="left" w:pos="1080"/>
        <w:tab w:val="left" w:pos="1260"/>
        <w:tab w:val="left" w:pos="1400"/>
        <w:tab w:val="left" w:pos="1680"/>
        <w:tab w:val="left" w:pos="1820"/>
        <w:tab w:val="left" w:pos="2100"/>
        <w:tab w:val="left" w:pos="2240"/>
        <w:tab w:val="left" w:pos="2660"/>
      </w:tabs>
      <w:ind w:left="2100"/>
      <w:outlineLvl w:val="4"/>
    </w:pPr>
  </w:style>
  <w:style w:type="paragraph" w:customStyle="1" w:styleId="1682">
    <w:name w:val="二级条标题"/>
    <w:basedOn w:val="1683"/>
    <w:next w:val="1"/>
    <w:autoRedefine/>
    <w:qFormat/>
    <w:uiPriority w:val="0"/>
    <w:pPr>
      <w:tabs>
        <w:tab w:val="left" w:pos="360"/>
        <w:tab w:val="left" w:pos="864"/>
        <w:tab w:val="left" w:pos="903"/>
        <w:tab w:val="left" w:pos="1080"/>
        <w:tab w:val="left" w:pos="1260"/>
        <w:tab w:val="left" w:pos="1400"/>
        <w:tab w:val="left" w:pos="1680"/>
        <w:tab w:val="left" w:pos="1820"/>
        <w:tab w:val="left" w:pos="2240"/>
      </w:tabs>
      <w:ind w:left="1680"/>
      <w:outlineLvl w:val="3"/>
    </w:pPr>
  </w:style>
  <w:style w:type="paragraph" w:customStyle="1" w:styleId="1683">
    <w:name w:val="一级条标题"/>
    <w:basedOn w:val="1684"/>
    <w:next w:val="1"/>
    <w:autoRedefine/>
    <w:qFormat/>
    <w:uiPriority w:val="0"/>
    <w:pPr>
      <w:tabs>
        <w:tab w:val="left" w:pos="360"/>
        <w:tab w:val="left" w:pos="903"/>
        <w:tab w:val="left" w:pos="1080"/>
        <w:tab w:val="left" w:pos="1260"/>
        <w:tab w:val="left" w:pos="1400"/>
        <w:tab w:val="left" w:pos="1820"/>
      </w:tabs>
      <w:spacing w:before="0" w:after="0"/>
      <w:ind w:left="1260" w:hanging="420"/>
      <w:outlineLvl w:val="2"/>
    </w:pPr>
  </w:style>
  <w:style w:type="paragraph" w:customStyle="1" w:styleId="1684">
    <w:name w:val="章标题"/>
    <w:next w:val="1"/>
    <w:autoRedefine/>
    <w:qFormat/>
    <w:uiPriority w:val="99"/>
    <w:pPr>
      <w:tabs>
        <w:tab w:val="left" w:pos="903"/>
        <w:tab w:val="left" w:pos="1400"/>
      </w:tabs>
      <w:spacing w:before="50" w:after="50"/>
      <w:ind w:left="903" w:hanging="315"/>
      <w:jc w:val="both"/>
      <w:outlineLvl w:val="1"/>
    </w:pPr>
    <w:rPr>
      <w:rFonts w:ascii="黑体" w:hAnsi="Times New Roman" w:eastAsia="黑体" w:cs="Times New Roman"/>
      <w:sz w:val="21"/>
      <w:lang w:val="en-US" w:eastAsia="zh-CN" w:bidi="ar-SA"/>
    </w:rPr>
  </w:style>
  <w:style w:type="paragraph" w:customStyle="1" w:styleId="1685">
    <w:name w:val="xl61"/>
    <w:basedOn w:val="1"/>
    <w:autoRedefine/>
    <w:qFormat/>
    <w:uiPriority w:val="0"/>
    <w:pPr>
      <w:widowControl/>
      <w:spacing w:before="100" w:beforeAutospacing="1" w:after="100" w:afterAutospacing="1"/>
      <w:jc w:val="left"/>
    </w:pPr>
    <w:rPr>
      <w:rFonts w:ascii="Arial Unicode MS" w:hAnsi="Arial Unicode MS"/>
      <w:kern w:val="0"/>
      <w:sz w:val="12"/>
      <w:szCs w:val="12"/>
    </w:rPr>
  </w:style>
  <w:style w:type="paragraph" w:customStyle="1" w:styleId="1686">
    <w:name w:val="正文格式＝112"/>
    <w:basedOn w:val="418"/>
    <w:next w:val="418"/>
    <w:autoRedefine/>
    <w:qFormat/>
    <w:uiPriority w:val="0"/>
    <w:rPr>
      <w:rFonts w:ascii="宋体" w:hAnsi="宋体"/>
      <w:b w:val="0"/>
      <w:spacing w:val="0"/>
      <w:sz w:val="24"/>
      <w:szCs w:val="24"/>
    </w:rPr>
  </w:style>
  <w:style w:type="paragraph" w:customStyle="1" w:styleId="1687">
    <w:name w:val="图名"/>
    <w:basedOn w:val="1688"/>
    <w:autoRedefine/>
    <w:qFormat/>
    <w:uiPriority w:val="39"/>
    <w:pPr>
      <w:textAlignment w:val="baseline"/>
    </w:pPr>
  </w:style>
  <w:style w:type="paragraph" w:customStyle="1" w:styleId="1688">
    <w:name w:val="表名"/>
    <w:basedOn w:val="1"/>
    <w:autoRedefine/>
    <w:qFormat/>
    <w:uiPriority w:val="99"/>
    <w:pPr>
      <w:adjustRightInd w:val="0"/>
      <w:spacing w:before="120" w:after="120" w:line="380" w:lineRule="atLeast"/>
      <w:ind w:firstLine="425"/>
      <w:jc w:val="center"/>
    </w:pPr>
    <w:rPr>
      <w:kern w:val="0"/>
      <w:sz w:val="24"/>
      <w:szCs w:val="20"/>
    </w:rPr>
  </w:style>
  <w:style w:type="paragraph" w:customStyle="1" w:styleId="1689">
    <w:name w:val="xl24"/>
    <w:basedOn w:val="1"/>
    <w:autoRedefine/>
    <w:qFormat/>
    <w:uiPriority w:val="0"/>
    <w:pPr>
      <w:widowControl/>
      <w:pBdr>
        <w:bottom w:val="single" w:color="auto" w:sz="4" w:space="0"/>
        <w:right w:val="single" w:color="auto" w:sz="4" w:space="0"/>
      </w:pBdr>
      <w:spacing w:before="100" w:beforeAutospacing="1" w:after="100" w:afterAutospacing="1"/>
      <w:jc w:val="center"/>
    </w:pPr>
    <w:rPr>
      <w:rFonts w:eastAsia="Arial Unicode MS"/>
      <w:kern w:val="0"/>
      <w:sz w:val="24"/>
    </w:rPr>
  </w:style>
  <w:style w:type="paragraph" w:customStyle="1" w:styleId="1690">
    <w:name w:val="xl188"/>
    <w:basedOn w:val="1"/>
    <w:autoRedefine/>
    <w:qFormat/>
    <w:uiPriority w:val="99"/>
    <w:pPr>
      <w:widowControl/>
      <w:spacing w:before="100" w:beforeAutospacing="1" w:after="100" w:afterAutospacing="1"/>
      <w:jc w:val="left"/>
      <w:textAlignment w:val="center"/>
    </w:pPr>
    <w:rPr>
      <w:kern w:val="0"/>
      <w:sz w:val="12"/>
      <w:szCs w:val="12"/>
    </w:rPr>
  </w:style>
  <w:style w:type="paragraph" w:customStyle="1" w:styleId="1691">
    <w:name w:val="燕山正文11211"/>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1692">
    <w:name w:val="表24"/>
    <w:basedOn w:val="1"/>
    <w:autoRedefine/>
    <w:qFormat/>
    <w:uiPriority w:val="0"/>
    <w:pPr>
      <w:adjustRightInd w:val="0"/>
      <w:snapToGrid w:val="0"/>
      <w:jc w:val="center"/>
    </w:pPr>
    <w:rPr>
      <w:rFonts w:eastAsia="仿宋_GB2312"/>
      <w:sz w:val="24"/>
    </w:rPr>
  </w:style>
  <w:style w:type="paragraph" w:customStyle="1" w:styleId="1693">
    <w:name w:val="默认段落字体 Para Char Char Char Char12"/>
    <w:basedOn w:val="1"/>
    <w:autoRedefine/>
    <w:qFormat/>
    <w:uiPriority w:val="0"/>
  </w:style>
  <w:style w:type="paragraph" w:customStyle="1" w:styleId="1694">
    <w:name w:val="样式 标题 3 + 左侧:  2 字符 段前: 0.5 行1"/>
    <w:basedOn w:val="5"/>
    <w:autoRedefine/>
    <w:qFormat/>
    <w:uiPriority w:val="39"/>
    <w:pPr>
      <w:ind w:left="720" w:hanging="432"/>
    </w:pPr>
    <w:rPr>
      <w:kern w:val="0"/>
      <w:lang w:val="en-US"/>
    </w:rPr>
  </w:style>
  <w:style w:type="paragraph" w:customStyle="1" w:styleId="1695">
    <w:name w:val="图题注4"/>
    <w:basedOn w:val="22"/>
    <w:autoRedefine/>
    <w:qFormat/>
    <w:uiPriority w:val="0"/>
    <w:pPr>
      <w:widowControl w:val="0"/>
      <w:spacing w:after="0" w:line="240" w:lineRule="auto"/>
      <w:ind w:left="0" w:right="0" w:firstLine="0"/>
      <w:jc w:val="center"/>
    </w:pPr>
    <w:rPr>
      <w:rFonts w:ascii="黑体" w:hAnsi="Arial" w:cs="宋体"/>
      <w:b/>
      <w:bCs/>
      <w:color w:val="auto"/>
      <w:sz w:val="24"/>
      <w:szCs w:val="24"/>
    </w:rPr>
  </w:style>
  <w:style w:type="paragraph" w:customStyle="1" w:styleId="1696">
    <w:name w:val="Char Char Char Char1 Char Char Char5"/>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1697">
    <w:name w:val="xl181"/>
    <w:basedOn w:val="1"/>
    <w:autoRedefine/>
    <w:qFormat/>
    <w:uiPriority w:val="99"/>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698">
    <w:name w:val="样式 表内小5 + 黑体 加粗 倾斜 下划线11"/>
    <w:basedOn w:val="1"/>
    <w:autoRedefine/>
    <w:qFormat/>
    <w:uiPriority w:val="0"/>
    <w:pPr>
      <w:adjustRightInd w:val="0"/>
      <w:snapToGrid w:val="0"/>
      <w:spacing w:line="300" w:lineRule="auto"/>
      <w:jc w:val="left"/>
    </w:pPr>
    <w:rPr>
      <w:rFonts w:ascii="黑体" w:hAnsi="黑体" w:eastAsia="黑体"/>
      <w:b/>
      <w:bCs/>
      <w:i/>
      <w:iCs/>
      <w:sz w:val="18"/>
      <w:u w:val="single"/>
    </w:rPr>
  </w:style>
  <w:style w:type="paragraph" w:customStyle="1" w:styleId="1699">
    <w:name w:val="xl186"/>
    <w:basedOn w:val="1"/>
    <w:autoRedefine/>
    <w:qFormat/>
    <w:uiPriority w:val="99"/>
    <w:pPr>
      <w:widowControl/>
      <w:pBdr>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kern w:val="0"/>
      <w:sz w:val="16"/>
      <w:szCs w:val="16"/>
    </w:rPr>
  </w:style>
  <w:style w:type="paragraph" w:customStyle="1" w:styleId="1700">
    <w:name w:val="Char310"/>
    <w:basedOn w:val="1"/>
    <w:autoRedefine/>
    <w:qFormat/>
    <w:uiPriority w:val="0"/>
    <w:pPr>
      <w:ind w:left="-48"/>
    </w:pPr>
  </w:style>
  <w:style w:type="paragraph" w:customStyle="1" w:styleId="1701">
    <w:name w:val="图题注3"/>
    <w:basedOn w:val="22"/>
    <w:autoRedefine/>
    <w:qFormat/>
    <w:uiPriority w:val="0"/>
    <w:pPr>
      <w:widowControl w:val="0"/>
      <w:spacing w:after="0" w:line="240" w:lineRule="auto"/>
      <w:ind w:left="0" w:right="0" w:firstLine="0"/>
      <w:jc w:val="center"/>
    </w:pPr>
    <w:rPr>
      <w:rFonts w:ascii="黑体" w:hAnsi="Arial" w:cs="宋体"/>
      <w:b/>
      <w:bCs/>
      <w:color w:val="auto"/>
      <w:sz w:val="24"/>
      <w:szCs w:val="24"/>
    </w:rPr>
  </w:style>
  <w:style w:type="paragraph" w:customStyle="1" w:styleId="1702">
    <w:name w:val="样式-1-"/>
    <w:basedOn w:val="55"/>
    <w:autoRedefine/>
    <w:qFormat/>
    <w:uiPriority w:val="99"/>
    <w:rPr>
      <w:rFonts w:ascii="Calibri" w:hAnsi="Calibri"/>
      <w:szCs w:val="18"/>
      <w:lang w:val="en-US"/>
    </w:rPr>
  </w:style>
  <w:style w:type="paragraph" w:customStyle="1" w:styleId="1703">
    <w:name w:val="Char Char Char Char Char Char Char26"/>
    <w:basedOn w:val="1"/>
    <w:autoRedefine/>
    <w:qFormat/>
    <w:uiPriority w:val="0"/>
  </w:style>
  <w:style w:type="paragraph" w:customStyle="1" w:styleId="1704">
    <w:name w:val="附件33"/>
    <w:basedOn w:val="3"/>
    <w:next w:val="418"/>
    <w:autoRedefine/>
    <w:qFormat/>
    <w:uiPriority w:val="0"/>
    <w:pPr>
      <w:keepLines/>
      <w:tabs>
        <w:tab w:val="left" w:pos="1566"/>
      </w:tabs>
      <w:overflowPunct/>
      <w:adjustRightInd w:val="0"/>
      <w:spacing w:beforeLines="100" w:after="120" w:line="360" w:lineRule="auto"/>
      <w:ind w:left="0" w:firstLine="0"/>
    </w:pPr>
    <w:rPr>
      <w:rFonts w:ascii="黑体" w:hAnsi="宋体"/>
      <w:color w:val="auto"/>
      <w:sz w:val="32"/>
      <w:szCs w:val="32"/>
    </w:rPr>
  </w:style>
  <w:style w:type="paragraph" w:customStyle="1" w:styleId="1705">
    <w:name w:val="book1_1_1"/>
    <w:basedOn w:val="5"/>
    <w:autoRedefine/>
    <w:qFormat/>
    <w:uiPriority w:val="0"/>
    <w:pPr>
      <w:ind w:left="720" w:hanging="432"/>
    </w:pPr>
    <w:rPr>
      <w:kern w:val="0"/>
      <w:lang w:val="en-US"/>
    </w:rPr>
  </w:style>
  <w:style w:type="paragraph" w:customStyle="1" w:styleId="1706">
    <w:name w:val="Char Char Char Char Char Char Char9"/>
    <w:basedOn w:val="1"/>
    <w:autoRedefine/>
    <w:qFormat/>
    <w:uiPriority w:val="0"/>
  </w:style>
  <w:style w:type="paragraph" w:customStyle="1" w:styleId="1707">
    <w:name w:val="a9"/>
    <w:basedOn w:val="1"/>
    <w:autoRedefine/>
    <w:qFormat/>
    <w:uiPriority w:val="39"/>
    <w:pPr>
      <w:widowControl/>
      <w:spacing w:before="100" w:beforeAutospacing="1" w:after="100" w:afterAutospacing="1"/>
      <w:jc w:val="left"/>
    </w:pPr>
    <w:rPr>
      <w:rFonts w:hint="eastAsia" w:ascii="宋体" w:hAnsi="宋体"/>
      <w:kern w:val="0"/>
      <w:sz w:val="18"/>
      <w:szCs w:val="18"/>
    </w:rPr>
  </w:style>
  <w:style w:type="paragraph" w:customStyle="1" w:styleId="1708">
    <w:name w:val="样式 样式 标题2.2 + 段前: 0.5 行"/>
    <w:basedOn w:val="1400"/>
    <w:autoRedefine/>
    <w:qFormat/>
    <w:uiPriority w:val="99"/>
    <w:pPr>
      <w:spacing w:beforeLines="0"/>
    </w:pPr>
  </w:style>
  <w:style w:type="paragraph" w:customStyle="1" w:styleId="1709">
    <w:name w:val="xl157"/>
    <w:basedOn w:val="1"/>
    <w:autoRedefine/>
    <w:qFormat/>
    <w:uiPriority w:val="99"/>
    <w:pPr>
      <w:widowControl/>
      <w:pBdr>
        <w:left w:val="single" w:color="auto" w:sz="4" w:space="0"/>
        <w:bottom w:val="single" w:color="auto" w:sz="4" w:space="0"/>
        <w:right w:val="single" w:color="auto" w:sz="4" w:space="0"/>
      </w:pBdr>
      <w:spacing w:before="100" w:beforeAutospacing="1" w:after="100" w:afterAutospacing="1"/>
      <w:jc w:val="left"/>
    </w:pPr>
    <w:rPr>
      <w:rFonts w:ascii="Arial Unicode MS" w:hAnsi="Arial Unicode MS"/>
      <w:kern w:val="0"/>
      <w:sz w:val="20"/>
      <w:szCs w:val="20"/>
    </w:rPr>
  </w:style>
  <w:style w:type="paragraph" w:customStyle="1" w:styleId="1710">
    <w:name w:val="Char Char2 Char Char Char Char4"/>
    <w:basedOn w:val="1"/>
    <w:autoRedefine/>
    <w:qFormat/>
    <w:uiPriority w:val="0"/>
  </w:style>
  <w:style w:type="paragraph" w:customStyle="1" w:styleId="1711">
    <w:name w:val="样式 宋体 首行缩进:  0.93 厘米 段前: 6 磅 段后: 6 磅 行距: 固定值 16 磅"/>
    <w:basedOn w:val="1"/>
    <w:autoRedefine/>
    <w:qFormat/>
    <w:uiPriority w:val="0"/>
    <w:pPr>
      <w:snapToGrid w:val="0"/>
      <w:spacing w:before="160" w:after="160" w:line="320" w:lineRule="exact"/>
      <w:ind w:firstLine="527"/>
    </w:pPr>
    <w:rPr>
      <w:rFonts w:ascii="宋体" w:hAnsi="宋体" w:cs="宋体"/>
      <w:sz w:val="24"/>
      <w:szCs w:val="20"/>
    </w:rPr>
  </w:style>
  <w:style w:type="paragraph" w:customStyle="1" w:styleId="1712">
    <w:name w:val="xl166"/>
    <w:basedOn w:val="1"/>
    <w:autoRedefine/>
    <w:qFormat/>
    <w:uiPriority w:val="99"/>
    <w:pPr>
      <w:widowControl/>
      <w:pBdr>
        <w:left w:val="single" w:color="auto" w:sz="12" w:space="0"/>
        <w:bottom w:val="single" w:color="auto" w:sz="12" w:space="0"/>
      </w:pBdr>
      <w:spacing w:before="100" w:beforeAutospacing="1" w:after="100" w:afterAutospacing="1"/>
      <w:jc w:val="center"/>
      <w:textAlignment w:val="center"/>
    </w:pPr>
    <w:rPr>
      <w:rFonts w:ascii="Arial Unicode MS" w:hAnsi="Arial Unicode MS"/>
      <w:kern w:val="0"/>
    </w:rPr>
  </w:style>
  <w:style w:type="paragraph" w:customStyle="1" w:styleId="1713">
    <w:name w:val="Char Char Char1 Char Char Char Char Char Char Char Char Char Char Char Char Char Char Char Char Char Char Char Char Char Char"/>
    <w:basedOn w:val="1"/>
    <w:autoRedefine/>
    <w:qFormat/>
    <w:uiPriority w:val="0"/>
    <w:rPr>
      <w:szCs w:val="20"/>
    </w:rPr>
  </w:style>
  <w:style w:type="paragraph" w:customStyle="1" w:styleId="1714">
    <w:name w:val="正文格式6"/>
    <w:basedOn w:val="1"/>
    <w:autoRedefine/>
    <w:qFormat/>
    <w:uiPriority w:val="0"/>
    <w:pPr>
      <w:spacing w:line="360" w:lineRule="auto"/>
      <w:ind w:firstLine="482"/>
    </w:pPr>
    <w:rPr>
      <w:rFonts w:ascii="宋体" w:hAnsi="宋体"/>
      <w:sz w:val="24"/>
    </w:rPr>
  </w:style>
  <w:style w:type="paragraph" w:customStyle="1" w:styleId="1715">
    <w:name w:val="无列表1"/>
    <w:autoRedefine/>
    <w:qFormat/>
    <w:uiPriority w:val="99"/>
    <w:pPr>
      <w:spacing w:line="351" w:lineRule="atLeast"/>
      <w:ind w:firstLine="419"/>
      <w:jc w:val="both"/>
      <w:textAlignment w:val="baseline"/>
    </w:pPr>
    <w:rPr>
      <w:rFonts w:ascii="Times New Roman" w:hAnsi="Times New Roman" w:eastAsia="宋体" w:cs="Times New Roman"/>
      <w:color w:val="000000"/>
      <w:sz w:val="21"/>
      <w:u w:color="000000"/>
      <w:lang w:val="en-US" w:eastAsia="zh-CN" w:bidi="ar-SA"/>
    </w:rPr>
  </w:style>
  <w:style w:type="paragraph" w:customStyle="1" w:styleId="1716">
    <w:name w:val="16"/>
    <w:basedOn w:val="1"/>
    <w:next w:val="45"/>
    <w:autoRedefine/>
    <w:qFormat/>
    <w:uiPriority w:val="0"/>
    <w:pPr>
      <w:spacing w:line="500" w:lineRule="exact"/>
    </w:pPr>
    <w:rPr>
      <w:rFonts w:ascii="宋体" w:hAnsi="Courier New" w:eastAsia="仿宋_GB2312"/>
      <w:sz w:val="28"/>
      <w:szCs w:val="20"/>
    </w:rPr>
  </w:style>
  <w:style w:type="paragraph" w:customStyle="1" w:styleId="1717">
    <w:name w:val="样式 标题 4 + 黑色 左侧:  -0.01 厘米 首行缩进:  0.01 厘米"/>
    <w:basedOn w:val="6"/>
    <w:autoRedefine/>
    <w:qFormat/>
    <w:uiPriority w:val="99"/>
  </w:style>
  <w:style w:type="paragraph" w:customStyle="1" w:styleId="1718">
    <w:name w:val="表内宋512"/>
    <w:basedOn w:val="1719"/>
    <w:autoRedefine/>
    <w:qFormat/>
    <w:uiPriority w:val="0"/>
    <w:pPr>
      <w:widowControl/>
      <w:autoSpaceDE w:val="0"/>
      <w:autoSpaceDN w:val="0"/>
      <w:jc w:val="left"/>
      <w:textAlignment w:val="auto"/>
    </w:pPr>
    <w:rPr>
      <w:color w:val="auto"/>
      <w:w w:val="90"/>
    </w:rPr>
  </w:style>
  <w:style w:type="paragraph" w:customStyle="1" w:styleId="1719">
    <w:name w:val="表内宋5中"/>
    <w:basedOn w:val="1"/>
    <w:autoRedefine/>
    <w:qFormat/>
    <w:uiPriority w:val="0"/>
    <w:pPr>
      <w:adjustRightInd w:val="0"/>
      <w:snapToGrid w:val="0"/>
      <w:textAlignment w:val="baseline"/>
    </w:pPr>
    <w:rPr>
      <w:color w:val="000000"/>
      <w:kern w:val="0"/>
      <w:szCs w:val="20"/>
    </w:rPr>
  </w:style>
  <w:style w:type="paragraph" w:customStyle="1" w:styleId="1720">
    <w:name w:val="xl52"/>
    <w:basedOn w:val="1"/>
    <w:autoRedefine/>
    <w:qFormat/>
    <w:uiPriority w:val="0"/>
    <w:pPr>
      <w:widowControl/>
      <w:pBdr>
        <w:top w:val="single" w:color="auto" w:sz="12" w:space="0"/>
        <w:left w:val="single" w:color="auto" w:sz="12" w:space="0"/>
        <w:right w:val="single" w:color="auto" w:sz="4" w:space="0"/>
      </w:pBdr>
      <w:spacing w:before="100" w:beforeAutospacing="1" w:after="100" w:afterAutospacing="1"/>
      <w:jc w:val="left"/>
    </w:pPr>
    <w:rPr>
      <w:rFonts w:ascii="Arial Unicode MS" w:hAnsi="Arial Unicode MS"/>
      <w:kern w:val="0"/>
      <w:sz w:val="16"/>
      <w:szCs w:val="16"/>
    </w:rPr>
  </w:style>
  <w:style w:type="paragraph" w:customStyle="1" w:styleId="1721">
    <w:name w:val="样式 标题 2标题 2 Char标2h2H2标题21.1标题 2 + Times New Roman"/>
    <w:basedOn w:val="4"/>
    <w:autoRedefine/>
    <w:qFormat/>
    <w:uiPriority w:val="0"/>
  </w:style>
  <w:style w:type="paragraph" w:customStyle="1" w:styleId="1722">
    <w:name w:val="sss"/>
    <w:basedOn w:val="1"/>
    <w:autoRedefine/>
    <w:qFormat/>
    <w:uiPriority w:val="0"/>
    <w:pPr>
      <w:tabs>
        <w:tab w:val="left" w:pos="480"/>
        <w:tab w:val="left" w:pos="648"/>
      </w:tabs>
      <w:autoSpaceDE w:val="0"/>
      <w:autoSpaceDN w:val="0"/>
      <w:adjustRightInd w:val="0"/>
      <w:ind w:left="432" w:hanging="144"/>
    </w:pPr>
    <w:rPr>
      <w:rFonts w:ascii="Bookman Old Style" w:hAnsi="Bookman Old Style" w:cs="Arial"/>
      <w:bCs/>
      <w:kern w:val="0"/>
      <w:sz w:val="22"/>
      <w:szCs w:val="20"/>
    </w:rPr>
  </w:style>
  <w:style w:type="paragraph" w:customStyle="1" w:styleId="1723">
    <w:name w:val="字元 字元 Char Char 字元 字元1"/>
    <w:basedOn w:val="1"/>
    <w:autoRedefine/>
    <w:qFormat/>
    <w:uiPriority w:val="99"/>
    <w:rPr>
      <w:sz w:val="24"/>
    </w:rPr>
  </w:style>
  <w:style w:type="paragraph" w:customStyle="1" w:styleId="1724">
    <w:name w:val="目次、标准名称标题"/>
    <w:basedOn w:val="1541"/>
    <w:next w:val="949"/>
    <w:autoRedefine/>
    <w:qFormat/>
    <w:uiPriority w:val="39"/>
    <w:pPr>
      <w:tabs>
        <w:tab w:val="clear" w:pos="903"/>
        <w:tab w:val="clear" w:pos="980"/>
      </w:tabs>
      <w:spacing w:line="460" w:lineRule="exact"/>
      <w:ind w:left="0" w:firstLine="0"/>
    </w:pPr>
  </w:style>
  <w:style w:type="paragraph" w:customStyle="1" w:styleId="1725">
    <w:name w:val="正文表格"/>
    <w:basedOn w:val="1"/>
    <w:autoRedefine/>
    <w:qFormat/>
    <w:uiPriority w:val="0"/>
    <w:pPr>
      <w:keepNext/>
      <w:keepLines/>
      <w:overflowPunct w:val="0"/>
      <w:adjustRightInd w:val="0"/>
      <w:spacing w:before="80" w:line="500" w:lineRule="exact"/>
      <w:jc w:val="center"/>
      <w:textAlignment w:val="bottom"/>
    </w:pPr>
    <w:rPr>
      <w:rFonts w:eastAsia="仿宋_GB2312"/>
      <w:kern w:val="0"/>
      <w:sz w:val="28"/>
      <w:szCs w:val="20"/>
    </w:rPr>
  </w:style>
  <w:style w:type="paragraph" w:customStyle="1" w:styleId="1726">
    <w:name w:val="字元3"/>
    <w:basedOn w:val="1"/>
    <w:autoRedefine/>
    <w:qFormat/>
    <w:uiPriority w:val="99"/>
    <w:rPr>
      <w:sz w:val="24"/>
    </w:rPr>
  </w:style>
  <w:style w:type="paragraph" w:customStyle="1" w:styleId="1727">
    <w:name w:val="xl70"/>
    <w:basedOn w:val="1"/>
    <w:autoRedefine/>
    <w:qFormat/>
    <w:uiPriority w:val="0"/>
    <w:pPr>
      <w:widowControl/>
      <w:pBdr>
        <w:top w:val="single" w:color="auto" w:sz="8" w:space="0"/>
        <w:left w:val="single" w:color="auto" w:sz="8" w:space="0"/>
        <w:right w:val="single" w:color="auto" w:sz="8" w:space="0"/>
      </w:pBdr>
      <w:spacing w:before="100" w:beforeAutospacing="1" w:after="100" w:afterAutospacing="1"/>
      <w:jc w:val="center"/>
    </w:pPr>
    <w:rPr>
      <w:rFonts w:ascii="宋体" w:hAnsi="宋体" w:cs="宋体"/>
      <w:kern w:val="0"/>
      <w:szCs w:val="21"/>
    </w:rPr>
  </w:style>
  <w:style w:type="paragraph" w:customStyle="1" w:styleId="1728">
    <w:name w:val="Char Char Char Char Char Char Char Char Char Char Char1 Char Char Char Char Char Char1 Char2"/>
    <w:basedOn w:val="1"/>
    <w:autoRedefine/>
    <w:qFormat/>
    <w:uiPriority w:val="39"/>
    <w:rPr>
      <w:sz w:val="24"/>
    </w:rPr>
  </w:style>
  <w:style w:type="paragraph" w:customStyle="1" w:styleId="1729">
    <w:name w:val="表图1"/>
    <w:basedOn w:val="1"/>
    <w:autoRedefine/>
    <w:qFormat/>
    <w:uiPriority w:val="39"/>
    <w:pPr>
      <w:spacing w:line="360" w:lineRule="exact"/>
      <w:ind w:firstLine="200" w:firstLineChars="200"/>
      <w:jc w:val="center"/>
    </w:pPr>
    <w:rPr>
      <w:rFonts w:ascii="仿宋_GB2312" w:eastAsia="仿宋_GB2312"/>
      <w:sz w:val="28"/>
    </w:rPr>
  </w:style>
  <w:style w:type="paragraph" w:customStyle="1" w:styleId="1730">
    <w:name w:val="xl134"/>
    <w:basedOn w:val="1"/>
    <w:autoRedefine/>
    <w:qFormat/>
    <w:uiPriority w:val="99"/>
    <w:pPr>
      <w:widowControl/>
      <w:spacing w:before="100" w:beforeAutospacing="1" w:after="100" w:afterAutospacing="1"/>
      <w:jc w:val="left"/>
    </w:pPr>
    <w:rPr>
      <w:rFonts w:ascii="Arial Unicode MS" w:hAnsi="Arial Unicode MS"/>
      <w:kern w:val="0"/>
      <w:sz w:val="20"/>
      <w:szCs w:val="20"/>
    </w:rPr>
  </w:style>
  <w:style w:type="paragraph" w:customStyle="1" w:styleId="1731">
    <w:name w:val="表格的文字"/>
    <w:basedOn w:val="1"/>
    <w:autoRedefine/>
    <w:qFormat/>
    <w:uiPriority w:val="0"/>
    <w:pPr>
      <w:spacing w:line="300" w:lineRule="exact"/>
      <w:jc w:val="center"/>
    </w:pPr>
    <w:rPr>
      <w:rFonts w:ascii="仿宋_GB2312" w:eastAsia="仿宋_GB2312"/>
      <w:bCs/>
      <w:szCs w:val="20"/>
    </w:rPr>
  </w:style>
  <w:style w:type="paragraph" w:customStyle="1" w:styleId="1732">
    <w:name w:val="xl107"/>
    <w:basedOn w:val="1"/>
    <w:autoRedefine/>
    <w:qFormat/>
    <w:uiPriority w:val="99"/>
    <w:pPr>
      <w:widowControl/>
      <w:pBdr>
        <w:bottom w:val="single" w:color="auto" w:sz="8"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733">
    <w:name w:val="xl151"/>
    <w:basedOn w:val="1"/>
    <w:autoRedefine/>
    <w:qFormat/>
    <w:uiPriority w:val="99"/>
    <w:pPr>
      <w:widowControl/>
      <w:spacing w:before="100" w:beforeAutospacing="1" w:after="100" w:afterAutospacing="1"/>
      <w:jc w:val="left"/>
    </w:pPr>
    <w:rPr>
      <w:kern w:val="0"/>
      <w:sz w:val="16"/>
      <w:szCs w:val="16"/>
    </w:rPr>
  </w:style>
  <w:style w:type="paragraph" w:customStyle="1" w:styleId="1734">
    <w:name w:val="表文字56"/>
    <w:basedOn w:val="1"/>
    <w:autoRedefine/>
    <w:qFormat/>
    <w:uiPriority w:val="0"/>
    <w:pPr>
      <w:adjustRightInd w:val="0"/>
      <w:jc w:val="left"/>
      <w:textAlignment w:val="baseline"/>
    </w:pPr>
    <w:rPr>
      <w:rFonts w:ascii="宋体"/>
      <w:kern w:val="0"/>
      <w:szCs w:val="20"/>
    </w:rPr>
  </w:style>
  <w:style w:type="paragraph" w:customStyle="1" w:styleId="1735">
    <w:name w:val="图题3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736">
    <w:name w:val="xl121"/>
    <w:basedOn w:val="1"/>
    <w:autoRedefine/>
    <w:qFormat/>
    <w:uiPriority w:val="99"/>
    <w:pPr>
      <w:widowControl/>
      <w:spacing w:before="100" w:beforeAutospacing="1" w:after="100" w:afterAutospacing="1"/>
      <w:jc w:val="left"/>
    </w:pPr>
    <w:rPr>
      <w:rFonts w:ascii="Arial Unicode MS" w:hAnsi="Arial Unicode MS"/>
      <w:kern w:val="0"/>
      <w:sz w:val="16"/>
      <w:szCs w:val="16"/>
    </w:rPr>
  </w:style>
  <w:style w:type="paragraph" w:customStyle="1" w:styleId="1737">
    <w:name w:val="Char4211"/>
    <w:basedOn w:val="1"/>
    <w:autoRedefine/>
    <w:qFormat/>
    <w:uiPriority w:val="0"/>
    <w:pPr>
      <w:ind w:left="-48"/>
    </w:pPr>
  </w:style>
  <w:style w:type="paragraph" w:customStyle="1" w:styleId="1738">
    <w:name w:val="标题4121"/>
    <w:basedOn w:val="6"/>
    <w:next w:val="1"/>
    <w:autoRedefine/>
    <w:qFormat/>
    <w:uiPriority w:val="0"/>
    <w:pPr>
      <w:spacing w:before="160" w:after="170" w:line="360" w:lineRule="auto"/>
      <w:ind w:left="0" w:firstLine="0"/>
    </w:pPr>
    <w:rPr>
      <w:rFonts w:ascii="黑体"/>
      <w:sz w:val="24"/>
    </w:rPr>
  </w:style>
  <w:style w:type="paragraph" w:customStyle="1" w:styleId="1739">
    <w:name w:val="xl106"/>
    <w:basedOn w:val="1"/>
    <w:autoRedefine/>
    <w:qFormat/>
    <w:uiPriority w:val="0"/>
    <w:pPr>
      <w:widowControl/>
      <w:pBdr>
        <w:left w:val="single" w:color="auto" w:sz="12"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740">
    <w:name w:val="dandan6-13正文 Char Char Char"/>
    <w:basedOn w:val="1"/>
    <w:next w:val="1"/>
    <w:autoRedefine/>
    <w:qFormat/>
    <w:uiPriority w:val="99"/>
    <w:pPr>
      <w:keepNext/>
      <w:keepLines/>
      <w:widowControl/>
      <w:adjustRightInd w:val="0"/>
      <w:spacing w:before="40" w:after="40" w:line="360" w:lineRule="auto"/>
      <w:ind w:firstLine="200" w:firstLineChars="200"/>
      <w:textAlignment w:val="baseline"/>
    </w:pPr>
    <w:rPr>
      <w:rFonts w:cs="宋体"/>
      <w:kern w:val="0"/>
      <w:sz w:val="24"/>
      <w:szCs w:val="28"/>
    </w:rPr>
  </w:style>
  <w:style w:type="paragraph" w:customStyle="1" w:styleId="1741">
    <w:name w:val="ST20_55"/>
    <w:basedOn w:val="1"/>
    <w:autoRedefine/>
    <w:qFormat/>
    <w:uiPriority w:val="39"/>
    <w:pPr>
      <w:tabs>
        <w:tab w:val="left" w:pos="2160"/>
      </w:tabs>
      <w:autoSpaceDE w:val="0"/>
      <w:autoSpaceDN w:val="0"/>
      <w:adjustRightInd w:val="0"/>
      <w:spacing w:after="80" w:line="360" w:lineRule="atLeast"/>
      <w:ind w:left="2160" w:hanging="360"/>
      <w:jc w:val="left"/>
      <w:textAlignment w:val="baseline"/>
    </w:pPr>
    <w:rPr>
      <w:rFonts w:ascii="宋体" w:hAnsi="Tms Rmn"/>
      <w:kern w:val="0"/>
      <w:sz w:val="28"/>
      <w:szCs w:val="20"/>
    </w:rPr>
  </w:style>
  <w:style w:type="paragraph" w:customStyle="1" w:styleId="1742">
    <w:name w:val="Char10"/>
    <w:basedOn w:val="1"/>
    <w:autoRedefine/>
    <w:qFormat/>
    <w:uiPriority w:val="0"/>
    <w:pPr>
      <w:adjustRightInd w:val="0"/>
      <w:snapToGrid w:val="0"/>
      <w:spacing w:line="360" w:lineRule="auto"/>
    </w:pPr>
  </w:style>
  <w:style w:type="paragraph" w:customStyle="1" w:styleId="1743">
    <w:name w:val="正文修改12"/>
    <w:basedOn w:val="193"/>
    <w:autoRedefine/>
    <w:qFormat/>
    <w:uiPriority w:val="0"/>
    <w:rPr>
      <w:rFonts w:hAnsi="宋体"/>
      <w:color w:val="000000"/>
    </w:rPr>
  </w:style>
  <w:style w:type="paragraph" w:customStyle="1" w:styleId="1744">
    <w:name w:val="样式2"/>
    <w:basedOn w:val="4"/>
    <w:autoRedefine/>
    <w:qFormat/>
    <w:uiPriority w:val="0"/>
  </w:style>
  <w:style w:type="paragraph" w:customStyle="1" w:styleId="1745">
    <w:name w:val="表题112"/>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1746">
    <w:name w:val="表题13"/>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1747">
    <w:name w:val="xl178"/>
    <w:basedOn w:val="1"/>
    <w:autoRedefine/>
    <w:qFormat/>
    <w:uiPriority w:val="99"/>
    <w:pPr>
      <w:widowControl/>
      <w:spacing w:before="100" w:beforeAutospacing="1" w:after="100" w:afterAutospacing="1"/>
      <w:jc w:val="center"/>
    </w:pPr>
    <w:rPr>
      <w:rFonts w:ascii="Arial Unicode MS" w:hAnsi="Arial Unicode MS"/>
      <w:kern w:val="0"/>
      <w:sz w:val="12"/>
      <w:szCs w:val="12"/>
    </w:rPr>
  </w:style>
  <w:style w:type="paragraph" w:customStyle="1" w:styleId="1748">
    <w:name w:val="Char Char Char Char Char Char Char1211"/>
    <w:basedOn w:val="1"/>
    <w:autoRedefine/>
    <w:qFormat/>
    <w:uiPriority w:val="0"/>
    <w:rPr>
      <w:szCs w:val="20"/>
    </w:rPr>
  </w:style>
  <w:style w:type="paragraph" w:customStyle="1" w:styleId="1749">
    <w:name w:val="xl96"/>
    <w:basedOn w:val="1"/>
    <w:autoRedefine/>
    <w:qFormat/>
    <w:uiPriority w:val="0"/>
    <w:pPr>
      <w:widowControl/>
      <w:pBdr>
        <w:left w:val="single" w:color="auto" w:sz="12" w:space="0"/>
        <w:bottom w:val="single" w:color="auto" w:sz="12" w:space="0"/>
        <w:right w:val="single" w:color="auto" w:sz="4" w:space="0"/>
      </w:pBdr>
      <w:spacing w:before="100" w:beforeAutospacing="1" w:after="100" w:afterAutospacing="1"/>
      <w:jc w:val="center"/>
    </w:pPr>
    <w:rPr>
      <w:rFonts w:ascii="Arial Unicode MS" w:hAnsi="Arial Unicode MS"/>
      <w:kern w:val="0"/>
      <w:sz w:val="12"/>
      <w:szCs w:val="12"/>
    </w:rPr>
  </w:style>
  <w:style w:type="paragraph" w:customStyle="1" w:styleId="1750">
    <w:name w:val="表文字51111"/>
    <w:basedOn w:val="1"/>
    <w:autoRedefine/>
    <w:qFormat/>
    <w:uiPriority w:val="0"/>
    <w:pPr>
      <w:adjustRightInd w:val="0"/>
      <w:jc w:val="left"/>
      <w:textAlignment w:val="baseline"/>
    </w:pPr>
    <w:rPr>
      <w:rFonts w:ascii="宋体"/>
      <w:kern w:val="0"/>
      <w:szCs w:val="20"/>
    </w:rPr>
  </w:style>
  <w:style w:type="paragraph" w:customStyle="1" w:styleId="1751">
    <w:name w:val="Char Char Char Char Char Char Char Char Char Char Char Char Char Char Char Char Char Char Char Char Char Char Char Char Char Char Char Char Char Char Char Char Char Char Char Char Char Char Char2"/>
    <w:basedOn w:val="1"/>
    <w:autoRedefine/>
    <w:qFormat/>
    <w:uiPriority w:val="99"/>
    <w:rPr>
      <w:sz w:val="24"/>
    </w:rPr>
  </w:style>
  <w:style w:type="paragraph" w:customStyle="1" w:styleId="1752">
    <w:name w:val="y表头"/>
    <w:basedOn w:val="34"/>
    <w:autoRedefine/>
    <w:qFormat/>
    <w:uiPriority w:val="99"/>
    <w:pPr>
      <w:widowControl w:val="0"/>
      <w:tabs>
        <w:tab w:val="left" w:pos="900"/>
      </w:tabs>
      <w:adjustRightInd w:val="0"/>
      <w:snapToGrid/>
      <w:spacing w:before="0" w:after="0" w:line="240" w:lineRule="auto"/>
      <w:ind w:right="0"/>
      <w:jc w:val="center"/>
      <w:textAlignment w:val="baseline"/>
    </w:pPr>
    <w:rPr>
      <w:rFonts w:hint="eastAsia" w:ascii="宋体" w:hAnsi="宋体" w:eastAsia="楷体_GB2312"/>
      <w:b/>
      <w:sz w:val="24"/>
      <w:lang w:val="en-US"/>
    </w:rPr>
  </w:style>
  <w:style w:type="paragraph" w:customStyle="1" w:styleId="1753">
    <w:name w:val="ST20_5"/>
    <w:basedOn w:val="1"/>
    <w:autoRedefine/>
    <w:qFormat/>
    <w:uiPriority w:val="39"/>
    <w:pPr>
      <w:keepLines/>
      <w:autoSpaceDE w:val="0"/>
      <w:autoSpaceDN w:val="0"/>
      <w:adjustRightInd w:val="0"/>
      <w:spacing w:after="160" w:line="360" w:lineRule="atLeast"/>
      <w:ind w:left="720" w:right="720"/>
      <w:jc w:val="left"/>
      <w:textAlignment w:val="baseline"/>
    </w:pPr>
    <w:rPr>
      <w:rFonts w:ascii="宋体" w:hAnsi="Tms Rmn"/>
      <w:i/>
      <w:kern w:val="0"/>
      <w:sz w:val="28"/>
      <w:szCs w:val="20"/>
    </w:rPr>
  </w:style>
  <w:style w:type="paragraph" w:customStyle="1" w:styleId="1754">
    <w:name w:val="xl154"/>
    <w:basedOn w:val="1"/>
    <w:autoRedefine/>
    <w:qFormat/>
    <w:uiPriority w:val="99"/>
    <w:pPr>
      <w:widowControl/>
      <w:pBdr>
        <w:left w:val="single" w:color="auto" w:sz="12" w:space="0"/>
        <w:bottom w:val="single" w:color="auto" w:sz="8" w:space="0"/>
      </w:pBdr>
      <w:spacing w:before="100" w:beforeAutospacing="1" w:after="100" w:afterAutospacing="1"/>
      <w:jc w:val="center"/>
    </w:pPr>
    <w:rPr>
      <w:rFonts w:ascii="Arial Unicode MS" w:hAnsi="Arial Unicode MS"/>
      <w:kern w:val="0"/>
      <w:sz w:val="12"/>
      <w:szCs w:val="12"/>
    </w:rPr>
  </w:style>
  <w:style w:type="paragraph" w:customStyle="1" w:styleId="1755">
    <w:name w:val="xl59"/>
    <w:basedOn w:val="1"/>
    <w:autoRedefine/>
    <w:qFormat/>
    <w:uiPriority w:val="0"/>
    <w:pPr>
      <w:widowControl/>
      <w:pBdr>
        <w:bottom w:val="single" w:color="auto" w:sz="12" w:space="0"/>
      </w:pBdr>
      <w:spacing w:before="100" w:beforeAutospacing="1" w:after="100" w:afterAutospacing="1"/>
      <w:jc w:val="left"/>
      <w:textAlignment w:val="center"/>
    </w:pPr>
    <w:rPr>
      <w:kern w:val="0"/>
      <w:sz w:val="12"/>
      <w:szCs w:val="12"/>
    </w:rPr>
  </w:style>
  <w:style w:type="paragraph" w:customStyle="1" w:styleId="1756">
    <w:name w:val="zxz5"/>
    <w:next w:val="1"/>
    <w:autoRedefine/>
    <w:qFormat/>
    <w:uiPriority w:val="99"/>
    <w:pPr>
      <w:tabs>
        <w:tab w:val="left" w:pos="0"/>
      </w:tabs>
      <w:jc w:val="center"/>
    </w:pPr>
    <w:rPr>
      <w:rFonts w:ascii="宋体" w:hAnsi="宋体" w:eastAsia="Times New Roman" w:cs="宋体"/>
      <w:bCs/>
      <w:kern w:val="2"/>
      <w:sz w:val="18"/>
      <w:szCs w:val="18"/>
      <w:lang w:val="en-US" w:eastAsia="zh-CN" w:bidi="ar-SA"/>
    </w:rPr>
  </w:style>
  <w:style w:type="paragraph" w:customStyle="1" w:styleId="1757">
    <w:name w:val="正文格式＝511"/>
    <w:basedOn w:val="418"/>
    <w:next w:val="418"/>
    <w:autoRedefine/>
    <w:qFormat/>
    <w:uiPriority w:val="0"/>
    <w:rPr>
      <w:rFonts w:ascii="宋体" w:hAnsi="宋体"/>
      <w:b w:val="0"/>
      <w:spacing w:val="0"/>
      <w:sz w:val="24"/>
      <w:szCs w:val="24"/>
    </w:rPr>
  </w:style>
  <w:style w:type="paragraph" w:customStyle="1" w:styleId="1758">
    <w:name w:val="xl23"/>
    <w:basedOn w:val="1"/>
    <w:autoRedefine/>
    <w:qFormat/>
    <w:uiPriority w:val="0"/>
    <w:pPr>
      <w:widowControl/>
      <w:pBdr>
        <w:top w:val="single" w:color="auto" w:sz="12" w:space="0"/>
      </w:pBdr>
      <w:spacing w:before="100" w:beforeAutospacing="1" w:after="100" w:afterAutospacing="1"/>
      <w:jc w:val="left"/>
    </w:pPr>
    <w:rPr>
      <w:rFonts w:ascii="Arial Unicode MS" w:hAnsi="Arial Unicode MS"/>
      <w:kern w:val="0"/>
    </w:rPr>
  </w:style>
  <w:style w:type="paragraph" w:customStyle="1" w:styleId="1759">
    <w:name w:val="表题14111"/>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1760">
    <w:name w:val="Char Char Char Char Char Char Char28"/>
    <w:basedOn w:val="1"/>
    <w:autoRedefine/>
    <w:qFormat/>
    <w:uiPriority w:val="0"/>
    <w:rPr>
      <w:szCs w:val="20"/>
    </w:rPr>
  </w:style>
  <w:style w:type="paragraph" w:customStyle="1" w:styleId="1761">
    <w:name w:val="xl99"/>
    <w:basedOn w:val="1"/>
    <w:autoRedefine/>
    <w:qFormat/>
    <w:uiPriority w:val="0"/>
    <w:pPr>
      <w:widowControl/>
      <w:pBdr>
        <w:bottom w:val="single" w:color="auto" w:sz="12"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762">
    <w:name w:val="样式10"/>
    <w:basedOn w:val="3"/>
    <w:autoRedefine/>
    <w:qFormat/>
    <w:uiPriority w:val="0"/>
    <w:pPr>
      <w:tabs>
        <w:tab w:val="left" w:pos="360"/>
      </w:tabs>
      <w:overflowPunct/>
      <w:snapToGrid/>
      <w:spacing w:before="0" w:after="0" w:line="240" w:lineRule="auto"/>
      <w:ind w:left="0" w:firstLine="0"/>
      <w:jc w:val="center"/>
    </w:pPr>
    <w:rPr>
      <w:rFonts w:ascii="Calibri" w:hAnsi="Calibri" w:eastAsia="楷体_GB2312"/>
      <w:b w:val="0"/>
      <w:bCs w:val="0"/>
      <w:color w:val="auto"/>
      <w:kern w:val="0"/>
      <w:sz w:val="28"/>
      <w:szCs w:val="20"/>
    </w:rPr>
  </w:style>
  <w:style w:type="paragraph" w:customStyle="1" w:styleId="1763">
    <w:name w:val="表文字5121"/>
    <w:basedOn w:val="1"/>
    <w:autoRedefine/>
    <w:qFormat/>
    <w:uiPriority w:val="0"/>
    <w:pPr>
      <w:adjustRightInd w:val="0"/>
      <w:jc w:val="left"/>
      <w:textAlignment w:val="baseline"/>
    </w:pPr>
    <w:rPr>
      <w:rFonts w:ascii="宋体"/>
      <w:kern w:val="0"/>
      <w:szCs w:val="20"/>
    </w:rPr>
  </w:style>
  <w:style w:type="paragraph" w:customStyle="1" w:styleId="1764">
    <w:name w:val="图表题1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765">
    <w:name w:val="表格001"/>
    <w:basedOn w:val="1"/>
    <w:autoRedefine/>
    <w:qFormat/>
    <w:uiPriority w:val="0"/>
    <w:pPr>
      <w:jc w:val="center"/>
    </w:pPr>
    <w:rPr>
      <w:szCs w:val="20"/>
    </w:rPr>
  </w:style>
  <w:style w:type="paragraph" w:customStyle="1" w:styleId="1766">
    <w:name w:val="表内5414"/>
    <w:basedOn w:val="1"/>
    <w:autoRedefine/>
    <w:qFormat/>
    <w:uiPriority w:val="0"/>
    <w:pPr>
      <w:adjustRightInd w:val="0"/>
      <w:snapToGrid w:val="0"/>
      <w:spacing w:line="300" w:lineRule="auto"/>
      <w:jc w:val="center"/>
    </w:pPr>
    <w:rPr>
      <w:rFonts w:ascii="宋体" w:hAnsi="宋体" w:cs="宋体"/>
      <w:szCs w:val="20"/>
    </w:rPr>
  </w:style>
  <w:style w:type="paragraph" w:customStyle="1" w:styleId="1767">
    <w:name w:val="正文样式3"/>
    <w:basedOn w:val="1"/>
    <w:autoRedefine/>
    <w:qFormat/>
    <w:uiPriority w:val="99"/>
    <w:pPr>
      <w:keepLines/>
      <w:adjustRightInd w:val="0"/>
      <w:spacing w:line="20" w:lineRule="atLeast"/>
      <w:ind w:firstLine="200" w:firstLineChars="200"/>
      <w:jc w:val="center"/>
      <w:textAlignment w:val="baseline"/>
    </w:pPr>
    <w:rPr>
      <w:rFonts w:eastAsia="仿宋_GB2312"/>
      <w:kern w:val="0"/>
      <w:sz w:val="24"/>
      <w:szCs w:val="20"/>
    </w:rPr>
  </w:style>
  <w:style w:type="paragraph" w:customStyle="1" w:styleId="1768">
    <w:name w:val="xl183"/>
    <w:basedOn w:val="1"/>
    <w:autoRedefine/>
    <w:qFormat/>
    <w:uiPriority w:val="99"/>
    <w:pPr>
      <w:widowControl/>
      <w:pBdr>
        <w:left w:val="single" w:color="auto" w:sz="4" w:space="0"/>
        <w:right w:val="single" w:color="auto" w:sz="4"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769">
    <w:name w:val="xl84"/>
    <w:basedOn w:val="1"/>
    <w:autoRedefine/>
    <w:qFormat/>
    <w:uiPriority w:val="0"/>
    <w:pPr>
      <w:widowControl/>
      <w:pBdr>
        <w:bottom w:val="single" w:color="auto" w:sz="8" w:space="0"/>
        <w:right w:val="single" w:color="auto" w:sz="8" w:space="0"/>
      </w:pBdr>
      <w:spacing w:before="100" w:beforeAutospacing="1" w:after="100" w:afterAutospacing="1"/>
      <w:jc w:val="center"/>
      <w:textAlignment w:val="bottom"/>
    </w:pPr>
    <w:rPr>
      <w:rFonts w:ascii="宋体" w:hAnsi="宋体" w:cs="宋体"/>
      <w:color w:val="FF0000"/>
      <w:kern w:val="0"/>
      <w:szCs w:val="21"/>
    </w:rPr>
  </w:style>
  <w:style w:type="paragraph" w:customStyle="1" w:styleId="1770">
    <w:name w:val="xl37"/>
    <w:basedOn w:val="1"/>
    <w:autoRedefine/>
    <w:qFormat/>
    <w:uiPriority w:val="0"/>
    <w:pPr>
      <w:widowControl/>
      <w:spacing w:before="100" w:beforeAutospacing="1" w:after="100" w:afterAutospacing="1"/>
      <w:jc w:val="center"/>
    </w:pPr>
    <w:rPr>
      <w:rFonts w:ascii="宋体" w:hAnsi="宋体"/>
      <w:kern w:val="0"/>
      <w:sz w:val="24"/>
    </w:rPr>
  </w:style>
  <w:style w:type="paragraph" w:customStyle="1" w:styleId="1771">
    <w:name w:val="表文字511"/>
    <w:basedOn w:val="1"/>
    <w:autoRedefine/>
    <w:qFormat/>
    <w:uiPriority w:val="0"/>
    <w:pPr>
      <w:adjustRightInd w:val="0"/>
      <w:jc w:val="left"/>
      <w:textAlignment w:val="baseline"/>
    </w:pPr>
    <w:rPr>
      <w:rFonts w:ascii="宋体"/>
      <w:kern w:val="0"/>
      <w:szCs w:val="20"/>
    </w:rPr>
  </w:style>
  <w:style w:type="paragraph" w:customStyle="1" w:styleId="1772">
    <w:name w:val="xl62"/>
    <w:basedOn w:val="1"/>
    <w:autoRedefine/>
    <w:qFormat/>
    <w:uiPriority w:val="0"/>
    <w:pPr>
      <w:widowControl/>
      <w:pBdr>
        <w:bottom w:val="single" w:color="auto" w:sz="12" w:space="0"/>
      </w:pBdr>
      <w:spacing w:before="100" w:beforeAutospacing="1" w:after="100" w:afterAutospacing="1"/>
      <w:jc w:val="center"/>
      <w:textAlignment w:val="center"/>
    </w:pPr>
    <w:rPr>
      <w:kern w:val="0"/>
      <w:sz w:val="12"/>
      <w:szCs w:val="12"/>
    </w:rPr>
  </w:style>
  <w:style w:type="paragraph" w:customStyle="1" w:styleId="1773">
    <w:name w:val="Char Char Char"/>
    <w:basedOn w:val="1"/>
    <w:autoRedefine/>
    <w:qFormat/>
    <w:uiPriority w:val="0"/>
    <w:rPr>
      <w:sz w:val="24"/>
    </w:rPr>
  </w:style>
  <w:style w:type="paragraph" w:customStyle="1" w:styleId="1774">
    <w:name w:val="表格内"/>
    <w:basedOn w:val="1"/>
    <w:autoRedefine/>
    <w:qFormat/>
    <w:uiPriority w:val="39"/>
    <w:pPr>
      <w:adjustRightInd w:val="0"/>
      <w:spacing w:line="240" w:lineRule="atLeast"/>
      <w:jc w:val="center"/>
      <w:textAlignment w:val="baseline"/>
    </w:pPr>
    <w:rPr>
      <w:rFonts w:ascii="宋体"/>
      <w:kern w:val="0"/>
      <w:sz w:val="28"/>
      <w:szCs w:val="28"/>
    </w:rPr>
  </w:style>
  <w:style w:type="paragraph" w:customStyle="1" w:styleId="1775">
    <w:name w:val="样式 样式 Times New Roman 四号 加粗 行距: 1.5 倍行距 + 加粗"/>
    <w:basedOn w:val="1419"/>
    <w:autoRedefine/>
    <w:qFormat/>
    <w:uiPriority w:val="99"/>
    <w:pPr>
      <w:outlineLvl w:val="3"/>
    </w:pPr>
  </w:style>
  <w:style w:type="paragraph" w:customStyle="1" w:styleId="1776">
    <w:name w:val="Char4111"/>
    <w:basedOn w:val="1"/>
    <w:autoRedefine/>
    <w:qFormat/>
    <w:uiPriority w:val="0"/>
    <w:pPr>
      <w:ind w:left="-48"/>
    </w:pPr>
  </w:style>
  <w:style w:type="paragraph" w:customStyle="1" w:styleId="1777">
    <w:name w:val="Char Char Char1 Char"/>
    <w:basedOn w:val="1"/>
    <w:autoRedefine/>
    <w:qFormat/>
    <w:uiPriority w:val="0"/>
    <w:rPr>
      <w:szCs w:val="20"/>
    </w:rPr>
  </w:style>
  <w:style w:type="paragraph" w:customStyle="1" w:styleId="1778">
    <w:name w:val="食疗标题2"/>
    <w:basedOn w:val="4"/>
    <w:autoRedefine/>
    <w:qFormat/>
    <w:uiPriority w:val="39"/>
  </w:style>
  <w:style w:type="paragraph" w:customStyle="1" w:styleId="1779">
    <w:name w:val="正文格式32"/>
    <w:basedOn w:val="1"/>
    <w:autoRedefine/>
    <w:qFormat/>
    <w:uiPriority w:val="0"/>
    <w:pPr>
      <w:spacing w:line="360" w:lineRule="auto"/>
      <w:ind w:firstLine="482"/>
    </w:pPr>
    <w:rPr>
      <w:rFonts w:ascii="宋体" w:hAnsi="宋体"/>
      <w:sz w:val="24"/>
    </w:rPr>
  </w:style>
  <w:style w:type="paragraph" w:customStyle="1" w:styleId="1780">
    <w:name w:val="字元1"/>
    <w:basedOn w:val="1"/>
    <w:autoRedefine/>
    <w:qFormat/>
    <w:uiPriority w:val="0"/>
    <w:rPr>
      <w:sz w:val="24"/>
    </w:rPr>
  </w:style>
  <w:style w:type="paragraph" w:customStyle="1" w:styleId="1781">
    <w:name w:val="Char116"/>
    <w:basedOn w:val="1"/>
    <w:autoRedefine/>
    <w:qFormat/>
    <w:uiPriority w:val="0"/>
    <w:pPr>
      <w:ind w:left="-48"/>
    </w:pPr>
  </w:style>
  <w:style w:type="paragraph" w:customStyle="1" w:styleId="1782">
    <w:name w:val="xl170"/>
    <w:basedOn w:val="1"/>
    <w:autoRedefine/>
    <w:qFormat/>
    <w:uiPriority w:val="99"/>
    <w:pPr>
      <w:widowControl/>
      <w:pBdr>
        <w:left w:val="single" w:color="auto" w:sz="4" w:space="0"/>
        <w:bottom w:val="single" w:color="auto" w:sz="12" w:space="0"/>
      </w:pBdr>
      <w:spacing w:before="100" w:beforeAutospacing="1" w:after="100" w:afterAutospacing="1"/>
      <w:jc w:val="center"/>
      <w:textAlignment w:val="center"/>
    </w:pPr>
    <w:rPr>
      <w:rFonts w:ascii="Arial Unicode MS" w:hAnsi="Arial Unicode MS"/>
      <w:kern w:val="0"/>
    </w:rPr>
  </w:style>
  <w:style w:type="paragraph" w:customStyle="1" w:styleId="1783">
    <w:name w:val="xl147"/>
    <w:basedOn w:val="1"/>
    <w:autoRedefine/>
    <w:qFormat/>
    <w:uiPriority w:val="99"/>
    <w:pPr>
      <w:widowControl/>
      <w:spacing w:before="100" w:beforeAutospacing="1" w:after="100" w:afterAutospacing="1"/>
      <w:jc w:val="center"/>
    </w:pPr>
    <w:rPr>
      <w:rFonts w:ascii="Arial Unicode MS" w:hAnsi="Arial Unicode MS"/>
      <w:kern w:val="0"/>
    </w:rPr>
  </w:style>
  <w:style w:type="paragraph" w:customStyle="1" w:styleId="1784">
    <w:name w:val="样式2.3.1"/>
    <w:basedOn w:val="1"/>
    <w:autoRedefine/>
    <w:qFormat/>
    <w:uiPriority w:val="99"/>
    <w:pPr>
      <w:tabs>
        <w:tab w:val="left" w:pos="-962"/>
        <w:tab w:val="left" w:pos="0"/>
      </w:tabs>
      <w:spacing w:beforeLines="50" w:line="360" w:lineRule="auto"/>
      <w:ind w:left="1680" w:hanging="420"/>
      <w:outlineLvl w:val="2"/>
    </w:pPr>
    <w:rPr>
      <w:b/>
      <w:bCs/>
      <w:color w:val="000000"/>
      <w:sz w:val="28"/>
      <w:szCs w:val="28"/>
    </w:rPr>
  </w:style>
  <w:style w:type="paragraph" w:customStyle="1" w:styleId="1785">
    <w:name w:val="表内文字小224"/>
    <w:basedOn w:val="1"/>
    <w:autoRedefine/>
    <w:qFormat/>
    <w:uiPriority w:val="0"/>
    <w:pPr>
      <w:adjustRightInd w:val="0"/>
      <w:snapToGrid w:val="0"/>
      <w:jc w:val="center"/>
    </w:pPr>
    <w:rPr>
      <w:rFonts w:ascii="宋体" w:hAnsi="Times"/>
      <w:bCs/>
      <w:color w:val="000000"/>
      <w:szCs w:val="20"/>
    </w:rPr>
  </w:style>
  <w:style w:type="paragraph" w:customStyle="1" w:styleId="1786">
    <w:name w:val="xl139"/>
    <w:basedOn w:val="1"/>
    <w:autoRedefine/>
    <w:qFormat/>
    <w:uiPriority w:val="99"/>
    <w:pPr>
      <w:widowControl/>
      <w:spacing w:before="100" w:beforeAutospacing="1" w:after="100" w:afterAutospacing="1"/>
      <w:jc w:val="center"/>
      <w:textAlignment w:val="center"/>
    </w:pPr>
    <w:rPr>
      <w:rFonts w:ascii="Arial Unicode MS" w:hAnsi="Arial Unicode MS"/>
      <w:kern w:val="0"/>
      <w:sz w:val="16"/>
      <w:szCs w:val="16"/>
    </w:rPr>
  </w:style>
  <w:style w:type="paragraph" w:customStyle="1" w:styleId="1787">
    <w:name w:val="Char Char Char Char Char Char Char Char Char Char Char Char"/>
    <w:basedOn w:val="1"/>
    <w:autoRedefine/>
    <w:qFormat/>
    <w:uiPriority w:val="39"/>
    <w:rPr>
      <w:sz w:val="24"/>
    </w:rPr>
  </w:style>
  <w:style w:type="paragraph" w:customStyle="1" w:styleId="1788">
    <w:name w:val="样式111"/>
    <w:basedOn w:val="1789"/>
    <w:autoRedefine/>
    <w:qFormat/>
    <w:uiPriority w:val="0"/>
    <w:rPr>
      <w:sz w:val="21"/>
    </w:rPr>
  </w:style>
  <w:style w:type="paragraph" w:customStyle="1" w:styleId="1789">
    <w:name w:val="文本框文字格式"/>
    <w:basedOn w:val="1"/>
    <w:autoRedefine/>
    <w:qFormat/>
    <w:uiPriority w:val="99"/>
    <w:pPr>
      <w:jc w:val="center"/>
    </w:pPr>
    <w:rPr>
      <w:sz w:val="24"/>
    </w:rPr>
  </w:style>
  <w:style w:type="paragraph" w:customStyle="1" w:styleId="1790">
    <w:name w:val="正文样式11"/>
    <w:basedOn w:val="1"/>
    <w:autoRedefine/>
    <w:qFormat/>
    <w:uiPriority w:val="39"/>
    <w:pPr>
      <w:ind w:firstLine="548" w:firstLineChars="200"/>
      <w:jc w:val="left"/>
    </w:pPr>
    <w:rPr>
      <w:rFonts w:ascii="宋体" w:hAnsi="宋体" w:cs="Arial"/>
      <w:bCs/>
      <w:color w:val="000000"/>
      <w:sz w:val="24"/>
    </w:rPr>
  </w:style>
  <w:style w:type="paragraph" w:customStyle="1" w:styleId="1791">
    <w:name w:val="Char Char Char1 Char Char Char Char"/>
    <w:basedOn w:val="1"/>
    <w:autoRedefine/>
    <w:qFormat/>
    <w:uiPriority w:val="0"/>
    <w:rPr>
      <w:szCs w:val="20"/>
    </w:rPr>
  </w:style>
  <w:style w:type="paragraph" w:customStyle="1" w:styleId="1792">
    <w:name w:val="款"/>
    <w:basedOn w:val="1"/>
    <w:autoRedefine/>
    <w:qFormat/>
    <w:uiPriority w:val="39"/>
    <w:pPr>
      <w:spacing w:line="360" w:lineRule="auto"/>
    </w:pPr>
    <w:rPr>
      <w:szCs w:val="20"/>
    </w:rPr>
  </w:style>
  <w:style w:type="paragraph" w:customStyle="1" w:styleId="1793">
    <w:name w:val="表格（大）"/>
    <w:basedOn w:val="1"/>
    <w:autoRedefine/>
    <w:qFormat/>
    <w:uiPriority w:val="39"/>
    <w:pPr>
      <w:spacing w:line="360" w:lineRule="exact"/>
      <w:jc w:val="center"/>
    </w:pPr>
    <w:rPr>
      <w:rFonts w:eastAsia="仿宋_GB2312"/>
    </w:rPr>
  </w:style>
  <w:style w:type="paragraph" w:customStyle="1" w:styleId="1794">
    <w:name w:val="列表 2B"/>
    <w:basedOn w:val="37"/>
    <w:autoRedefine/>
    <w:qFormat/>
    <w:uiPriority w:val="0"/>
    <w:pPr>
      <w:tabs>
        <w:tab w:val="left" w:pos="737"/>
      </w:tabs>
      <w:spacing w:line="288" w:lineRule="auto"/>
      <w:ind w:left="0" w:leftChars="0" w:firstLine="0" w:firstLineChars="0"/>
    </w:pPr>
    <w:rPr>
      <w:rFonts w:ascii="Arial" w:hAnsi="Arial"/>
      <w:color w:val="FFFF99"/>
    </w:rPr>
  </w:style>
  <w:style w:type="paragraph" w:customStyle="1" w:styleId="1795">
    <w:name w:val="font11"/>
    <w:basedOn w:val="1"/>
    <w:autoRedefine/>
    <w:qFormat/>
    <w:uiPriority w:val="0"/>
    <w:pPr>
      <w:widowControl/>
      <w:spacing w:before="100" w:beforeAutospacing="1" w:after="100" w:afterAutospacing="1"/>
      <w:jc w:val="left"/>
    </w:pPr>
    <w:rPr>
      <w:rFonts w:hint="eastAsia" w:ascii="宋体" w:hAnsi="宋体"/>
      <w:color w:val="000000"/>
      <w:kern w:val="0"/>
      <w:sz w:val="20"/>
      <w:szCs w:val="20"/>
    </w:rPr>
  </w:style>
  <w:style w:type="paragraph" w:customStyle="1" w:styleId="1796">
    <w:name w:val="三级无标题条"/>
    <w:basedOn w:val="1"/>
    <w:autoRedefine/>
    <w:qFormat/>
    <w:uiPriority w:val="99"/>
    <w:rPr>
      <w:szCs w:val="20"/>
    </w:rPr>
  </w:style>
  <w:style w:type="paragraph" w:customStyle="1" w:styleId="1797">
    <w:name w:val="样式Fu01"/>
    <w:basedOn w:val="1"/>
    <w:autoRedefine/>
    <w:qFormat/>
    <w:uiPriority w:val="99"/>
    <w:pPr>
      <w:autoSpaceDE w:val="0"/>
      <w:autoSpaceDN w:val="0"/>
      <w:adjustRightInd w:val="0"/>
      <w:spacing w:before="40" w:after="40" w:line="0" w:lineRule="atLeast"/>
      <w:jc w:val="left"/>
    </w:pPr>
    <w:rPr>
      <w:rFonts w:ascii="幼圆" w:eastAsia="幼圆"/>
      <w:snapToGrid w:val="0"/>
      <w:kern w:val="0"/>
    </w:rPr>
  </w:style>
  <w:style w:type="paragraph" w:customStyle="1" w:styleId="1798">
    <w:name w:val="9 Char Char Char"/>
    <w:basedOn w:val="1"/>
    <w:autoRedefine/>
    <w:qFormat/>
    <w:uiPriority w:val="0"/>
    <w:pPr>
      <w:spacing w:line="240" w:lineRule="exact"/>
      <w:ind w:firstLine="200" w:firstLineChars="200"/>
    </w:pPr>
    <w:rPr>
      <w:sz w:val="28"/>
      <w:szCs w:val="28"/>
    </w:rPr>
  </w:style>
  <w:style w:type="paragraph" w:customStyle="1" w:styleId="1799">
    <w:name w:val="正文格式84"/>
    <w:basedOn w:val="1"/>
    <w:autoRedefine/>
    <w:qFormat/>
    <w:uiPriority w:val="0"/>
    <w:pPr>
      <w:spacing w:line="360" w:lineRule="auto"/>
      <w:ind w:firstLine="482"/>
    </w:pPr>
    <w:rPr>
      <w:rFonts w:ascii="宋体" w:hAnsi="宋体"/>
      <w:sz w:val="24"/>
    </w:rPr>
  </w:style>
  <w:style w:type="paragraph" w:customStyle="1" w:styleId="1800">
    <w:name w:val="xl150"/>
    <w:basedOn w:val="1"/>
    <w:autoRedefine/>
    <w:qFormat/>
    <w:uiPriority w:val="99"/>
    <w:pPr>
      <w:widowControl/>
      <w:pBdr>
        <w:bottom w:val="single" w:color="auto" w:sz="8" w:space="0"/>
      </w:pBdr>
      <w:spacing w:before="100" w:beforeAutospacing="1" w:after="100" w:afterAutospacing="1"/>
      <w:jc w:val="left"/>
    </w:pPr>
    <w:rPr>
      <w:rFonts w:ascii="Arial Unicode MS" w:hAnsi="Arial Unicode MS"/>
      <w:kern w:val="0"/>
      <w:sz w:val="16"/>
      <w:szCs w:val="16"/>
    </w:rPr>
  </w:style>
  <w:style w:type="paragraph" w:customStyle="1" w:styleId="1801">
    <w:name w:val="文本框11"/>
    <w:basedOn w:val="1"/>
    <w:autoRedefine/>
    <w:qFormat/>
    <w:uiPriority w:val="0"/>
    <w:pPr>
      <w:adjustRightInd w:val="0"/>
      <w:snapToGrid w:val="0"/>
      <w:spacing w:after="6"/>
      <w:jc w:val="center"/>
    </w:pPr>
    <w:rPr>
      <w:rFonts w:eastAsia="仿宋_GB2312"/>
    </w:rPr>
  </w:style>
  <w:style w:type="paragraph" w:customStyle="1" w:styleId="1802">
    <w:name w:val="24"/>
    <w:basedOn w:val="1"/>
    <w:next w:val="70"/>
    <w:autoRedefine/>
    <w:qFormat/>
    <w:uiPriority w:val="0"/>
    <w:pPr>
      <w:spacing w:line="500" w:lineRule="exact"/>
      <w:ind w:firstLine="560" w:firstLineChars="200"/>
    </w:pPr>
    <w:rPr>
      <w:rFonts w:ascii="仿宋_GB2312" w:eastAsia="仿宋_GB2312"/>
      <w:sz w:val="28"/>
      <w:szCs w:val="20"/>
    </w:rPr>
  </w:style>
  <w:style w:type="paragraph" w:customStyle="1" w:styleId="1803">
    <w:name w:val="xl153"/>
    <w:basedOn w:val="1"/>
    <w:autoRedefine/>
    <w:qFormat/>
    <w:uiPriority w:val="99"/>
    <w:pPr>
      <w:widowControl/>
      <w:spacing w:before="100" w:beforeAutospacing="1" w:after="100" w:afterAutospacing="1"/>
      <w:jc w:val="center"/>
      <w:textAlignment w:val="center"/>
    </w:pPr>
    <w:rPr>
      <w:rFonts w:ascii="Arial Unicode MS" w:hAnsi="Arial Unicode MS"/>
      <w:kern w:val="0"/>
      <w:sz w:val="16"/>
      <w:szCs w:val="16"/>
    </w:rPr>
  </w:style>
  <w:style w:type="paragraph" w:customStyle="1" w:styleId="1804">
    <w:name w:val="附件41"/>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color w:val="auto"/>
      <w:sz w:val="32"/>
      <w:szCs w:val="32"/>
    </w:rPr>
  </w:style>
  <w:style w:type="paragraph" w:customStyle="1" w:styleId="1805">
    <w:name w:val="正文文本缩进 31"/>
    <w:basedOn w:val="1"/>
    <w:autoRedefine/>
    <w:qFormat/>
    <w:uiPriority w:val="99"/>
    <w:pPr>
      <w:spacing w:after="120"/>
      <w:ind w:left="420" w:leftChars="200"/>
    </w:pPr>
    <w:rPr>
      <w:rFonts w:eastAsia="仿宋_GB2312"/>
      <w:sz w:val="16"/>
      <w:szCs w:val="16"/>
    </w:rPr>
  </w:style>
  <w:style w:type="paragraph" w:customStyle="1" w:styleId="1806">
    <w:name w:val="正文3"/>
    <w:basedOn w:val="1"/>
    <w:autoRedefine/>
    <w:qFormat/>
    <w:uiPriority w:val="0"/>
    <w:pPr>
      <w:adjustRightInd w:val="0"/>
      <w:spacing w:line="360" w:lineRule="auto"/>
      <w:ind w:firstLine="624"/>
      <w:textAlignment w:val="baseline"/>
    </w:pPr>
    <w:rPr>
      <w:rFonts w:ascii="宋体" w:hAnsi="宋体"/>
      <w:spacing w:val="-2"/>
      <w:kern w:val="0"/>
      <w:sz w:val="30"/>
    </w:rPr>
  </w:style>
  <w:style w:type="paragraph" w:customStyle="1" w:styleId="1807">
    <w:name w:val="Char2211"/>
    <w:basedOn w:val="1"/>
    <w:autoRedefine/>
    <w:qFormat/>
    <w:uiPriority w:val="0"/>
    <w:pPr>
      <w:adjustRightInd w:val="0"/>
      <w:snapToGrid w:val="0"/>
      <w:spacing w:beforeLines="50" w:line="360" w:lineRule="auto"/>
    </w:pPr>
    <w:rPr>
      <w:rFonts w:ascii="黑体" w:eastAsia="黑体"/>
      <w:sz w:val="32"/>
      <w:szCs w:val="32"/>
    </w:rPr>
  </w:style>
  <w:style w:type="paragraph" w:customStyle="1" w:styleId="1808">
    <w:name w:val="正文编号"/>
    <w:basedOn w:val="1"/>
    <w:autoRedefine/>
    <w:qFormat/>
    <w:uiPriority w:val="0"/>
    <w:pPr>
      <w:tabs>
        <w:tab w:val="left" w:pos="360"/>
      </w:tabs>
      <w:adjustRightInd w:val="0"/>
      <w:spacing w:line="360" w:lineRule="auto"/>
      <w:textAlignment w:val="baseline"/>
    </w:pPr>
    <w:rPr>
      <w:kern w:val="0"/>
      <w:sz w:val="24"/>
      <w:szCs w:val="20"/>
    </w:rPr>
  </w:style>
  <w:style w:type="paragraph" w:customStyle="1" w:styleId="1809">
    <w:name w:val="表中文字13"/>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1810">
    <w:name w:val="封面正文"/>
    <w:autoRedefine/>
    <w:qFormat/>
    <w:uiPriority w:val="0"/>
    <w:pPr>
      <w:jc w:val="both"/>
    </w:pPr>
    <w:rPr>
      <w:rFonts w:ascii="Times New Roman" w:hAnsi="Times New Roman" w:eastAsia="宋体" w:cs="Times New Roman"/>
      <w:lang w:val="en-US" w:eastAsia="zh-CN" w:bidi="ar-SA"/>
    </w:rPr>
  </w:style>
  <w:style w:type="paragraph" w:customStyle="1" w:styleId="1811">
    <w:name w:val="Char Char2 Char Char Char Char6"/>
    <w:basedOn w:val="1"/>
    <w:autoRedefine/>
    <w:qFormat/>
    <w:uiPriority w:val="0"/>
  </w:style>
  <w:style w:type="paragraph" w:customStyle="1" w:styleId="1812">
    <w:name w:val="Char215"/>
    <w:basedOn w:val="1"/>
    <w:autoRedefine/>
    <w:qFormat/>
    <w:uiPriority w:val="0"/>
    <w:rPr>
      <w:sz w:val="24"/>
    </w:rPr>
  </w:style>
  <w:style w:type="paragraph" w:customStyle="1" w:styleId="1813">
    <w:name w:val="xl159"/>
    <w:basedOn w:val="1"/>
    <w:autoRedefine/>
    <w:qFormat/>
    <w:uiPriority w:val="99"/>
    <w:pPr>
      <w:widowControl/>
      <w:pBdr>
        <w:right w:val="single" w:color="auto" w:sz="4" w:space="0"/>
      </w:pBdr>
      <w:spacing w:before="100" w:beforeAutospacing="1" w:after="100" w:afterAutospacing="1"/>
      <w:jc w:val="left"/>
    </w:pPr>
    <w:rPr>
      <w:rFonts w:ascii="Arial Unicode MS" w:hAnsi="Arial Unicode MS"/>
      <w:kern w:val="0"/>
    </w:rPr>
  </w:style>
  <w:style w:type="paragraph" w:customStyle="1" w:styleId="1814">
    <w:name w:val="燕山正文211"/>
    <w:basedOn w:val="1"/>
    <w:autoRedefine/>
    <w:qFormat/>
    <w:uiPriority w:val="0"/>
    <w:pPr>
      <w:tabs>
        <w:tab w:val="left" w:pos="4680"/>
      </w:tabs>
      <w:adjustRightInd w:val="0"/>
      <w:snapToGrid w:val="0"/>
      <w:spacing w:line="480" w:lineRule="exact"/>
    </w:pPr>
    <w:rPr>
      <w:rFonts w:ascii="宋体" w:cs="宋体"/>
      <w:sz w:val="24"/>
    </w:rPr>
  </w:style>
  <w:style w:type="paragraph" w:customStyle="1" w:styleId="1815">
    <w:name w:val="InstÀÀll6"/>
    <w:autoRedefine/>
    <w:qFormat/>
    <w:uiPriority w:val="39"/>
    <w:pPr>
      <w:tabs>
        <w:tab w:val="left" w:pos="-720"/>
      </w:tabs>
      <w:suppressAutoHyphens/>
      <w:jc w:val="both"/>
    </w:pPr>
    <w:rPr>
      <w:rFonts w:ascii="Courier" w:hAnsi="Courier" w:eastAsia="宋体" w:cs="Times New Roman"/>
      <w:spacing w:val="-3"/>
      <w:sz w:val="24"/>
      <w:lang w:val="en-US" w:eastAsia="sv-SE" w:bidi="ar-SA"/>
    </w:rPr>
  </w:style>
  <w:style w:type="paragraph" w:customStyle="1" w:styleId="1816">
    <w:name w:val="正文文本缩进2"/>
    <w:basedOn w:val="1"/>
    <w:autoRedefine/>
    <w:qFormat/>
    <w:uiPriority w:val="39"/>
    <w:pPr>
      <w:spacing w:after="120" w:line="360" w:lineRule="auto"/>
      <w:ind w:left="420" w:leftChars="200" w:firstLine="200" w:firstLineChars="200"/>
    </w:pPr>
    <w:rPr>
      <w:sz w:val="24"/>
    </w:rPr>
  </w:style>
  <w:style w:type="paragraph" w:customStyle="1" w:styleId="1817">
    <w:name w:val="正文修改3"/>
    <w:basedOn w:val="193"/>
    <w:autoRedefine/>
    <w:qFormat/>
    <w:uiPriority w:val="0"/>
    <w:rPr>
      <w:rFonts w:hAnsi="宋体"/>
      <w:color w:val="000000"/>
    </w:rPr>
  </w:style>
  <w:style w:type="paragraph" w:customStyle="1" w:styleId="1818">
    <w:name w:val="小五 Char"/>
    <w:autoRedefine/>
    <w:qFormat/>
    <w:uiPriority w:val="0"/>
    <w:pPr>
      <w:autoSpaceDE w:val="0"/>
      <w:autoSpaceDN w:val="0"/>
      <w:adjustRightInd w:val="0"/>
      <w:snapToGrid w:val="0"/>
      <w:spacing w:line="360" w:lineRule="auto"/>
      <w:jc w:val="both"/>
    </w:pPr>
    <w:rPr>
      <w:rFonts w:ascii="宋体" w:hAnsi="宋体" w:eastAsia="宋体" w:cs="Times New Roman"/>
      <w:kern w:val="2"/>
      <w:sz w:val="21"/>
      <w:szCs w:val="21"/>
      <w:lang w:val="en-US" w:eastAsia="zh-CN" w:bidi="ar-SA"/>
    </w:rPr>
  </w:style>
  <w:style w:type="paragraph" w:customStyle="1" w:styleId="1819">
    <w:name w:val="正文文字缩进"/>
    <w:basedOn w:val="107"/>
    <w:next w:val="107"/>
    <w:autoRedefine/>
    <w:qFormat/>
    <w:uiPriority w:val="99"/>
    <w:pPr>
      <w:spacing w:line="240" w:lineRule="auto"/>
    </w:pPr>
    <w:rPr>
      <w:rFonts w:ascii="仿宋_GB2312" w:hAnsi="Times New Roman" w:eastAsia="仿宋_GB2312" w:cs="Times New Roman"/>
      <w:color w:val="auto"/>
      <w:szCs w:val="20"/>
    </w:rPr>
  </w:style>
  <w:style w:type="paragraph" w:customStyle="1" w:styleId="1820">
    <w:name w:val="样式 样式 正文缩进正文（首行缩进两字） Char Char Char Char Char Char Char表格标题标题4文...."/>
    <w:basedOn w:val="1821"/>
    <w:autoRedefine/>
    <w:qFormat/>
    <w:uiPriority w:val="0"/>
  </w:style>
  <w:style w:type="paragraph" w:customStyle="1" w:styleId="1821">
    <w:name w:val="样式 正文缩进正文（首行缩进两字） Char Char Char Char Char Char Char表格标题标题4文..."/>
    <w:basedOn w:val="9"/>
    <w:autoRedefine/>
    <w:qFormat/>
    <w:uiPriority w:val="0"/>
    <w:pPr>
      <w:overflowPunct w:val="0"/>
      <w:adjustRightInd w:val="0"/>
      <w:snapToGrid w:val="0"/>
      <w:spacing w:line="500" w:lineRule="exact"/>
      <w:ind w:firstLine="200"/>
      <w:textAlignment w:val="baseline"/>
    </w:pPr>
    <w:rPr>
      <w:rFonts w:eastAsia="仿宋_GB2312" w:cs="宋体"/>
      <w:kern w:val="0"/>
      <w:sz w:val="28"/>
      <w:szCs w:val="20"/>
      <w:lang w:val="en-US"/>
    </w:rPr>
  </w:style>
  <w:style w:type="paragraph" w:customStyle="1" w:styleId="1822">
    <w:name w:val="默认段落字体 Para Char211"/>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1823">
    <w:name w:val="表内5412"/>
    <w:basedOn w:val="1"/>
    <w:autoRedefine/>
    <w:qFormat/>
    <w:uiPriority w:val="0"/>
    <w:pPr>
      <w:adjustRightInd w:val="0"/>
      <w:snapToGrid w:val="0"/>
      <w:spacing w:line="300" w:lineRule="auto"/>
      <w:jc w:val="center"/>
    </w:pPr>
    <w:rPr>
      <w:rFonts w:ascii="宋体" w:hAnsi="宋体" w:cs="宋体"/>
      <w:szCs w:val="20"/>
    </w:rPr>
  </w:style>
  <w:style w:type="paragraph" w:customStyle="1" w:styleId="1824">
    <w:name w:val="样式 表格文字 + (西文) 宋体 (中文) 华文仿宋 小四 黑色1"/>
    <w:basedOn w:val="149"/>
    <w:autoRedefine/>
    <w:qFormat/>
    <w:uiPriority w:val="0"/>
    <w:pPr>
      <w:widowControl w:val="0"/>
      <w:tabs>
        <w:tab w:val="left" w:pos="560"/>
      </w:tabs>
      <w:overflowPunct w:val="0"/>
      <w:adjustRightInd w:val="0"/>
      <w:snapToGrid w:val="0"/>
      <w:spacing w:line="400" w:lineRule="exact"/>
    </w:pPr>
    <w:rPr>
      <w:rFonts w:ascii="Times New Roman" w:hAnsi="宋体" w:eastAsia="宋体" w:cs="宋体"/>
      <w:snapToGrid w:val="0"/>
      <w:color w:val="000000"/>
      <w:kern w:val="0"/>
      <w:sz w:val="21"/>
      <w:szCs w:val="21"/>
      <w:lang w:val="en-US"/>
    </w:rPr>
  </w:style>
  <w:style w:type="paragraph" w:customStyle="1" w:styleId="1825">
    <w:name w:val="表内55"/>
    <w:basedOn w:val="1"/>
    <w:autoRedefine/>
    <w:qFormat/>
    <w:uiPriority w:val="0"/>
    <w:pPr>
      <w:adjustRightInd w:val="0"/>
      <w:snapToGrid w:val="0"/>
      <w:spacing w:line="300" w:lineRule="auto"/>
      <w:jc w:val="left"/>
    </w:pPr>
    <w:rPr>
      <w:rFonts w:ascii="宋体"/>
      <w:sz w:val="18"/>
      <w:szCs w:val="20"/>
    </w:rPr>
  </w:style>
  <w:style w:type="paragraph" w:customStyle="1" w:styleId="1826">
    <w:name w:val="样式2.5.1"/>
    <w:basedOn w:val="1"/>
    <w:autoRedefine/>
    <w:qFormat/>
    <w:uiPriority w:val="99"/>
    <w:pPr>
      <w:spacing w:beforeLines="50" w:line="360" w:lineRule="auto"/>
      <w:outlineLvl w:val="2"/>
    </w:pPr>
    <w:rPr>
      <w:b/>
      <w:bCs/>
      <w:color w:val="000000"/>
      <w:sz w:val="28"/>
      <w:szCs w:val="28"/>
    </w:rPr>
  </w:style>
  <w:style w:type="paragraph" w:customStyle="1" w:styleId="1827">
    <w:name w:val="xl68"/>
    <w:basedOn w:val="1"/>
    <w:autoRedefine/>
    <w:qFormat/>
    <w:uiPriority w:val="0"/>
    <w:pPr>
      <w:widowControl/>
      <w:pBdr>
        <w:bottom w:val="single" w:color="auto" w:sz="8" w:space="0"/>
        <w:right w:val="single" w:color="auto" w:sz="8" w:space="0"/>
      </w:pBdr>
      <w:spacing w:before="100" w:beforeAutospacing="1" w:after="100" w:afterAutospacing="1"/>
      <w:jc w:val="center"/>
    </w:pPr>
    <w:rPr>
      <w:rFonts w:ascii="宋体" w:hAnsi="宋体" w:cs="宋体"/>
      <w:color w:val="FF0000"/>
      <w:kern w:val="0"/>
      <w:szCs w:val="21"/>
    </w:rPr>
  </w:style>
  <w:style w:type="paragraph" w:customStyle="1" w:styleId="1828">
    <w:name w:val="xl94"/>
    <w:basedOn w:val="1"/>
    <w:autoRedefine/>
    <w:qFormat/>
    <w:uiPriority w:val="0"/>
    <w:pPr>
      <w:widowControl/>
      <w:pBdr>
        <w:left w:val="single" w:color="auto" w:sz="12"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829">
    <w:name w:val="样式 正文文本btBody Text(ch) + 仿宋_GB2312 五号"/>
    <w:basedOn w:val="34"/>
    <w:autoRedefine/>
    <w:qFormat/>
    <w:uiPriority w:val="0"/>
    <w:pPr>
      <w:widowControl w:val="0"/>
      <w:adjustRightInd w:val="0"/>
      <w:spacing w:before="0" w:after="0" w:line="500" w:lineRule="exact"/>
      <w:ind w:right="0"/>
    </w:pPr>
    <w:rPr>
      <w:rFonts w:ascii="仿宋_GB2312" w:hAnsi="仿宋_GB2312"/>
      <w:sz w:val="28"/>
      <w:szCs w:val="24"/>
      <w:lang w:val="en-US"/>
    </w:rPr>
  </w:style>
  <w:style w:type="paragraph" w:customStyle="1" w:styleId="1830">
    <w:name w:val="表题3133"/>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1831">
    <w:name w:val="样式 标题 1 + 加粗"/>
    <w:basedOn w:val="3"/>
    <w:autoRedefine/>
    <w:qFormat/>
    <w:uiPriority w:val="0"/>
    <w:pPr>
      <w:tabs>
        <w:tab w:val="left" w:pos="360"/>
      </w:tabs>
      <w:overflowPunct/>
      <w:snapToGrid/>
      <w:spacing w:before="0" w:after="0" w:line="240" w:lineRule="auto"/>
      <w:ind w:left="0" w:firstLine="0"/>
      <w:jc w:val="center"/>
    </w:pPr>
    <w:rPr>
      <w:rFonts w:ascii="Calibri" w:hAnsi="Calibri" w:eastAsia="楷体_GB2312"/>
      <w:b w:val="0"/>
      <w:bCs w:val="0"/>
      <w:color w:val="auto"/>
      <w:kern w:val="0"/>
      <w:sz w:val="28"/>
      <w:szCs w:val="20"/>
    </w:rPr>
  </w:style>
  <w:style w:type="paragraph" w:customStyle="1" w:styleId="1832">
    <w:name w:val="表内文字小2112"/>
    <w:basedOn w:val="1"/>
    <w:autoRedefine/>
    <w:qFormat/>
    <w:uiPriority w:val="0"/>
    <w:pPr>
      <w:adjustRightInd w:val="0"/>
      <w:snapToGrid w:val="0"/>
      <w:jc w:val="center"/>
    </w:pPr>
    <w:rPr>
      <w:rFonts w:ascii="宋体" w:hAnsi="Times"/>
      <w:bCs/>
      <w:color w:val="000000"/>
      <w:szCs w:val="20"/>
    </w:rPr>
  </w:style>
  <w:style w:type="paragraph" w:customStyle="1" w:styleId="1833">
    <w:name w:val="正文格式＝44"/>
    <w:basedOn w:val="418"/>
    <w:next w:val="418"/>
    <w:autoRedefine/>
    <w:qFormat/>
    <w:uiPriority w:val="0"/>
    <w:rPr>
      <w:rFonts w:ascii="宋体" w:hAnsi="宋体"/>
      <w:b w:val="0"/>
      <w:spacing w:val="0"/>
      <w:sz w:val="24"/>
      <w:szCs w:val="24"/>
    </w:rPr>
  </w:style>
  <w:style w:type="paragraph" w:customStyle="1" w:styleId="1834">
    <w:name w:val="样式110"/>
    <w:basedOn w:val="1577"/>
    <w:autoRedefine/>
    <w:qFormat/>
    <w:uiPriority w:val="99"/>
    <w:pPr>
      <w:adjustRightInd w:val="0"/>
      <w:textAlignment w:val="center"/>
    </w:pPr>
  </w:style>
  <w:style w:type="paragraph" w:customStyle="1" w:styleId="1835">
    <w:name w:val="默认段落字体 Para Char14"/>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1836">
    <w:name w:val="xl79"/>
    <w:basedOn w:val="1"/>
    <w:autoRedefine/>
    <w:qFormat/>
    <w:uiPriority w:val="0"/>
    <w:pPr>
      <w:widowControl/>
      <w:pBdr>
        <w:top w:val="single" w:color="auto" w:sz="8" w:space="0"/>
        <w:bottom w:val="single" w:color="auto" w:sz="8" w:space="0"/>
      </w:pBdr>
      <w:spacing w:before="100" w:beforeAutospacing="1" w:after="100" w:afterAutospacing="1"/>
      <w:jc w:val="center"/>
      <w:textAlignment w:val="bottom"/>
    </w:pPr>
    <w:rPr>
      <w:rFonts w:ascii="宋体" w:hAnsi="宋体" w:cs="宋体"/>
      <w:kern w:val="0"/>
      <w:szCs w:val="21"/>
    </w:rPr>
  </w:style>
  <w:style w:type="paragraph" w:customStyle="1" w:styleId="1837">
    <w:name w:val="样式 表内小5 + 黑体 加粗 倾斜 下划线12"/>
    <w:basedOn w:val="1"/>
    <w:autoRedefine/>
    <w:qFormat/>
    <w:uiPriority w:val="0"/>
    <w:pPr>
      <w:adjustRightInd w:val="0"/>
      <w:snapToGrid w:val="0"/>
      <w:spacing w:line="300" w:lineRule="auto"/>
      <w:jc w:val="left"/>
    </w:pPr>
    <w:rPr>
      <w:rFonts w:ascii="黑体" w:hAnsi="黑体" w:eastAsia="黑体"/>
      <w:b/>
      <w:bCs/>
      <w:i/>
      <w:iCs/>
      <w:sz w:val="18"/>
      <w:u w:val="single"/>
    </w:rPr>
  </w:style>
  <w:style w:type="paragraph" w:customStyle="1" w:styleId="1838">
    <w:name w:val="表格式"/>
    <w:basedOn w:val="66"/>
    <w:autoRedefine/>
    <w:qFormat/>
    <w:uiPriority w:val="39"/>
    <w:pPr>
      <w:spacing w:beforeLines="50" w:afterLines="50" w:line="240" w:lineRule="exact"/>
      <w:ind w:left="0" w:right="0" w:rightChars="0"/>
    </w:pPr>
    <w:rPr>
      <w:rFonts w:ascii="Times New Roman" w:eastAsia="宋体"/>
      <w:szCs w:val="20"/>
    </w:rPr>
  </w:style>
  <w:style w:type="paragraph" w:customStyle="1" w:styleId="1839">
    <w:name w:val="表第一列"/>
    <w:basedOn w:val="86"/>
    <w:autoRedefine/>
    <w:qFormat/>
    <w:uiPriority w:val="39"/>
    <w:pPr>
      <w:keepLines/>
      <w:tabs>
        <w:tab w:val="left" w:pos="1727"/>
        <w:tab w:val="left" w:pos="1884"/>
        <w:tab w:val="left" w:pos="2940"/>
      </w:tabs>
      <w:adjustRightInd w:val="0"/>
      <w:snapToGrid w:val="0"/>
      <w:spacing w:after="0" w:line="0" w:lineRule="atLeast"/>
      <w:ind w:firstLine="0" w:firstLineChars="0"/>
      <w:jc w:val="center"/>
    </w:pPr>
    <w:rPr>
      <w:rFonts w:ascii="宋体" w:hAnsi="宋体"/>
      <w:color w:val="000000"/>
      <w:spacing w:val="-4"/>
    </w:rPr>
  </w:style>
  <w:style w:type="paragraph" w:customStyle="1" w:styleId="1840">
    <w:name w:val="xl91"/>
    <w:basedOn w:val="1"/>
    <w:autoRedefine/>
    <w:qFormat/>
    <w:uiPriority w:val="0"/>
    <w:pPr>
      <w:widowControl/>
      <w:pBdr>
        <w:bottom w:val="single" w:color="auto" w:sz="12"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841">
    <w:name w:val="表内文字小114"/>
    <w:basedOn w:val="1"/>
    <w:autoRedefine/>
    <w:qFormat/>
    <w:uiPriority w:val="0"/>
    <w:pPr>
      <w:adjustRightInd w:val="0"/>
      <w:snapToGrid w:val="0"/>
    </w:pPr>
    <w:rPr>
      <w:rFonts w:ascii="宋体" w:hAnsi="Times" w:cs="宋体"/>
      <w:szCs w:val="20"/>
    </w:rPr>
  </w:style>
  <w:style w:type="paragraph" w:customStyle="1" w:styleId="1842">
    <w:name w:val="Char Char Char Char1"/>
    <w:basedOn w:val="1"/>
    <w:autoRedefine/>
    <w:qFormat/>
    <w:uiPriority w:val="99"/>
    <w:rPr>
      <w:sz w:val="28"/>
    </w:rPr>
  </w:style>
  <w:style w:type="paragraph" w:customStyle="1" w:styleId="1843">
    <w:name w:val="表内文字小3131"/>
    <w:basedOn w:val="1"/>
    <w:autoRedefine/>
    <w:qFormat/>
    <w:uiPriority w:val="0"/>
    <w:pPr>
      <w:adjustRightInd w:val="0"/>
      <w:snapToGrid w:val="0"/>
      <w:jc w:val="center"/>
    </w:pPr>
    <w:rPr>
      <w:rFonts w:ascii="宋体" w:hAnsi="Times" w:cs="宋体"/>
      <w:bCs/>
      <w:color w:val="003366"/>
      <w:szCs w:val="20"/>
    </w:rPr>
  </w:style>
  <w:style w:type="paragraph" w:customStyle="1" w:styleId="1844">
    <w:name w:val="layer3"/>
    <w:basedOn w:val="1"/>
    <w:next w:val="9"/>
    <w:autoRedefine/>
    <w:qFormat/>
    <w:uiPriority w:val="99"/>
    <w:pPr>
      <w:spacing w:before="120" w:after="120" w:line="300" w:lineRule="auto"/>
    </w:pPr>
    <w:rPr>
      <w:rFonts w:eastAsia="楷体_GB2312"/>
      <w:b/>
      <w:sz w:val="32"/>
      <w:szCs w:val="20"/>
    </w:rPr>
  </w:style>
  <w:style w:type="paragraph" w:customStyle="1" w:styleId="1845">
    <w:name w:val="表格字体"/>
    <w:basedOn w:val="1"/>
    <w:autoRedefine/>
    <w:qFormat/>
    <w:uiPriority w:val="0"/>
    <w:pPr>
      <w:spacing w:line="360" w:lineRule="auto"/>
      <w:jc w:val="center"/>
    </w:pPr>
    <w:rPr>
      <w:sz w:val="24"/>
      <w:szCs w:val="20"/>
    </w:rPr>
  </w:style>
  <w:style w:type="paragraph" w:customStyle="1" w:styleId="1846">
    <w:name w:val="样式 标题 2第一章 标题 2Heading 2 HiddenHeading 2 CCBSheading 2H2h2...1"/>
    <w:basedOn w:val="4"/>
    <w:autoRedefine/>
    <w:qFormat/>
    <w:uiPriority w:val="0"/>
    <w:pPr>
      <w:spacing w:before="120" w:after="120" w:line="500" w:lineRule="exact"/>
    </w:pPr>
    <w:rPr>
      <w:rFonts w:ascii="Times New Roman" w:hAnsi="Times New Roman" w:eastAsia="仿宋_GB2312" w:cs="宋体"/>
      <w:sz w:val="28"/>
      <w:szCs w:val="20"/>
    </w:rPr>
  </w:style>
  <w:style w:type="paragraph" w:customStyle="1" w:styleId="1847">
    <w:name w:val="xl124"/>
    <w:basedOn w:val="1"/>
    <w:autoRedefine/>
    <w:qFormat/>
    <w:uiPriority w:val="99"/>
    <w:pPr>
      <w:widowControl/>
      <w:pBdr>
        <w:left w:val="single" w:color="auto" w:sz="4" w:space="0"/>
        <w:bottom w:val="single" w:color="auto" w:sz="8" w:space="0"/>
      </w:pBdr>
      <w:spacing w:before="100" w:beforeAutospacing="1" w:after="100" w:afterAutospacing="1"/>
      <w:jc w:val="left"/>
    </w:pPr>
    <w:rPr>
      <w:rFonts w:ascii="Arial Unicode MS" w:hAnsi="Arial Unicode MS"/>
      <w:kern w:val="0"/>
      <w:sz w:val="16"/>
      <w:szCs w:val="16"/>
    </w:rPr>
  </w:style>
  <w:style w:type="paragraph" w:customStyle="1" w:styleId="1848">
    <w:name w:val="燕山正文15"/>
    <w:basedOn w:val="1"/>
    <w:autoRedefine/>
    <w:qFormat/>
    <w:uiPriority w:val="0"/>
    <w:pPr>
      <w:tabs>
        <w:tab w:val="left" w:pos="4680"/>
      </w:tabs>
      <w:adjustRightInd w:val="0"/>
      <w:snapToGrid w:val="0"/>
      <w:spacing w:line="480" w:lineRule="exact"/>
    </w:pPr>
    <w:rPr>
      <w:rFonts w:ascii="宋体" w:cs="宋体"/>
      <w:sz w:val="24"/>
    </w:rPr>
  </w:style>
  <w:style w:type="paragraph" w:customStyle="1" w:styleId="1849">
    <w:name w:val="节标"/>
    <w:basedOn w:val="1"/>
    <w:autoRedefine/>
    <w:qFormat/>
    <w:uiPriority w:val="39"/>
    <w:pPr>
      <w:widowControl/>
      <w:autoSpaceDE w:val="0"/>
      <w:autoSpaceDN w:val="0"/>
      <w:adjustRightInd w:val="0"/>
      <w:spacing w:line="480" w:lineRule="exact"/>
      <w:ind w:firstLine="567"/>
      <w:jc w:val="center"/>
      <w:textAlignment w:val="bottom"/>
    </w:pPr>
    <w:rPr>
      <w:b/>
      <w:kern w:val="0"/>
      <w:sz w:val="30"/>
      <w:szCs w:val="28"/>
    </w:rPr>
  </w:style>
  <w:style w:type="paragraph" w:customStyle="1" w:styleId="1850">
    <w:name w:val="Char Char Char Char Char Char Char Char2"/>
    <w:basedOn w:val="1"/>
    <w:autoRedefine/>
    <w:qFormat/>
    <w:uiPriority w:val="99"/>
    <w:rPr>
      <w:sz w:val="24"/>
    </w:rPr>
  </w:style>
  <w:style w:type="paragraph" w:customStyle="1" w:styleId="1851">
    <w:name w:val="xl160"/>
    <w:basedOn w:val="1"/>
    <w:autoRedefine/>
    <w:qFormat/>
    <w:uiPriority w:val="99"/>
    <w:pPr>
      <w:widowControl/>
      <w:spacing w:before="100" w:beforeAutospacing="1" w:after="100" w:afterAutospacing="1"/>
      <w:jc w:val="center"/>
      <w:textAlignment w:val="center"/>
    </w:pPr>
    <w:rPr>
      <w:rFonts w:ascii="Arial Unicode MS" w:hAnsi="Arial Unicode MS"/>
      <w:kern w:val="0"/>
    </w:rPr>
  </w:style>
  <w:style w:type="paragraph" w:customStyle="1" w:styleId="1852">
    <w:name w:val="xl135"/>
    <w:basedOn w:val="1"/>
    <w:autoRedefine/>
    <w:qFormat/>
    <w:uiPriority w:val="99"/>
    <w:pPr>
      <w:widowControl/>
      <w:spacing w:before="100" w:beforeAutospacing="1" w:after="100" w:afterAutospacing="1"/>
      <w:jc w:val="center"/>
    </w:pPr>
    <w:rPr>
      <w:rFonts w:ascii="Arial Unicode MS" w:hAnsi="Arial Unicode MS"/>
      <w:kern w:val="0"/>
      <w:sz w:val="16"/>
      <w:szCs w:val="16"/>
    </w:rPr>
  </w:style>
  <w:style w:type="paragraph" w:customStyle="1" w:styleId="1853">
    <w:name w:val="注释2"/>
    <w:basedOn w:val="418"/>
    <w:next w:val="34"/>
    <w:autoRedefine/>
    <w:qFormat/>
    <w:uiPriority w:val="0"/>
    <w:pPr>
      <w:spacing w:before="120" w:after="120" w:line="240" w:lineRule="auto"/>
      <w:ind w:firstLine="200" w:firstLineChars="200"/>
    </w:pPr>
    <w:rPr>
      <w:rFonts w:ascii="宋体" w:hAnsi="Times New Roman" w:cs="宋体"/>
      <w:b w:val="0"/>
      <w:spacing w:val="0"/>
    </w:rPr>
  </w:style>
  <w:style w:type="paragraph" w:customStyle="1" w:styleId="1854">
    <w:name w:val="黑体三号13"/>
    <w:basedOn w:val="418"/>
    <w:autoRedefine/>
    <w:qFormat/>
    <w:uiPriority w:val="0"/>
    <w:pPr>
      <w:jc w:val="center"/>
    </w:pPr>
    <w:rPr>
      <w:rFonts w:ascii="黑体" w:hAnsi="宋体" w:eastAsia="黑体" w:cs="宋体"/>
      <w:bCs/>
      <w:spacing w:val="0"/>
      <w:sz w:val="32"/>
    </w:rPr>
  </w:style>
  <w:style w:type="paragraph" w:customStyle="1" w:styleId="1855">
    <w:name w:val="正文.5"/>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1856">
    <w:name w:val="正文格式213"/>
    <w:basedOn w:val="1"/>
    <w:autoRedefine/>
    <w:qFormat/>
    <w:uiPriority w:val="0"/>
    <w:pPr>
      <w:spacing w:line="360" w:lineRule="auto"/>
      <w:ind w:firstLine="482"/>
    </w:pPr>
    <w:rPr>
      <w:rFonts w:ascii="宋体" w:hAnsi="宋体"/>
      <w:sz w:val="24"/>
    </w:rPr>
  </w:style>
  <w:style w:type="paragraph" w:customStyle="1" w:styleId="1857">
    <w:name w:val="字元"/>
    <w:basedOn w:val="1"/>
    <w:autoRedefine/>
    <w:qFormat/>
    <w:uiPriority w:val="0"/>
    <w:rPr>
      <w:sz w:val="24"/>
    </w:rPr>
  </w:style>
  <w:style w:type="paragraph" w:customStyle="1" w:styleId="1858">
    <w:name w:val="Char161"/>
    <w:basedOn w:val="1"/>
    <w:autoRedefine/>
    <w:qFormat/>
    <w:uiPriority w:val="0"/>
    <w:pPr>
      <w:ind w:left="-48"/>
    </w:pPr>
  </w:style>
  <w:style w:type="paragraph" w:customStyle="1" w:styleId="1859">
    <w:name w:val="正文新 Char"/>
    <w:basedOn w:val="1"/>
    <w:autoRedefine/>
    <w:qFormat/>
    <w:uiPriority w:val="0"/>
    <w:pPr>
      <w:spacing w:line="360" w:lineRule="auto"/>
      <w:ind w:firstLine="480" w:firstLineChars="200"/>
    </w:pPr>
    <w:rPr>
      <w:sz w:val="24"/>
      <w:szCs w:val="20"/>
    </w:rPr>
  </w:style>
  <w:style w:type="paragraph" w:customStyle="1" w:styleId="1860">
    <w:name w:val="样式 标题 3 + 行距: 最小值 25 磅"/>
    <w:basedOn w:val="5"/>
    <w:autoRedefine/>
    <w:qFormat/>
    <w:uiPriority w:val="0"/>
    <w:pPr>
      <w:ind w:left="720" w:hanging="432"/>
    </w:pPr>
    <w:rPr>
      <w:kern w:val="0"/>
      <w:lang w:val="en-US"/>
    </w:rPr>
  </w:style>
  <w:style w:type="paragraph" w:customStyle="1" w:styleId="1861">
    <w:name w:val="xl102"/>
    <w:basedOn w:val="1"/>
    <w:autoRedefine/>
    <w:qFormat/>
    <w:uiPriority w:val="0"/>
    <w:pPr>
      <w:widowControl/>
      <w:pBdr>
        <w:left w:val="single" w:color="auto" w:sz="4" w:space="0"/>
        <w:bottom w:val="single" w:color="auto" w:sz="12" w:space="0"/>
        <w:right w:val="single" w:color="auto" w:sz="12" w:space="0"/>
      </w:pBdr>
      <w:spacing w:before="100" w:beforeAutospacing="1" w:after="100" w:afterAutospacing="1"/>
      <w:jc w:val="center"/>
      <w:textAlignment w:val="center"/>
    </w:pPr>
    <w:rPr>
      <w:kern w:val="0"/>
      <w:sz w:val="12"/>
      <w:szCs w:val="12"/>
    </w:rPr>
  </w:style>
  <w:style w:type="paragraph" w:customStyle="1" w:styleId="1862">
    <w:name w:val="样式 标题 3 + 11 磅 蓝色"/>
    <w:basedOn w:val="5"/>
    <w:autoRedefine/>
    <w:qFormat/>
    <w:uiPriority w:val="0"/>
    <w:pPr>
      <w:ind w:left="720" w:hanging="432"/>
    </w:pPr>
    <w:rPr>
      <w:kern w:val="0"/>
      <w:lang w:val="en-US"/>
    </w:rPr>
  </w:style>
  <w:style w:type="paragraph" w:customStyle="1" w:styleId="1863">
    <w:name w:val="正文首行缩进6字符"/>
    <w:basedOn w:val="1864"/>
    <w:autoRedefine/>
    <w:qFormat/>
    <w:uiPriority w:val="0"/>
    <w:pPr>
      <w:ind w:left="400" w:leftChars="400"/>
    </w:pPr>
    <w:rPr>
      <w:rFonts w:cs="宋体"/>
    </w:rPr>
  </w:style>
  <w:style w:type="paragraph" w:customStyle="1" w:styleId="1864">
    <w:name w:val="四级目录"/>
    <w:basedOn w:val="1"/>
    <w:autoRedefine/>
    <w:qFormat/>
    <w:uiPriority w:val="0"/>
    <w:pPr>
      <w:spacing w:line="500" w:lineRule="exact"/>
      <w:ind w:left="200" w:leftChars="200" w:firstLine="200" w:firstLineChars="200"/>
    </w:pPr>
    <w:rPr>
      <w:rFonts w:ascii="宋体" w:hAnsi="宋体"/>
      <w:sz w:val="28"/>
      <w:szCs w:val="28"/>
    </w:rPr>
  </w:style>
  <w:style w:type="paragraph" w:customStyle="1" w:styleId="1865">
    <w:name w:val="xl196"/>
    <w:basedOn w:val="1"/>
    <w:autoRedefine/>
    <w:qFormat/>
    <w:uiPriority w:val="99"/>
    <w:pPr>
      <w:widowControl/>
      <w:pBdr>
        <w:left w:val="single" w:color="auto" w:sz="4" w:space="0"/>
        <w:right w:val="single" w:color="auto" w:sz="4" w:space="0"/>
      </w:pBdr>
      <w:spacing w:before="100" w:beforeAutospacing="1" w:after="100" w:afterAutospacing="1"/>
      <w:jc w:val="center"/>
    </w:pPr>
    <w:rPr>
      <w:rFonts w:ascii="Arial Unicode MS" w:hAnsi="Arial Unicode MS"/>
      <w:kern w:val="0"/>
    </w:rPr>
  </w:style>
  <w:style w:type="paragraph" w:customStyle="1" w:styleId="1866">
    <w:name w:val="附件13"/>
    <w:basedOn w:val="3"/>
    <w:next w:val="418"/>
    <w:autoRedefine/>
    <w:qFormat/>
    <w:uiPriority w:val="0"/>
    <w:pPr>
      <w:keepLines/>
      <w:tabs>
        <w:tab w:val="left" w:pos="1566"/>
      </w:tabs>
      <w:overflowPunct/>
      <w:adjustRightInd w:val="0"/>
      <w:spacing w:beforeLines="100" w:after="0" w:line="360" w:lineRule="auto"/>
      <w:ind w:left="0" w:firstLine="0"/>
    </w:pPr>
    <w:rPr>
      <w:rFonts w:ascii="黑体" w:hAnsi="宋体"/>
      <w:color w:val="auto"/>
      <w:sz w:val="32"/>
      <w:szCs w:val="32"/>
    </w:rPr>
  </w:style>
  <w:style w:type="paragraph" w:customStyle="1" w:styleId="1867">
    <w:name w:val="三级"/>
    <w:basedOn w:val="5"/>
    <w:next w:val="1"/>
    <w:autoRedefine/>
    <w:qFormat/>
    <w:uiPriority w:val="99"/>
    <w:pPr>
      <w:ind w:left="720" w:hanging="432"/>
    </w:pPr>
    <w:rPr>
      <w:kern w:val="0"/>
      <w:lang w:val="en-US"/>
    </w:rPr>
  </w:style>
  <w:style w:type="paragraph" w:customStyle="1" w:styleId="1868">
    <w:name w:val="标题一"/>
    <w:basedOn w:val="3"/>
    <w:autoRedefine/>
    <w:qFormat/>
    <w:uiPriority w:val="99"/>
    <w:pPr>
      <w:tabs>
        <w:tab w:val="left" w:pos="360"/>
      </w:tabs>
      <w:overflowPunct/>
      <w:snapToGrid/>
      <w:spacing w:before="0" w:after="0" w:line="240" w:lineRule="auto"/>
      <w:ind w:left="0" w:firstLine="0"/>
      <w:jc w:val="center"/>
    </w:pPr>
    <w:rPr>
      <w:rFonts w:ascii="Calibri" w:hAnsi="Calibri" w:eastAsia="楷体_GB2312"/>
      <w:b w:val="0"/>
      <w:bCs w:val="0"/>
      <w:color w:val="auto"/>
      <w:kern w:val="0"/>
      <w:sz w:val="28"/>
      <w:szCs w:val="20"/>
    </w:rPr>
  </w:style>
  <w:style w:type="paragraph" w:customStyle="1" w:styleId="1869">
    <w:name w:val="样式2.2"/>
    <w:basedOn w:val="1400"/>
    <w:autoRedefine/>
    <w:qFormat/>
    <w:uiPriority w:val="99"/>
    <w:pPr>
      <w:tabs>
        <w:tab w:val="left" w:pos="-480"/>
        <w:tab w:val="left" w:pos="0"/>
      </w:tabs>
      <w:spacing w:beforeLines="0"/>
      <w:ind w:left="1740" w:hanging="420"/>
    </w:pPr>
  </w:style>
  <w:style w:type="paragraph" w:customStyle="1" w:styleId="1870">
    <w:name w:val="表内文字小3123"/>
    <w:basedOn w:val="1"/>
    <w:autoRedefine/>
    <w:qFormat/>
    <w:uiPriority w:val="0"/>
    <w:pPr>
      <w:adjustRightInd w:val="0"/>
      <w:snapToGrid w:val="0"/>
      <w:jc w:val="center"/>
    </w:pPr>
    <w:rPr>
      <w:rFonts w:ascii="宋体" w:hAnsi="Times" w:cs="宋体"/>
      <w:bCs/>
      <w:color w:val="003366"/>
      <w:szCs w:val="20"/>
    </w:rPr>
  </w:style>
  <w:style w:type="paragraph" w:customStyle="1" w:styleId="1871">
    <w:name w:val="表内文字小83"/>
    <w:basedOn w:val="1"/>
    <w:autoRedefine/>
    <w:qFormat/>
    <w:uiPriority w:val="0"/>
    <w:pPr>
      <w:adjustRightInd w:val="0"/>
      <w:snapToGrid w:val="0"/>
      <w:jc w:val="center"/>
    </w:pPr>
    <w:rPr>
      <w:rFonts w:ascii="宋体" w:hAnsi="Times" w:cs="宋体"/>
      <w:szCs w:val="20"/>
    </w:rPr>
  </w:style>
  <w:style w:type="paragraph" w:customStyle="1" w:styleId="1872">
    <w:name w:val="Char Char Char Char1 Char Char Char21"/>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1873">
    <w:name w:val="表内文字小811"/>
    <w:basedOn w:val="1"/>
    <w:autoRedefine/>
    <w:qFormat/>
    <w:uiPriority w:val="0"/>
    <w:pPr>
      <w:adjustRightInd w:val="0"/>
      <w:snapToGrid w:val="0"/>
      <w:jc w:val="center"/>
    </w:pPr>
    <w:rPr>
      <w:rFonts w:ascii="宋体" w:hAnsi="Times" w:cs="宋体"/>
      <w:szCs w:val="20"/>
    </w:rPr>
  </w:style>
  <w:style w:type="paragraph" w:customStyle="1" w:styleId="1874">
    <w:name w:val="xl140"/>
    <w:basedOn w:val="1"/>
    <w:autoRedefine/>
    <w:qFormat/>
    <w:uiPriority w:val="99"/>
    <w:pPr>
      <w:widowControl/>
      <w:spacing w:before="100" w:beforeAutospacing="1" w:after="100" w:afterAutospacing="1"/>
      <w:jc w:val="center"/>
      <w:textAlignment w:val="center"/>
    </w:pPr>
    <w:rPr>
      <w:rFonts w:ascii="Arial Unicode MS" w:hAnsi="Arial Unicode MS"/>
      <w:kern w:val="0"/>
      <w:sz w:val="16"/>
      <w:szCs w:val="16"/>
    </w:rPr>
  </w:style>
  <w:style w:type="paragraph" w:customStyle="1" w:styleId="1875">
    <w:name w:val="文本框1"/>
    <w:basedOn w:val="1"/>
    <w:autoRedefine/>
    <w:qFormat/>
    <w:uiPriority w:val="0"/>
    <w:pPr>
      <w:adjustRightInd w:val="0"/>
      <w:snapToGrid w:val="0"/>
      <w:spacing w:after="6"/>
      <w:jc w:val="center"/>
    </w:pPr>
    <w:rPr>
      <w:rFonts w:eastAsia="仿宋_GB2312"/>
    </w:rPr>
  </w:style>
  <w:style w:type="paragraph" w:customStyle="1" w:styleId="1876">
    <w:name w:val="Char17"/>
    <w:basedOn w:val="1"/>
    <w:autoRedefine/>
    <w:qFormat/>
    <w:uiPriority w:val="0"/>
    <w:pPr>
      <w:ind w:left="-48"/>
    </w:pPr>
  </w:style>
  <w:style w:type="paragraph" w:customStyle="1" w:styleId="1877">
    <w:name w:val="xl116"/>
    <w:basedOn w:val="1"/>
    <w:autoRedefine/>
    <w:qFormat/>
    <w:uiPriority w:val="99"/>
    <w:pPr>
      <w:widowControl/>
      <w:pBdr>
        <w:bottom w:val="single" w:color="auto" w:sz="8" w:space="0"/>
      </w:pBdr>
      <w:spacing w:before="100" w:beforeAutospacing="1" w:after="100" w:afterAutospacing="1"/>
      <w:jc w:val="left"/>
    </w:pPr>
    <w:rPr>
      <w:rFonts w:ascii="Arial Unicode MS" w:hAnsi="Arial Unicode MS"/>
      <w:kern w:val="0"/>
      <w:sz w:val="16"/>
      <w:szCs w:val="16"/>
    </w:rPr>
  </w:style>
  <w:style w:type="paragraph" w:customStyle="1" w:styleId="1878">
    <w:name w:val="xl191"/>
    <w:basedOn w:val="1"/>
    <w:autoRedefine/>
    <w:qFormat/>
    <w:uiPriority w:val="99"/>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879">
    <w:name w:val="Char Char Char Char Char Char Char Char Char Char Char Char Char Char Char Char"/>
    <w:basedOn w:val="1"/>
    <w:autoRedefine/>
    <w:qFormat/>
    <w:uiPriority w:val="0"/>
    <w:rPr>
      <w:szCs w:val="20"/>
    </w:rPr>
  </w:style>
  <w:style w:type="paragraph" w:customStyle="1" w:styleId="1880">
    <w:name w:val="样式 标题 4无效格式无效格式1河石管道4H4H41小小节河石管道41H42H411小小节1河石管道42...3"/>
    <w:basedOn w:val="6"/>
    <w:autoRedefine/>
    <w:qFormat/>
    <w:uiPriority w:val="0"/>
    <w:pPr>
      <w:adjustRightInd w:val="0"/>
      <w:snapToGrid w:val="0"/>
      <w:spacing w:before="0" w:after="0" w:line="360" w:lineRule="auto"/>
      <w:ind w:left="664" w:hanging="864"/>
    </w:pPr>
    <w:rPr>
      <w:rFonts w:ascii="黑体"/>
      <w:b w:val="0"/>
      <w:bCs w:val="0"/>
      <w:sz w:val="24"/>
      <w:szCs w:val="24"/>
    </w:rPr>
  </w:style>
  <w:style w:type="paragraph" w:customStyle="1" w:styleId="1881">
    <w:name w:val="表内"/>
    <w:basedOn w:val="1"/>
    <w:next w:val="1"/>
    <w:autoRedefine/>
    <w:qFormat/>
    <w:uiPriority w:val="0"/>
    <w:pPr>
      <w:adjustRightInd w:val="0"/>
      <w:snapToGrid w:val="0"/>
      <w:spacing w:before="120" w:after="120" w:line="288" w:lineRule="auto"/>
      <w:jc w:val="center"/>
    </w:pPr>
    <w:rPr>
      <w:snapToGrid w:val="0"/>
      <w:szCs w:val="20"/>
    </w:rPr>
  </w:style>
  <w:style w:type="paragraph" w:customStyle="1" w:styleId="1882">
    <w:name w:val="Char Char Char Char Char Char Char Char Char Char Char Char Char Char Char"/>
    <w:basedOn w:val="1"/>
    <w:autoRedefine/>
    <w:qFormat/>
    <w:uiPriority w:val="39"/>
    <w:rPr>
      <w:sz w:val="24"/>
    </w:rPr>
  </w:style>
  <w:style w:type="paragraph" w:customStyle="1" w:styleId="1883">
    <w:name w:val="Char413"/>
    <w:basedOn w:val="1"/>
    <w:autoRedefine/>
    <w:qFormat/>
    <w:uiPriority w:val="0"/>
    <w:rPr>
      <w:sz w:val="24"/>
    </w:rPr>
  </w:style>
  <w:style w:type="paragraph" w:customStyle="1" w:styleId="1884">
    <w:name w:val="Char Char Char Char Char Char Char Char Char Char Char Char Char Char Char Char Char Char Char"/>
    <w:basedOn w:val="1"/>
    <w:autoRedefine/>
    <w:qFormat/>
    <w:uiPriority w:val="0"/>
    <w:rPr>
      <w:sz w:val="24"/>
    </w:rPr>
  </w:style>
  <w:style w:type="paragraph" w:customStyle="1" w:styleId="1885">
    <w:name w:val="样式 标题 3 + (西文) Times New Roman (中文) 宋体 小四 加粗"/>
    <w:basedOn w:val="5"/>
    <w:autoRedefine/>
    <w:qFormat/>
    <w:uiPriority w:val="0"/>
    <w:pPr>
      <w:ind w:left="720" w:hanging="432"/>
    </w:pPr>
    <w:rPr>
      <w:kern w:val="0"/>
      <w:lang w:val="en-US"/>
    </w:rPr>
  </w:style>
  <w:style w:type="paragraph" w:customStyle="1" w:styleId="1886">
    <w:name w:val="xl41"/>
    <w:basedOn w:val="1"/>
    <w:autoRedefine/>
    <w:qFormat/>
    <w:uiPriority w:val="0"/>
    <w:pPr>
      <w:widowControl/>
      <w:pBdr>
        <w:left w:val="single" w:color="auto" w:sz="12" w:space="0"/>
        <w:right w:val="single" w:color="auto" w:sz="12"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887">
    <w:name w:val="样式 正文缩进 + 宋体 黑色2"/>
    <w:basedOn w:val="9"/>
    <w:autoRedefine/>
    <w:qFormat/>
    <w:uiPriority w:val="0"/>
    <w:pPr>
      <w:spacing w:line="360" w:lineRule="auto"/>
      <w:ind w:firstLine="200"/>
      <w:jc w:val="left"/>
    </w:pPr>
    <w:rPr>
      <w:rFonts w:ascii="宋体" w:hAnsi="宋体"/>
      <w:color w:val="000000"/>
      <w:kern w:val="0"/>
      <w:sz w:val="24"/>
      <w:lang w:val="en-US"/>
    </w:rPr>
  </w:style>
  <w:style w:type="paragraph" w:customStyle="1" w:styleId="1888">
    <w:name w:val="正文修改411"/>
    <w:basedOn w:val="193"/>
    <w:autoRedefine/>
    <w:qFormat/>
    <w:uiPriority w:val="0"/>
    <w:rPr>
      <w:rFonts w:hAnsi="宋体"/>
      <w:color w:val="000000"/>
    </w:rPr>
  </w:style>
  <w:style w:type="paragraph" w:customStyle="1" w:styleId="1889">
    <w:name w:val="一级无标题条"/>
    <w:basedOn w:val="1"/>
    <w:autoRedefine/>
    <w:qFormat/>
    <w:uiPriority w:val="99"/>
    <w:rPr>
      <w:szCs w:val="20"/>
    </w:rPr>
  </w:style>
  <w:style w:type="paragraph" w:customStyle="1" w:styleId="1890">
    <w:name w:val="表内53111"/>
    <w:basedOn w:val="1"/>
    <w:autoRedefine/>
    <w:qFormat/>
    <w:uiPriority w:val="0"/>
    <w:pPr>
      <w:adjustRightInd w:val="0"/>
      <w:snapToGrid w:val="0"/>
      <w:spacing w:line="300" w:lineRule="auto"/>
      <w:jc w:val="left"/>
    </w:pPr>
    <w:rPr>
      <w:rFonts w:ascii="宋体"/>
      <w:szCs w:val="20"/>
    </w:rPr>
  </w:style>
  <w:style w:type="paragraph" w:customStyle="1" w:styleId="1891">
    <w:name w:val="4级标题"/>
    <w:basedOn w:val="84"/>
    <w:autoRedefine/>
    <w:qFormat/>
    <w:uiPriority w:val="0"/>
    <w:pPr>
      <w:widowControl w:val="0"/>
      <w:spacing w:before="0" w:after="0" w:line="500" w:lineRule="exact"/>
      <w:ind w:left="0" w:right="0" w:firstLine="0"/>
      <w:jc w:val="both"/>
      <w:outlineLvl w:val="3"/>
    </w:pPr>
    <w:rPr>
      <w:rFonts w:ascii="宋体" w:hAnsi="宋体" w:cs="Arial"/>
      <w:bCs w:val="0"/>
      <w:color w:val="auto"/>
      <w:sz w:val="24"/>
      <w:szCs w:val="24"/>
    </w:rPr>
  </w:style>
  <w:style w:type="paragraph" w:customStyle="1" w:styleId="1892">
    <w:name w:val="表中文字1112"/>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1893">
    <w:name w:val="Char231"/>
    <w:basedOn w:val="1"/>
    <w:autoRedefine/>
    <w:qFormat/>
    <w:uiPriority w:val="0"/>
    <w:pPr>
      <w:ind w:left="-48"/>
    </w:pPr>
  </w:style>
  <w:style w:type="paragraph" w:customStyle="1" w:styleId="1894">
    <w:name w:val="Char63"/>
    <w:basedOn w:val="1"/>
    <w:autoRedefine/>
    <w:qFormat/>
    <w:uiPriority w:val="0"/>
    <w:pPr>
      <w:adjustRightInd w:val="0"/>
      <w:snapToGrid w:val="0"/>
      <w:spacing w:beforeLines="50" w:line="360" w:lineRule="auto"/>
    </w:pPr>
    <w:rPr>
      <w:rFonts w:ascii="黑体" w:eastAsia="黑体"/>
      <w:sz w:val="32"/>
      <w:szCs w:val="32"/>
    </w:rPr>
  </w:style>
  <w:style w:type="paragraph" w:customStyle="1" w:styleId="1895">
    <w:name w:val="xl54"/>
    <w:basedOn w:val="1"/>
    <w:autoRedefine/>
    <w:qFormat/>
    <w:uiPriority w:val="0"/>
    <w:pPr>
      <w:widowControl/>
      <w:pBdr>
        <w:left w:val="single" w:color="auto" w:sz="4" w:space="0"/>
        <w:bottom w:val="single" w:color="auto" w:sz="12" w:space="0"/>
      </w:pBdr>
      <w:spacing w:before="100" w:beforeAutospacing="1" w:after="100" w:afterAutospacing="1"/>
      <w:jc w:val="left"/>
    </w:pPr>
    <w:rPr>
      <w:rFonts w:ascii="Arial Unicode MS" w:hAnsi="Arial Unicode MS"/>
      <w:kern w:val="0"/>
      <w:sz w:val="16"/>
      <w:szCs w:val="16"/>
    </w:rPr>
  </w:style>
  <w:style w:type="paragraph" w:customStyle="1" w:styleId="1896">
    <w:name w:val="样式 标题 4无效格式无效格式1河石管道4H4H41小小节河石管道41H42H411小小节1河石管道42...111"/>
    <w:basedOn w:val="6"/>
    <w:autoRedefine/>
    <w:qFormat/>
    <w:uiPriority w:val="0"/>
    <w:pPr>
      <w:adjustRightInd w:val="0"/>
      <w:snapToGrid w:val="0"/>
      <w:spacing w:before="0" w:after="0" w:line="360" w:lineRule="auto"/>
      <w:ind w:left="664" w:hanging="864"/>
      <w:jc w:val="left"/>
    </w:pPr>
    <w:rPr>
      <w:rFonts w:ascii="黑体" w:cs="宋体"/>
      <w:b w:val="0"/>
      <w:bCs w:val="0"/>
      <w:sz w:val="24"/>
      <w:szCs w:val="20"/>
    </w:rPr>
  </w:style>
  <w:style w:type="paragraph" w:customStyle="1" w:styleId="1897">
    <w:name w:val="样式 标题 3 + 黑色 行距: 最小值 25 磅"/>
    <w:basedOn w:val="5"/>
    <w:autoRedefine/>
    <w:qFormat/>
    <w:uiPriority w:val="0"/>
    <w:pPr>
      <w:ind w:left="720" w:hanging="432"/>
    </w:pPr>
    <w:rPr>
      <w:kern w:val="0"/>
      <w:lang w:val="en-US"/>
    </w:rPr>
  </w:style>
  <w:style w:type="paragraph" w:customStyle="1" w:styleId="1898">
    <w:name w:val="表题152"/>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1899">
    <w:name w:val="表字"/>
    <w:basedOn w:val="1"/>
    <w:autoRedefine/>
    <w:qFormat/>
    <w:uiPriority w:val="0"/>
    <w:pPr>
      <w:spacing w:line="300" w:lineRule="auto"/>
      <w:ind w:firstLine="573"/>
      <w:jc w:val="center"/>
    </w:pPr>
    <w:rPr>
      <w:rFonts w:eastAsia="楷体_GB2312"/>
      <w:szCs w:val="20"/>
    </w:rPr>
  </w:style>
  <w:style w:type="paragraph" w:customStyle="1" w:styleId="1900">
    <w:name w:val="表中文字113"/>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1901">
    <w:name w:val="xl195"/>
    <w:basedOn w:val="1"/>
    <w:autoRedefine/>
    <w:qFormat/>
    <w:uiPriority w:val="99"/>
    <w:pPr>
      <w:widowControl/>
      <w:pBdr>
        <w:top w:val="single" w:color="auto" w:sz="4" w:space="0"/>
        <w:left w:val="single" w:color="auto" w:sz="4" w:space="0"/>
        <w:right w:val="single" w:color="auto" w:sz="4" w:space="0"/>
      </w:pBdr>
      <w:spacing w:before="100" w:beforeAutospacing="1" w:after="100" w:afterAutospacing="1"/>
      <w:jc w:val="center"/>
    </w:pPr>
    <w:rPr>
      <w:rFonts w:ascii="Arial Unicode MS" w:hAnsi="Arial Unicode MS"/>
      <w:kern w:val="0"/>
    </w:rPr>
  </w:style>
  <w:style w:type="paragraph" w:customStyle="1" w:styleId="1902">
    <w:name w:val="表内文字边12"/>
    <w:basedOn w:val="1"/>
    <w:autoRedefine/>
    <w:qFormat/>
    <w:uiPriority w:val="0"/>
    <w:pPr>
      <w:widowControl/>
      <w:adjustRightInd w:val="0"/>
      <w:snapToGrid w:val="0"/>
      <w:spacing w:line="240" w:lineRule="atLeast"/>
      <w:ind w:left="-21" w:leftChars="-10" w:right="-42" w:rightChars="-20"/>
    </w:pPr>
    <w:rPr>
      <w:rFonts w:ascii="宋体"/>
      <w:kern w:val="0"/>
      <w:szCs w:val="21"/>
    </w:rPr>
  </w:style>
  <w:style w:type="paragraph" w:customStyle="1" w:styleId="1903">
    <w:name w:val="xl108"/>
    <w:basedOn w:val="1"/>
    <w:autoRedefine/>
    <w:qFormat/>
    <w:uiPriority w:val="99"/>
    <w:pPr>
      <w:widowControl/>
      <w:pBdr>
        <w:bottom w:val="single" w:color="auto" w:sz="8"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904">
    <w:name w:val="Char Char Char Char Char Char Char Char Char Char Char1 Char Char Char Char Char Char12"/>
    <w:basedOn w:val="1"/>
    <w:autoRedefine/>
    <w:qFormat/>
    <w:uiPriority w:val="39"/>
    <w:rPr>
      <w:sz w:val="24"/>
    </w:rPr>
  </w:style>
  <w:style w:type="paragraph" w:customStyle="1" w:styleId="1905">
    <w:name w:val="xl132"/>
    <w:basedOn w:val="1"/>
    <w:autoRedefine/>
    <w:qFormat/>
    <w:uiPriority w:val="99"/>
    <w:pPr>
      <w:widowControl/>
      <w:pBdr>
        <w:top w:val="single" w:color="auto" w:sz="12" w:space="0"/>
        <w:left w:val="single" w:color="auto" w:sz="4" w:space="0"/>
      </w:pBdr>
      <w:spacing w:before="100" w:beforeAutospacing="1" w:after="100" w:afterAutospacing="1"/>
      <w:jc w:val="left"/>
    </w:pPr>
    <w:rPr>
      <w:rFonts w:ascii="Arial Unicode MS" w:hAnsi="Arial Unicode MS"/>
      <w:kern w:val="0"/>
      <w:sz w:val="16"/>
      <w:szCs w:val="16"/>
    </w:rPr>
  </w:style>
  <w:style w:type="paragraph" w:customStyle="1" w:styleId="1906">
    <w:name w:val="表题1413"/>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1907">
    <w:name w:val="表题315"/>
    <w:basedOn w:val="35"/>
    <w:autoRedefine/>
    <w:qFormat/>
    <w:uiPriority w:val="0"/>
    <w:pPr>
      <w:tabs>
        <w:tab w:val="left" w:pos="4305"/>
      </w:tabs>
      <w:adjustRightInd w:val="0"/>
      <w:snapToGrid w:val="0"/>
      <w:spacing w:after="0" w:line="360" w:lineRule="auto"/>
      <w:ind w:left="0" w:leftChars="0" w:firstLine="561"/>
    </w:pPr>
    <w:rPr>
      <w:rFonts w:ascii="宋体" w:hAnsi="宋体" w:cs="宋体"/>
      <w:color w:val="000000"/>
      <w:szCs w:val="24"/>
      <w:lang w:val="en-US"/>
    </w:rPr>
  </w:style>
  <w:style w:type="paragraph" w:customStyle="1" w:styleId="1908">
    <w:name w:val="Char Char Char Char Char Char"/>
    <w:basedOn w:val="1"/>
    <w:autoRedefine/>
    <w:qFormat/>
    <w:uiPriority w:val="0"/>
    <w:rPr>
      <w:sz w:val="24"/>
    </w:rPr>
  </w:style>
  <w:style w:type="paragraph" w:customStyle="1" w:styleId="1909">
    <w:name w:val="表格标题1"/>
    <w:basedOn w:val="66"/>
    <w:autoRedefine/>
    <w:qFormat/>
    <w:uiPriority w:val="0"/>
    <w:pPr>
      <w:spacing w:beforeLines="50" w:line="400" w:lineRule="exact"/>
      <w:ind w:left="0" w:right="0" w:rightChars="0"/>
    </w:pPr>
    <w:rPr>
      <w:rFonts w:ascii="黑体" w:eastAsia="黑体"/>
      <w:sz w:val="24"/>
      <w:szCs w:val="24"/>
    </w:rPr>
  </w:style>
  <w:style w:type="paragraph" w:customStyle="1" w:styleId="1910">
    <w:name w:val="燕山正文122"/>
    <w:basedOn w:val="1"/>
    <w:autoRedefine/>
    <w:qFormat/>
    <w:uiPriority w:val="0"/>
    <w:pPr>
      <w:tabs>
        <w:tab w:val="left" w:pos="4680"/>
      </w:tabs>
      <w:adjustRightInd w:val="0"/>
      <w:snapToGrid w:val="0"/>
      <w:spacing w:line="480" w:lineRule="exact"/>
    </w:pPr>
    <w:rPr>
      <w:rFonts w:ascii="宋体" w:cs="宋体"/>
      <w:sz w:val="24"/>
    </w:rPr>
  </w:style>
  <w:style w:type="paragraph" w:customStyle="1" w:styleId="1911">
    <w:name w:val="样式 样式2.4.1.1 + 段前: 0.5 行"/>
    <w:basedOn w:val="1912"/>
    <w:autoRedefine/>
    <w:qFormat/>
    <w:uiPriority w:val="99"/>
    <w:pPr>
      <w:tabs>
        <w:tab w:val="left" w:pos="0"/>
      </w:tabs>
      <w:ind w:left="2460" w:hanging="420"/>
    </w:pPr>
    <w:rPr>
      <w:rFonts w:cs="宋体"/>
      <w:szCs w:val="20"/>
    </w:rPr>
  </w:style>
  <w:style w:type="paragraph" w:customStyle="1" w:styleId="1912">
    <w:name w:val="样式2.5.1.1"/>
    <w:basedOn w:val="1"/>
    <w:autoRedefine/>
    <w:qFormat/>
    <w:uiPriority w:val="99"/>
    <w:pPr>
      <w:spacing w:beforeLines="50" w:line="360" w:lineRule="auto"/>
      <w:outlineLvl w:val="3"/>
    </w:pPr>
    <w:rPr>
      <w:b/>
      <w:bCs/>
      <w:color w:val="000000"/>
      <w:sz w:val="24"/>
    </w:rPr>
  </w:style>
  <w:style w:type="paragraph" w:customStyle="1" w:styleId="1913">
    <w:name w:val="xl127"/>
    <w:basedOn w:val="1"/>
    <w:autoRedefine/>
    <w:qFormat/>
    <w:uiPriority w:val="99"/>
    <w:pPr>
      <w:widowControl/>
      <w:pBdr>
        <w:top w:val="single" w:color="auto" w:sz="8" w:space="0"/>
        <w:bottom w:val="single" w:color="auto" w:sz="8"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914">
    <w:name w:val="样式 标题 3条标题1.1.1条标题1.1.11条标题1.1.12条标题1.1.13条标题1.1.111条标题1.1...1"/>
    <w:basedOn w:val="5"/>
    <w:autoRedefine/>
    <w:qFormat/>
    <w:uiPriority w:val="0"/>
    <w:pPr>
      <w:ind w:left="720" w:hanging="432"/>
    </w:pPr>
    <w:rPr>
      <w:kern w:val="0"/>
      <w:lang w:val="en-US"/>
    </w:rPr>
  </w:style>
  <w:style w:type="paragraph" w:customStyle="1" w:styleId="1915">
    <w:name w:val="图文框"/>
    <w:basedOn w:val="1"/>
    <w:autoRedefine/>
    <w:qFormat/>
    <w:uiPriority w:val="0"/>
    <w:pPr>
      <w:autoSpaceDE w:val="0"/>
      <w:autoSpaceDN w:val="0"/>
      <w:adjustRightInd w:val="0"/>
      <w:snapToGrid w:val="0"/>
      <w:spacing w:line="400" w:lineRule="exact"/>
      <w:ind w:left="5" w:hanging="5"/>
      <w:jc w:val="center"/>
      <w:textAlignment w:val="baseline"/>
    </w:pPr>
    <w:rPr>
      <w:rFonts w:ascii="楷体_GB2312" w:eastAsia="楷体_GB2312"/>
      <w:bCs/>
      <w:kern w:val="0"/>
      <w:sz w:val="24"/>
    </w:rPr>
  </w:style>
  <w:style w:type="paragraph" w:customStyle="1" w:styleId="1916">
    <w:name w:val="默认段落字体 Para Char Char Char Char Char Char Char Char Char Char Char Char Char1 Char Char Char Char Char Char"/>
    <w:basedOn w:val="1"/>
    <w:autoRedefine/>
    <w:qFormat/>
    <w:uiPriority w:val="99"/>
    <w:rPr>
      <w:sz w:val="24"/>
    </w:rPr>
  </w:style>
  <w:style w:type="paragraph" w:customStyle="1" w:styleId="1917">
    <w:name w:val="纯文本6"/>
    <w:basedOn w:val="1"/>
    <w:autoRedefine/>
    <w:qFormat/>
    <w:uiPriority w:val="39"/>
    <w:pPr>
      <w:adjustRightInd w:val="0"/>
      <w:textAlignment w:val="baseline"/>
    </w:pPr>
    <w:rPr>
      <w:rFonts w:ascii="宋体" w:hAnsi="Courier New"/>
      <w:szCs w:val="20"/>
    </w:rPr>
  </w:style>
  <w:style w:type="paragraph" w:customStyle="1" w:styleId="1918">
    <w:name w:val="高表内"/>
    <w:basedOn w:val="45"/>
    <w:autoRedefine/>
    <w:qFormat/>
    <w:uiPriority w:val="99"/>
    <w:pPr>
      <w:autoSpaceDE w:val="0"/>
      <w:adjustRightInd w:val="0"/>
      <w:snapToGrid w:val="0"/>
      <w:jc w:val="center"/>
      <w:textAlignment w:val="baseline"/>
    </w:pPr>
    <w:rPr>
      <w:rFonts w:ascii="Arial" w:hAnsi="Arial" w:eastAsia="楷体_GB2312"/>
      <w:sz w:val="24"/>
      <w:szCs w:val="24"/>
    </w:rPr>
  </w:style>
  <w:style w:type="paragraph" w:customStyle="1" w:styleId="1919">
    <w:name w:val="Char Char Char Char Char Char Char Char Char Char Char Char Char Char2"/>
    <w:basedOn w:val="1"/>
    <w:autoRedefine/>
    <w:qFormat/>
    <w:uiPriority w:val="39"/>
    <w:rPr>
      <w:sz w:val="24"/>
    </w:rPr>
  </w:style>
  <w:style w:type="paragraph" w:customStyle="1" w:styleId="1920">
    <w:name w:val="xl88"/>
    <w:basedOn w:val="1"/>
    <w:autoRedefine/>
    <w:qFormat/>
    <w:uiPriority w:val="0"/>
    <w:pPr>
      <w:widowControl/>
      <w:pBdr>
        <w:bottom w:val="single" w:color="auto" w:sz="12"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921">
    <w:name w:val="图题5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922">
    <w:name w:val="Char Char Char Char Char Char Char Char Char Char Char Char Char Char Char Char Char Char Char Char Char Char Char Char Char Char1"/>
    <w:basedOn w:val="1"/>
    <w:autoRedefine/>
    <w:qFormat/>
    <w:uiPriority w:val="39"/>
    <w:rPr>
      <w:sz w:val="24"/>
    </w:rPr>
  </w:style>
  <w:style w:type="paragraph" w:customStyle="1" w:styleId="1923">
    <w:name w:val="xl198"/>
    <w:basedOn w:val="1"/>
    <w:autoRedefine/>
    <w:qFormat/>
    <w:uiPriority w:val="99"/>
    <w:pPr>
      <w:widowControl/>
      <w:pBdr>
        <w:bottom w:val="single" w:color="auto" w:sz="8" w:space="0"/>
      </w:pBdr>
      <w:spacing w:before="100" w:beforeAutospacing="1" w:after="100" w:afterAutospacing="1"/>
      <w:jc w:val="center"/>
    </w:pPr>
    <w:rPr>
      <w:rFonts w:ascii="Arial Unicode MS" w:hAnsi="Arial Unicode MS"/>
      <w:kern w:val="0"/>
      <w:sz w:val="16"/>
      <w:szCs w:val="16"/>
    </w:rPr>
  </w:style>
  <w:style w:type="paragraph" w:customStyle="1" w:styleId="1924">
    <w:name w:val="xl56"/>
    <w:basedOn w:val="1"/>
    <w:autoRedefine/>
    <w:qFormat/>
    <w:uiPriority w:val="0"/>
    <w:pPr>
      <w:widowControl/>
      <w:pBdr>
        <w:bottom w:val="single" w:color="auto" w:sz="12" w:space="0"/>
      </w:pBdr>
      <w:spacing w:before="100" w:beforeAutospacing="1" w:after="100" w:afterAutospacing="1"/>
      <w:jc w:val="left"/>
      <w:textAlignment w:val="center"/>
    </w:pPr>
    <w:rPr>
      <w:rFonts w:ascii="Arial Unicode MS" w:hAnsi="Arial Unicode MS"/>
      <w:kern w:val="0"/>
      <w:sz w:val="12"/>
      <w:szCs w:val="12"/>
    </w:rPr>
  </w:style>
  <w:style w:type="paragraph" w:customStyle="1" w:styleId="1925">
    <w:name w:val="xl171"/>
    <w:basedOn w:val="1"/>
    <w:autoRedefine/>
    <w:qFormat/>
    <w:uiPriority w:val="99"/>
    <w:pPr>
      <w:widowControl/>
      <w:pBdr>
        <w:bottom w:val="single" w:color="auto" w:sz="12" w:space="0"/>
      </w:pBdr>
      <w:spacing w:before="100" w:beforeAutospacing="1" w:after="100" w:afterAutospacing="1"/>
      <w:jc w:val="center"/>
      <w:textAlignment w:val="center"/>
    </w:pPr>
    <w:rPr>
      <w:rFonts w:ascii="Arial Unicode MS" w:hAnsi="Arial Unicode MS"/>
      <w:kern w:val="0"/>
    </w:rPr>
  </w:style>
  <w:style w:type="paragraph" w:customStyle="1" w:styleId="1926">
    <w:name w:val="Char4 Char Char Char Char Char Char"/>
    <w:basedOn w:val="1"/>
    <w:autoRedefine/>
    <w:qFormat/>
    <w:uiPriority w:val="39"/>
    <w:rPr>
      <w:sz w:val="24"/>
    </w:rPr>
  </w:style>
  <w:style w:type="paragraph" w:customStyle="1" w:styleId="1927">
    <w:name w:val="Char Char Char Char Char Char Char Char Char Char Char Char Char Char Char Char2"/>
    <w:basedOn w:val="1"/>
    <w:autoRedefine/>
    <w:qFormat/>
    <w:uiPriority w:val="39"/>
    <w:rPr>
      <w:szCs w:val="20"/>
    </w:rPr>
  </w:style>
  <w:style w:type="paragraph" w:customStyle="1" w:styleId="1928">
    <w:name w:val="图题31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929">
    <w:name w:val="样式 标题 3 + 四号"/>
    <w:basedOn w:val="5"/>
    <w:autoRedefine/>
    <w:qFormat/>
    <w:uiPriority w:val="39"/>
    <w:pPr>
      <w:ind w:left="720" w:hanging="432"/>
    </w:pPr>
    <w:rPr>
      <w:kern w:val="0"/>
      <w:lang w:val="en-US"/>
    </w:rPr>
  </w:style>
  <w:style w:type="paragraph" w:customStyle="1" w:styleId="1930">
    <w:name w:val="表211"/>
    <w:basedOn w:val="1"/>
    <w:autoRedefine/>
    <w:qFormat/>
    <w:uiPriority w:val="0"/>
    <w:pPr>
      <w:adjustRightInd w:val="0"/>
      <w:snapToGrid w:val="0"/>
      <w:jc w:val="center"/>
    </w:pPr>
    <w:rPr>
      <w:rFonts w:eastAsia="仿宋_GB2312"/>
      <w:sz w:val="24"/>
    </w:rPr>
  </w:style>
  <w:style w:type="paragraph" w:customStyle="1" w:styleId="1931">
    <w:name w:val="图标题"/>
    <w:basedOn w:val="1"/>
    <w:autoRedefine/>
    <w:qFormat/>
    <w:uiPriority w:val="0"/>
    <w:pPr>
      <w:framePr w:hSpace="181" w:vSpace="181" w:wrap="around" w:vAnchor="text" w:hAnchor="text" w:y="1"/>
      <w:spacing w:line="260" w:lineRule="exact"/>
      <w:jc w:val="center"/>
    </w:pPr>
    <w:rPr>
      <w:b/>
      <w:bCs/>
      <w:sz w:val="24"/>
      <w:szCs w:val="20"/>
    </w:rPr>
  </w:style>
  <w:style w:type="paragraph" w:customStyle="1" w:styleId="1932">
    <w:name w:val="xl92"/>
    <w:basedOn w:val="1"/>
    <w:autoRedefine/>
    <w:qFormat/>
    <w:uiPriority w:val="0"/>
    <w:pPr>
      <w:widowControl/>
      <w:pBdr>
        <w:top w:val="single" w:color="auto" w:sz="12" w:space="0"/>
        <w:left w:val="single" w:color="auto" w:sz="12" w:space="0"/>
        <w:right w:val="single" w:color="auto" w:sz="4"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933">
    <w:name w:val="font10"/>
    <w:basedOn w:val="1"/>
    <w:autoRedefine/>
    <w:qFormat/>
    <w:uiPriority w:val="0"/>
    <w:pPr>
      <w:widowControl/>
      <w:spacing w:before="100" w:beforeAutospacing="1" w:after="100" w:afterAutospacing="1"/>
      <w:jc w:val="left"/>
    </w:pPr>
    <w:rPr>
      <w:rFonts w:hint="eastAsia" w:ascii="宋体" w:hAnsi="宋体"/>
      <w:kern w:val="0"/>
      <w:sz w:val="22"/>
      <w:szCs w:val="22"/>
    </w:rPr>
  </w:style>
  <w:style w:type="paragraph" w:customStyle="1" w:styleId="1934">
    <w:name w:val="MTDisplayEquation"/>
    <w:basedOn w:val="4"/>
    <w:autoRedefine/>
    <w:qFormat/>
    <w:uiPriority w:val="99"/>
    <w:pPr>
      <w:tabs>
        <w:tab w:val="center" w:pos="4160"/>
      </w:tabs>
      <w:snapToGrid w:val="0"/>
      <w:spacing w:beforeLines="50" w:after="0" w:line="360" w:lineRule="auto"/>
    </w:pPr>
    <w:rPr>
      <w:rFonts w:ascii="Times New Roman" w:hAnsi="Times New Roman"/>
      <w:b w:val="0"/>
      <w:sz w:val="30"/>
      <w:szCs w:val="30"/>
    </w:rPr>
  </w:style>
  <w:style w:type="paragraph" w:customStyle="1" w:styleId="1935">
    <w:name w:val="样式 13.5 磅 首行缩进:  2 字符"/>
    <w:basedOn w:val="1"/>
    <w:autoRedefine/>
    <w:qFormat/>
    <w:uiPriority w:val="0"/>
    <w:pPr>
      <w:ind w:left="2" w:leftChars="1" w:firstLine="480" w:firstLineChars="200"/>
      <w:jc w:val="left"/>
    </w:pPr>
    <w:rPr>
      <w:rFonts w:cs="宋体"/>
      <w:kern w:val="10"/>
      <w:sz w:val="24"/>
    </w:rPr>
  </w:style>
  <w:style w:type="paragraph" w:customStyle="1" w:styleId="1936">
    <w:name w:val="默认段落字体 Para"/>
    <w:basedOn w:val="1"/>
    <w:autoRedefine/>
    <w:qFormat/>
    <w:uiPriority w:val="99"/>
    <w:rPr>
      <w:sz w:val="24"/>
      <w:szCs w:val="20"/>
    </w:rPr>
  </w:style>
  <w:style w:type="paragraph" w:customStyle="1" w:styleId="1937">
    <w:name w:val="表题144"/>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1938">
    <w:name w:val="xl2412"/>
    <w:basedOn w:val="1"/>
    <w:autoRedefine/>
    <w:qFormat/>
    <w:uiPriority w:val="0"/>
    <w:pPr>
      <w:widowControl/>
      <w:pBdr>
        <w:bottom w:val="single" w:color="auto" w:sz="4" w:space="0"/>
        <w:right w:val="single" w:color="auto" w:sz="4" w:space="0"/>
      </w:pBdr>
      <w:spacing w:before="100" w:beforeAutospacing="1" w:after="100" w:afterAutospacing="1"/>
      <w:jc w:val="center"/>
    </w:pPr>
    <w:rPr>
      <w:kern w:val="0"/>
      <w:szCs w:val="21"/>
    </w:rPr>
  </w:style>
  <w:style w:type="paragraph" w:customStyle="1" w:styleId="1939">
    <w:name w:val="xl131"/>
    <w:basedOn w:val="1"/>
    <w:autoRedefine/>
    <w:qFormat/>
    <w:uiPriority w:val="99"/>
    <w:pPr>
      <w:widowControl/>
      <w:pBdr>
        <w:left w:val="single" w:color="auto" w:sz="4" w:space="0"/>
        <w:right w:val="single" w:color="auto" w:sz="8" w:space="0"/>
      </w:pBdr>
      <w:spacing w:before="100" w:beforeAutospacing="1" w:after="100" w:afterAutospacing="1"/>
      <w:jc w:val="left"/>
    </w:pPr>
    <w:rPr>
      <w:rFonts w:ascii="Arial Unicode MS" w:hAnsi="Arial Unicode MS"/>
      <w:kern w:val="0"/>
    </w:rPr>
  </w:style>
  <w:style w:type="paragraph" w:customStyle="1" w:styleId="1940">
    <w:name w:val="图表文字"/>
    <w:basedOn w:val="1"/>
    <w:autoRedefine/>
    <w:qFormat/>
    <w:uiPriority w:val="0"/>
    <w:pPr>
      <w:spacing w:line="300" w:lineRule="exact"/>
      <w:jc w:val="center"/>
    </w:pPr>
    <w:rPr>
      <w:szCs w:val="20"/>
    </w:rPr>
  </w:style>
  <w:style w:type="paragraph" w:customStyle="1" w:styleId="1941">
    <w:name w:val="內文1階"/>
    <w:basedOn w:val="1"/>
    <w:autoRedefine/>
    <w:qFormat/>
    <w:uiPriority w:val="0"/>
    <w:pPr>
      <w:tabs>
        <w:tab w:val="left" w:pos="604"/>
      </w:tabs>
      <w:ind w:left="604" w:hanging="360"/>
      <w:jc w:val="left"/>
    </w:pPr>
    <w:rPr>
      <w:rFonts w:eastAsia="PMingLiU"/>
      <w:sz w:val="24"/>
      <w:szCs w:val="20"/>
      <w:lang w:eastAsia="zh-TW"/>
    </w:rPr>
  </w:style>
  <w:style w:type="paragraph" w:customStyle="1" w:styleId="1942">
    <w:name w:val="Char Char Char1 Char Char Char1 Char Char Char1 Char Char Char 字元 字元"/>
    <w:basedOn w:val="1"/>
    <w:autoRedefine/>
    <w:qFormat/>
    <w:uiPriority w:val="0"/>
    <w:pPr>
      <w:spacing w:line="400" w:lineRule="exact"/>
      <w:ind w:firstLine="200" w:firstLineChars="200"/>
    </w:pPr>
    <w:rPr>
      <w:sz w:val="28"/>
      <w:szCs w:val="28"/>
    </w:rPr>
  </w:style>
  <w:style w:type="paragraph" w:customStyle="1" w:styleId="1943">
    <w:name w:val="正文段落"/>
    <w:basedOn w:val="1"/>
    <w:autoRedefine/>
    <w:qFormat/>
    <w:uiPriority w:val="0"/>
    <w:pPr>
      <w:autoSpaceDE w:val="0"/>
      <w:autoSpaceDN w:val="0"/>
      <w:adjustRightInd w:val="0"/>
      <w:spacing w:line="500" w:lineRule="exact"/>
      <w:ind w:firstLine="200" w:firstLineChars="200"/>
      <w:textAlignment w:val="baseline"/>
    </w:pPr>
    <w:rPr>
      <w:rFonts w:ascii="宋体" w:hAnsi="Tms Rmn" w:eastAsia="仿宋_GB2312"/>
      <w:kern w:val="0"/>
      <w:sz w:val="28"/>
      <w:szCs w:val="20"/>
    </w:rPr>
  </w:style>
  <w:style w:type="paragraph" w:customStyle="1" w:styleId="1944">
    <w:name w:val="Char Char Char Char Char Char Char Char Char Char Char Char Char Char Char Char Char Char Char Char Char"/>
    <w:basedOn w:val="1"/>
    <w:autoRedefine/>
    <w:qFormat/>
    <w:uiPriority w:val="0"/>
    <w:pPr>
      <w:spacing w:line="240" w:lineRule="exact"/>
      <w:ind w:firstLine="200" w:firstLineChars="200"/>
    </w:pPr>
    <w:rPr>
      <w:sz w:val="28"/>
      <w:szCs w:val="28"/>
    </w:rPr>
  </w:style>
  <w:style w:type="paragraph" w:customStyle="1" w:styleId="1945">
    <w:name w:val="xl112"/>
    <w:basedOn w:val="1"/>
    <w:autoRedefine/>
    <w:qFormat/>
    <w:uiPriority w:val="99"/>
    <w:pPr>
      <w:widowControl/>
      <w:pBdr>
        <w:right w:val="single" w:color="auto" w:sz="8" w:space="0"/>
      </w:pBdr>
      <w:spacing w:before="100" w:beforeAutospacing="1" w:after="100" w:afterAutospacing="1"/>
      <w:jc w:val="left"/>
    </w:pPr>
    <w:rPr>
      <w:rFonts w:ascii="Arial Unicode MS" w:hAnsi="Arial Unicode MS"/>
      <w:kern w:val="0"/>
      <w:sz w:val="16"/>
      <w:szCs w:val="16"/>
    </w:rPr>
  </w:style>
  <w:style w:type="paragraph" w:customStyle="1" w:styleId="1946">
    <w:name w:val="a1"/>
    <w:basedOn w:val="1"/>
    <w:autoRedefine/>
    <w:qFormat/>
    <w:uiPriority w:val="0"/>
    <w:pPr>
      <w:widowControl/>
      <w:spacing w:before="100" w:beforeAutospacing="1" w:after="100" w:afterAutospacing="1"/>
      <w:jc w:val="left"/>
    </w:pPr>
    <w:rPr>
      <w:rFonts w:ascii="宋体" w:hAnsi="宋体" w:cs="宋体"/>
      <w:color w:val="000000"/>
      <w:kern w:val="0"/>
      <w:sz w:val="24"/>
    </w:rPr>
  </w:style>
  <w:style w:type="paragraph" w:customStyle="1" w:styleId="1947">
    <w:name w:val="正文222"/>
    <w:autoRedefine/>
    <w:qFormat/>
    <w:uiPriority w:val="0"/>
    <w:pPr>
      <w:adjustRightInd w:val="0"/>
      <w:snapToGrid w:val="0"/>
      <w:spacing w:line="480" w:lineRule="atLeast"/>
      <w:jc w:val="center"/>
    </w:pPr>
    <w:rPr>
      <w:rFonts w:ascii="宋体" w:hAnsi="Times New Roman" w:eastAsia="宋体" w:cs="Times New Roman"/>
      <w:snapToGrid w:val="0"/>
      <w:spacing w:val="6"/>
      <w:sz w:val="21"/>
      <w:lang w:val="en-US" w:eastAsia="zh-CN" w:bidi="ar-SA"/>
    </w:rPr>
  </w:style>
  <w:style w:type="paragraph" w:customStyle="1" w:styleId="1948">
    <w:name w:val="xl185"/>
    <w:basedOn w:val="1"/>
    <w:autoRedefine/>
    <w:qFormat/>
    <w:uiPriority w:val="99"/>
    <w:pPr>
      <w:widowControl/>
      <w:pBdr>
        <w:bottom w:val="single" w:color="auto" w:sz="12" w:space="0"/>
        <w:right w:val="single" w:color="auto" w:sz="4" w:space="0"/>
      </w:pBdr>
      <w:spacing w:before="100" w:beforeAutospacing="1" w:after="100" w:afterAutospacing="1"/>
      <w:jc w:val="center"/>
      <w:textAlignment w:val="center"/>
    </w:pPr>
    <w:rPr>
      <w:rFonts w:ascii="Arial Unicode MS" w:hAnsi="Arial Unicode MS"/>
      <w:kern w:val="0"/>
      <w:sz w:val="12"/>
      <w:szCs w:val="12"/>
    </w:rPr>
  </w:style>
  <w:style w:type="paragraph" w:customStyle="1" w:styleId="1949">
    <w:name w:val="CM16"/>
    <w:basedOn w:val="107"/>
    <w:next w:val="107"/>
    <w:autoRedefine/>
    <w:qFormat/>
    <w:uiPriority w:val="39"/>
    <w:pPr>
      <w:spacing w:line="440" w:lineRule="atLeast"/>
    </w:pPr>
    <w:rPr>
      <w:rFonts w:ascii="楷体_GB2312" w:hAnsi="Times New Roman" w:eastAsia="楷体_GB2312" w:cs="Times New Roman"/>
      <w:color w:val="auto"/>
    </w:rPr>
  </w:style>
  <w:style w:type="paragraph" w:customStyle="1" w:styleId="1950">
    <w:name w:val="xl85"/>
    <w:basedOn w:val="1"/>
    <w:autoRedefine/>
    <w:qFormat/>
    <w:uiPriority w:val="0"/>
    <w:pPr>
      <w:widowControl/>
      <w:pBdr>
        <w:bottom w:val="single" w:color="auto" w:sz="8" w:space="0"/>
        <w:right w:val="single" w:color="auto" w:sz="8" w:space="0"/>
      </w:pBdr>
      <w:spacing w:before="100" w:beforeAutospacing="1" w:after="100" w:afterAutospacing="1"/>
      <w:jc w:val="center"/>
      <w:textAlignment w:val="bottom"/>
    </w:pPr>
    <w:rPr>
      <w:rFonts w:ascii="宋体" w:hAnsi="宋体" w:cs="宋体"/>
      <w:kern w:val="0"/>
      <w:szCs w:val="21"/>
    </w:rPr>
  </w:style>
  <w:style w:type="paragraph" w:customStyle="1" w:styleId="1951">
    <w:name w:val="表格文本 小五 居中"/>
    <w:basedOn w:val="1"/>
    <w:autoRedefine/>
    <w:qFormat/>
    <w:uiPriority w:val="99"/>
    <w:pPr>
      <w:adjustRightInd w:val="0"/>
      <w:snapToGrid w:val="0"/>
      <w:jc w:val="center"/>
    </w:pPr>
    <w:rPr>
      <w:rFonts w:cs="宋体"/>
      <w:szCs w:val="21"/>
    </w:rPr>
  </w:style>
  <w:style w:type="paragraph" w:customStyle="1" w:styleId="1952">
    <w:name w:val="表前文字"/>
    <w:basedOn w:val="1"/>
    <w:autoRedefine/>
    <w:qFormat/>
    <w:uiPriority w:val="0"/>
    <w:pPr>
      <w:jc w:val="center"/>
    </w:pPr>
    <w:rPr>
      <w:rFonts w:ascii="宋体" w:hAnsi="宋体"/>
      <w:sz w:val="24"/>
      <w:szCs w:val="21"/>
    </w:rPr>
  </w:style>
  <w:style w:type="paragraph" w:customStyle="1" w:styleId="1953">
    <w:name w:val="xl81"/>
    <w:basedOn w:val="1"/>
    <w:autoRedefine/>
    <w:qFormat/>
    <w:uiPriority w:val="0"/>
    <w:pPr>
      <w:widowControl/>
      <w:pBdr>
        <w:top w:val="single" w:color="auto" w:sz="8" w:space="0"/>
        <w:left w:val="single" w:color="auto" w:sz="8" w:space="0"/>
        <w:bottom w:val="single" w:color="auto" w:sz="8" w:space="0"/>
      </w:pBdr>
      <w:spacing w:before="100" w:beforeAutospacing="1" w:after="100" w:afterAutospacing="1"/>
      <w:jc w:val="center"/>
      <w:textAlignment w:val="bottom"/>
    </w:pPr>
    <w:rPr>
      <w:rFonts w:ascii="宋体" w:hAnsi="宋体" w:cs="宋体"/>
      <w:kern w:val="0"/>
      <w:szCs w:val="21"/>
    </w:rPr>
  </w:style>
  <w:style w:type="paragraph" w:customStyle="1" w:styleId="1954">
    <w:name w:val="xl71"/>
    <w:basedOn w:val="1"/>
    <w:autoRedefine/>
    <w:qFormat/>
    <w:uiPriority w:val="0"/>
    <w:pPr>
      <w:widowControl/>
      <w:pBdr>
        <w:left w:val="single" w:color="auto" w:sz="8" w:space="0"/>
        <w:right w:val="single" w:color="auto" w:sz="8" w:space="0"/>
      </w:pBdr>
      <w:spacing w:before="100" w:beforeAutospacing="1" w:after="100" w:afterAutospacing="1"/>
      <w:jc w:val="center"/>
    </w:pPr>
    <w:rPr>
      <w:rFonts w:ascii="宋体" w:hAnsi="宋体" w:cs="宋体"/>
      <w:kern w:val="0"/>
      <w:szCs w:val="21"/>
    </w:rPr>
  </w:style>
  <w:style w:type="paragraph" w:customStyle="1" w:styleId="1955">
    <w:name w:val="福建正文缩进11"/>
    <w:basedOn w:val="9"/>
    <w:autoRedefine/>
    <w:qFormat/>
    <w:uiPriority w:val="0"/>
    <w:pPr>
      <w:adjustRightInd w:val="0"/>
      <w:snapToGrid w:val="0"/>
      <w:spacing w:line="360" w:lineRule="auto"/>
      <w:ind w:firstLine="567" w:firstLineChars="0"/>
    </w:pPr>
    <w:rPr>
      <w:rFonts w:ascii="宋体"/>
      <w:kern w:val="0"/>
      <w:sz w:val="24"/>
      <w:lang w:val="en-US"/>
    </w:rPr>
  </w:style>
  <w:style w:type="paragraph" w:customStyle="1" w:styleId="1956">
    <w:name w:val="xl45"/>
    <w:basedOn w:val="1"/>
    <w:autoRedefine/>
    <w:qFormat/>
    <w:uiPriority w:val="0"/>
    <w:pPr>
      <w:widowControl/>
      <w:pBdr>
        <w:bottom w:val="single" w:color="auto" w:sz="12" w:space="0"/>
        <w:right w:val="single" w:color="auto" w:sz="12" w:space="0"/>
      </w:pBdr>
      <w:spacing w:before="100" w:beforeAutospacing="1" w:after="100" w:afterAutospacing="1"/>
      <w:jc w:val="center"/>
      <w:textAlignment w:val="center"/>
    </w:pPr>
    <w:rPr>
      <w:rFonts w:ascii="Arial Unicode MS" w:hAnsi="Arial Unicode MS"/>
      <w:kern w:val="0"/>
      <w:sz w:val="16"/>
      <w:szCs w:val="16"/>
    </w:rPr>
  </w:style>
  <w:style w:type="paragraph" w:customStyle="1" w:styleId="1957">
    <w:name w:val="xl167"/>
    <w:basedOn w:val="1"/>
    <w:autoRedefine/>
    <w:qFormat/>
    <w:uiPriority w:val="99"/>
    <w:pPr>
      <w:widowControl/>
      <w:pBdr>
        <w:bottom w:val="single" w:color="auto" w:sz="12" w:space="0"/>
      </w:pBdr>
      <w:spacing w:before="100" w:beforeAutospacing="1" w:after="100" w:afterAutospacing="1"/>
      <w:jc w:val="center"/>
      <w:textAlignment w:val="center"/>
    </w:pPr>
    <w:rPr>
      <w:rFonts w:ascii="Arial Unicode MS" w:hAnsi="Arial Unicode MS"/>
      <w:kern w:val="0"/>
    </w:rPr>
  </w:style>
  <w:style w:type="paragraph" w:customStyle="1" w:styleId="1958">
    <w:name w:val="Char Char1 Char3"/>
    <w:basedOn w:val="1"/>
    <w:autoRedefine/>
    <w:qFormat/>
    <w:uiPriority w:val="39"/>
    <w:pPr>
      <w:widowControl/>
      <w:spacing w:after="160" w:line="240" w:lineRule="exact"/>
      <w:jc w:val="left"/>
    </w:pPr>
    <w:rPr>
      <w:szCs w:val="20"/>
    </w:rPr>
  </w:style>
  <w:style w:type="paragraph" w:customStyle="1" w:styleId="1959">
    <w:name w:val="表内宋511111"/>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1960">
    <w:name w:val="表文字513"/>
    <w:basedOn w:val="1"/>
    <w:autoRedefine/>
    <w:qFormat/>
    <w:uiPriority w:val="0"/>
    <w:pPr>
      <w:adjustRightInd w:val="0"/>
      <w:jc w:val="left"/>
      <w:textAlignment w:val="baseline"/>
    </w:pPr>
    <w:rPr>
      <w:rFonts w:ascii="宋体"/>
      <w:kern w:val="0"/>
      <w:szCs w:val="20"/>
    </w:rPr>
  </w:style>
  <w:style w:type="paragraph" w:customStyle="1" w:styleId="1961">
    <w:name w:val="Char Char2 Char Char Char Char8"/>
    <w:basedOn w:val="1"/>
    <w:autoRedefine/>
    <w:qFormat/>
    <w:uiPriority w:val="0"/>
  </w:style>
  <w:style w:type="paragraph" w:customStyle="1" w:styleId="1962">
    <w:name w:val="Char711"/>
    <w:basedOn w:val="1"/>
    <w:autoRedefine/>
    <w:qFormat/>
    <w:uiPriority w:val="0"/>
    <w:pPr>
      <w:ind w:left="-48"/>
    </w:pPr>
  </w:style>
  <w:style w:type="paragraph" w:customStyle="1" w:styleId="1963">
    <w:name w:val="Char Char Char Char Char Char1 Char Char Char Char"/>
    <w:basedOn w:val="1"/>
    <w:autoRedefine/>
    <w:qFormat/>
    <w:uiPriority w:val="99"/>
    <w:rPr>
      <w:sz w:val="24"/>
    </w:rPr>
  </w:style>
  <w:style w:type="paragraph" w:customStyle="1" w:styleId="1964">
    <w:name w:val="Char Char Char Char6"/>
    <w:basedOn w:val="1"/>
    <w:autoRedefine/>
    <w:qFormat/>
    <w:uiPriority w:val="39"/>
  </w:style>
  <w:style w:type="paragraph" w:customStyle="1" w:styleId="1965">
    <w:name w:val="In Table"/>
    <w:basedOn w:val="1"/>
    <w:autoRedefine/>
    <w:qFormat/>
    <w:uiPriority w:val="99"/>
    <w:pPr>
      <w:tabs>
        <w:tab w:val="left" w:pos="2200"/>
        <w:tab w:val="left" w:pos="3960"/>
        <w:tab w:val="left" w:pos="5280"/>
      </w:tabs>
      <w:spacing w:before="96" w:after="96" w:line="0" w:lineRule="atLeast"/>
      <w:jc w:val="center"/>
    </w:pPr>
    <w:rPr>
      <w:rFonts w:ascii="Tahoma" w:hAnsi="Tahoma" w:eastAsia="华文中宋"/>
      <w:szCs w:val="20"/>
    </w:rPr>
  </w:style>
  <w:style w:type="paragraph" w:customStyle="1" w:styleId="1966">
    <w:name w:val="燕山正文115"/>
    <w:basedOn w:val="1"/>
    <w:autoRedefine/>
    <w:qFormat/>
    <w:uiPriority w:val="0"/>
    <w:pPr>
      <w:tabs>
        <w:tab w:val="left" w:pos="4680"/>
      </w:tabs>
      <w:adjustRightInd w:val="0"/>
      <w:snapToGrid w:val="0"/>
      <w:spacing w:line="360" w:lineRule="auto"/>
      <w:ind w:firstLine="480" w:firstLineChars="200"/>
    </w:pPr>
    <w:rPr>
      <w:rFonts w:ascii="宋体" w:hAnsi="宋体" w:cs="宋体"/>
      <w:bCs/>
      <w:snapToGrid w:val="0"/>
      <w:color w:val="000000"/>
      <w:kern w:val="0"/>
      <w:sz w:val="24"/>
    </w:rPr>
  </w:style>
  <w:style w:type="paragraph" w:customStyle="1" w:styleId="1967">
    <w:name w:val="黑点"/>
    <w:basedOn w:val="1"/>
    <w:autoRedefine/>
    <w:qFormat/>
    <w:uiPriority w:val="0"/>
    <w:pPr>
      <w:tabs>
        <w:tab w:val="left" w:pos="425"/>
        <w:tab w:val="left" w:pos="600"/>
        <w:tab w:val="left" w:pos="2100"/>
      </w:tabs>
      <w:adjustRightInd w:val="0"/>
      <w:spacing w:line="360" w:lineRule="auto"/>
      <w:ind w:left="2100" w:hanging="425"/>
      <w:jc w:val="left"/>
      <w:textAlignment w:val="baseline"/>
    </w:pPr>
    <w:rPr>
      <w:rFonts w:ascii="宋体" w:hAnsi="宋体"/>
      <w:color w:val="000000"/>
      <w:kern w:val="0"/>
      <w:sz w:val="24"/>
      <w:szCs w:val="20"/>
    </w:rPr>
  </w:style>
  <w:style w:type="paragraph" w:customStyle="1" w:styleId="1968">
    <w:name w:val="Char Char Char Char Char Char Char Char Char1 Char Char Char Char4"/>
    <w:basedOn w:val="1"/>
    <w:autoRedefine/>
    <w:qFormat/>
    <w:uiPriority w:val="39"/>
    <w:rPr>
      <w:rFonts w:eastAsia="黑体"/>
      <w:b/>
      <w:szCs w:val="20"/>
    </w:rPr>
  </w:style>
  <w:style w:type="paragraph" w:customStyle="1" w:styleId="1969">
    <w:name w:val="图题9"/>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1970">
    <w:name w:val="IDC A-Head (2nd Line)"/>
    <w:basedOn w:val="1"/>
    <w:next w:val="1"/>
    <w:autoRedefine/>
    <w:qFormat/>
    <w:uiPriority w:val="99"/>
    <w:pPr>
      <w:widowControl/>
      <w:jc w:val="center"/>
    </w:pPr>
    <w:rPr>
      <w:caps/>
      <w:kern w:val="0"/>
      <w:sz w:val="24"/>
      <w:szCs w:val="20"/>
    </w:rPr>
  </w:style>
  <w:style w:type="paragraph" w:customStyle="1" w:styleId="1971">
    <w:name w:val="Char Char Char Char Char Char4"/>
    <w:basedOn w:val="1"/>
    <w:autoRedefine/>
    <w:qFormat/>
    <w:uiPriority w:val="99"/>
    <w:rPr>
      <w:sz w:val="24"/>
    </w:rPr>
  </w:style>
  <w:style w:type="paragraph" w:customStyle="1" w:styleId="1972">
    <w:name w:val="xl76"/>
    <w:basedOn w:val="1"/>
    <w:autoRedefine/>
    <w:qFormat/>
    <w:uiPriority w:val="0"/>
    <w:pPr>
      <w:widowControl/>
      <w:pBdr>
        <w:left w:val="single" w:color="auto" w:sz="8" w:space="0"/>
      </w:pBdr>
      <w:spacing w:before="100" w:beforeAutospacing="1" w:after="100" w:afterAutospacing="1"/>
      <w:jc w:val="center"/>
    </w:pPr>
    <w:rPr>
      <w:rFonts w:ascii="宋体" w:hAnsi="宋体" w:cs="宋体"/>
      <w:kern w:val="0"/>
      <w:szCs w:val="21"/>
    </w:rPr>
  </w:style>
  <w:style w:type="paragraph" w:customStyle="1" w:styleId="1973">
    <w:name w:val="正文缩进6"/>
    <w:basedOn w:val="1"/>
    <w:autoRedefine/>
    <w:qFormat/>
    <w:uiPriority w:val="39"/>
    <w:pPr>
      <w:adjustRightInd w:val="0"/>
      <w:ind w:firstLine="420" w:firstLineChars="200"/>
      <w:textAlignment w:val="baseline"/>
    </w:pPr>
    <w:rPr>
      <w:rFonts w:hint="eastAsia" w:hAnsi="宋体"/>
      <w:sz w:val="24"/>
      <w:szCs w:val="20"/>
    </w:rPr>
  </w:style>
  <w:style w:type="paragraph" w:customStyle="1" w:styleId="1974">
    <w:name w:val="2"/>
    <w:basedOn w:val="1"/>
    <w:next w:val="9"/>
    <w:autoRedefine/>
    <w:qFormat/>
    <w:uiPriority w:val="0"/>
    <w:pPr>
      <w:adjustRightInd w:val="0"/>
      <w:snapToGrid w:val="0"/>
      <w:spacing w:line="300" w:lineRule="auto"/>
      <w:ind w:firstLine="200" w:firstLineChars="200"/>
    </w:pPr>
    <w:rPr>
      <w:rFonts w:ascii="仿宋_GB2312" w:eastAsia="仿宋_GB2312"/>
      <w:color w:val="000000"/>
      <w:sz w:val="28"/>
      <w:szCs w:val="20"/>
    </w:rPr>
  </w:style>
  <w:style w:type="paragraph" w:customStyle="1" w:styleId="1975">
    <w:name w:val="标题33"/>
    <w:basedOn w:val="51"/>
    <w:next w:val="5"/>
    <w:autoRedefine/>
    <w:qFormat/>
    <w:uiPriority w:val="0"/>
    <w:pPr>
      <w:spacing w:after="0" w:line="500" w:lineRule="exact"/>
      <w:ind w:left="0" w:leftChars="0"/>
    </w:pPr>
    <w:rPr>
      <w:rFonts w:ascii="仿宋_GB2312" w:hAnsi="仿宋_GB2312" w:eastAsia="仿宋_GB2312"/>
      <w:color w:val="000000"/>
      <w:kern w:val="0"/>
      <w:sz w:val="28"/>
      <w:lang w:val="en-US"/>
    </w:rPr>
  </w:style>
  <w:style w:type="paragraph" w:customStyle="1" w:styleId="1976">
    <w:name w:val="Char Char1 Char Char Char Char"/>
    <w:basedOn w:val="1"/>
    <w:autoRedefine/>
    <w:qFormat/>
    <w:uiPriority w:val="99"/>
    <w:rPr>
      <w:sz w:val="24"/>
    </w:rPr>
  </w:style>
  <w:style w:type="paragraph" w:customStyle="1" w:styleId="1977">
    <w:name w:val="表内文字小3132"/>
    <w:basedOn w:val="1"/>
    <w:autoRedefine/>
    <w:qFormat/>
    <w:uiPriority w:val="0"/>
    <w:pPr>
      <w:adjustRightInd w:val="0"/>
      <w:snapToGrid w:val="0"/>
      <w:jc w:val="center"/>
    </w:pPr>
    <w:rPr>
      <w:rFonts w:ascii="宋体" w:hAnsi="Times" w:cs="宋体"/>
      <w:bCs/>
      <w:color w:val="003366"/>
      <w:szCs w:val="20"/>
    </w:rPr>
  </w:style>
  <w:style w:type="paragraph" w:customStyle="1" w:styleId="1978">
    <w:name w:val="默认段落字体 Para Char Char Char Char61"/>
    <w:basedOn w:val="1"/>
    <w:autoRedefine/>
    <w:qFormat/>
    <w:uiPriority w:val="0"/>
  </w:style>
  <w:style w:type="paragraph" w:customStyle="1" w:styleId="1979">
    <w:name w:val="表内文字小311"/>
    <w:basedOn w:val="1"/>
    <w:autoRedefine/>
    <w:qFormat/>
    <w:uiPriority w:val="0"/>
    <w:pPr>
      <w:adjustRightInd w:val="0"/>
      <w:snapToGrid w:val="0"/>
      <w:jc w:val="center"/>
    </w:pPr>
    <w:rPr>
      <w:rFonts w:ascii="宋体" w:hAnsi="Times" w:cs="宋体"/>
      <w:bCs/>
      <w:color w:val="003366"/>
      <w:szCs w:val="20"/>
    </w:rPr>
  </w:style>
  <w:style w:type="paragraph" w:customStyle="1" w:styleId="1980">
    <w:name w:val="我的样式（正文）"/>
    <w:basedOn w:val="1"/>
    <w:autoRedefine/>
    <w:qFormat/>
    <w:uiPriority w:val="0"/>
    <w:pPr>
      <w:spacing w:line="440" w:lineRule="exact"/>
    </w:pPr>
    <w:rPr>
      <w:rFonts w:ascii="宋体"/>
      <w:sz w:val="28"/>
      <w:szCs w:val="20"/>
    </w:rPr>
  </w:style>
  <w:style w:type="paragraph" w:customStyle="1" w:styleId="1981">
    <w:name w:val="表内文字小2132"/>
    <w:basedOn w:val="1"/>
    <w:autoRedefine/>
    <w:qFormat/>
    <w:uiPriority w:val="0"/>
    <w:pPr>
      <w:adjustRightInd w:val="0"/>
      <w:snapToGrid w:val="0"/>
      <w:jc w:val="center"/>
      <w:textAlignment w:val="baseline"/>
    </w:pPr>
    <w:rPr>
      <w:rFonts w:ascii="宋体" w:hAnsi="Times"/>
      <w:bCs/>
      <w:color w:val="000000"/>
      <w:szCs w:val="20"/>
    </w:rPr>
  </w:style>
  <w:style w:type="paragraph" w:customStyle="1" w:styleId="1982">
    <w:name w:val="2级标题"/>
    <w:autoRedefine/>
    <w:qFormat/>
    <w:uiPriority w:val="0"/>
    <w:pPr>
      <w:widowControl w:val="0"/>
      <w:adjustRightInd w:val="0"/>
      <w:snapToGrid w:val="0"/>
      <w:spacing w:before="156" w:line="500" w:lineRule="exact"/>
      <w:jc w:val="both"/>
      <w:outlineLvl w:val="1"/>
    </w:pPr>
    <w:rPr>
      <w:rFonts w:ascii="宋体" w:hAnsi="宋体" w:eastAsia="宋体" w:cs="Times New Roman"/>
      <w:b/>
      <w:kern w:val="2"/>
      <w:sz w:val="24"/>
      <w:lang w:val="en-US" w:eastAsia="zh-CN" w:bidi="ar-SA"/>
    </w:rPr>
  </w:style>
  <w:style w:type="paragraph" w:customStyle="1" w:styleId="1983">
    <w:name w:val="Fax Header"/>
    <w:basedOn w:val="1"/>
    <w:autoRedefine/>
    <w:qFormat/>
    <w:uiPriority w:val="0"/>
    <w:pPr>
      <w:widowControl/>
      <w:spacing w:before="240" w:after="60"/>
      <w:jc w:val="left"/>
    </w:pPr>
    <w:rPr>
      <w:kern w:val="0"/>
      <w:sz w:val="20"/>
      <w:szCs w:val="20"/>
    </w:rPr>
  </w:style>
  <w:style w:type="paragraph" w:customStyle="1" w:styleId="1984">
    <w:name w:val="表内文字小31111"/>
    <w:basedOn w:val="1"/>
    <w:autoRedefine/>
    <w:qFormat/>
    <w:uiPriority w:val="0"/>
    <w:pPr>
      <w:adjustRightInd w:val="0"/>
      <w:snapToGrid w:val="0"/>
      <w:jc w:val="center"/>
    </w:pPr>
    <w:rPr>
      <w:rFonts w:ascii="宋体" w:hAnsi="Times" w:cs="宋体"/>
      <w:bCs/>
      <w:color w:val="003366"/>
      <w:szCs w:val="20"/>
    </w:rPr>
  </w:style>
  <w:style w:type="paragraph" w:customStyle="1" w:styleId="1985">
    <w:name w:val="样式 列表 + 左侧:  0 厘米 悬挂缩进: 2 字符"/>
    <w:basedOn w:val="66"/>
    <w:autoRedefine/>
    <w:qFormat/>
    <w:uiPriority w:val="99"/>
    <w:pPr>
      <w:tabs>
        <w:tab w:val="center" w:pos="4153"/>
        <w:tab w:val="right" w:pos="8306"/>
      </w:tabs>
      <w:snapToGrid w:val="0"/>
      <w:spacing w:line="240" w:lineRule="exact"/>
      <w:ind w:left="0" w:right="0" w:rightChars="0"/>
    </w:pPr>
    <w:rPr>
      <w:szCs w:val="20"/>
    </w:rPr>
  </w:style>
  <w:style w:type="paragraph" w:customStyle="1" w:styleId="1986">
    <w:name w:val="前言"/>
    <w:basedOn w:val="1"/>
    <w:autoRedefine/>
    <w:qFormat/>
    <w:uiPriority w:val="99"/>
    <w:pPr>
      <w:tabs>
        <w:tab w:val="left" w:pos="1155"/>
      </w:tabs>
      <w:spacing w:line="360" w:lineRule="auto"/>
      <w:ind w:left="1155" w:hanging="405"/>
      <w:jc w:val="center"/>
    </w:pPr>
    <w:rPr>
      <w:rFonts w:ascii="宋体"/>
      <w:b/>
      <w:sz w:val="24"/>
    </w:rPr>
  </w:style>
  <w:style w:type="paragraph" w:customStyle="1" w:styleId="1987">
    <w:name w:val="表内宋5111"/>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1988">
    <w:name w:val="样式（大表格）"/>
    <w:basedOn w:val="136"/>
    <w:autoRedefine/>
    <w:qFormat/>
    <w:uiPriority w:val="0"/>
    <w:pPr>
      <w:tabs>
        <w:tab w:val="left" w:pos="606"/>
      </w:tabs>
      <w:spacing w:beforeLines="0" w:afterLines="0" w:line="360" w:lineRule="auto"/>
      <w:ind w:left="606" w:hanging="576"/>
      <w:jc w:val="both"/>
    </w:pPr>
    <w:rPr>
      <w:rFonts w:ascii="Times New Roman"/>
      <w:b/>
      <w:color w:val="FF0000"/>
      <w:kern w:val="2"/>
      <w:sz w:val="24"/>
      <w:lang w:val="en-US"/>
    </w:rPr>
  </w:style>
  <w:style w:type="paragraph" w:customStyle="1" w:styleId="1989">
    <w:name w:val="燕山正文11311"/>
    <w:basedOn w:val="1"/>
    <w:autoRedefine/>
    <w:qFormat/>
    <w:uiPriority w:val="0"/>
    <w:pPr>
      <w:tabs>
        <w:tab w:val="left" w:pos="4680"/>
      </w:tabs>
      <w:adjustRightInd w:val="0"/>
      <w:snapToGrid w:val="0"/>
      <w:spacing w:line="360" w:lineRule="auto"/>
      <w:ind w:firstLine="480" w:firstLineChars="200"/>
    </w:pPr>
    <w:rPr>
      <w:rFonts w:ascii="宋体" w:hAnsi="宋体" w:cs="宋体"/>
      <w:bCs/>
      <w:snapToGrid w:val="0"/>
      <w:color w:val="000000"/>
      <w:kern w:val="0"/>
      <w:sz w:val="24"/>
    </w:rPr>
  </w:style>
  <w:style w:type="paragraph" w:customStyle="1" w:styleId="1990">
    <w:name w:val="正文214"/>
    <w:autoRedefine/>
    <w:qFormat/>
    <w:uiPriority w:val="0"/>
    <w:pPr>
      <w:adjustRightInd w:val="0"/>
      <w:snapToGrid w:val="0"/>
      <w:spacing w:line="480" w:lineRule="atLeast"/>
      <w:jc w:val="center"/>
    </w:pPr>
    <w:rPr>
      <w:rFonts w:ascii="宋体" w:hAnsi="Times New Roman" w:eastAsia="宋体" w:cs="Times New Roman"/>
      <w:snapToGrid w:val="0"/>
      <w:spacing w:val="6"/>
      <w:sz w:val="21"/>
      <w:lang w:val="en-US" w:eastAsia="zh-CN" w:bidi="ar-SA"/>
    </w:rPr>
  </w:style>
  <w:style w:type="paragraph" w:customStyle="1" w:styleId="1991">
    <w:name w:val="表内541112"/>
    <w:basedOn w:val="1"/>
    <w:autoRedefine/>
    <w:qFormat/>
    <w:uiPriority w:val="0"/>
    <w:pPr>
      <w:adjustRightInd w:val="0"/>
      <w:snapToGrid w:val="0"/>
      <w:spacing w:line="300" w:lineRule="auto"/>
      <w:jc w:val="center"/>
    </w:pPr>
    <w:rPr>
      <w:rFonts w:ascii="宋体" w:hAnsi="宋体" w:cs="宋体"/>
      <w:szCs w:val="20"/>
    </w:rPr>
  </w:style>
  <w:style w:type="paragraph" w:customStyle="1" w:styleId="1992">
    <w:name w:val="Char Char Char Char Char Char Char Char1 Char Char Char Char Char Char Char Char Char Char Char Char2"/>
    <w:basedOn w:val="1"/>
    <w:autoRedefine/>
    <w:qFormat/>
    <w:uiPriority w:val="39"/>
    <w:rPr>
      <w:sz w:val="24"/>
    </w:rPr>
  </w:style>
  <w:style w:type="paragraph" w:customStyle="1" w:styleId="1993">
    <w:name w:val="默认段落字体 Para Char Char Char Char3"/>
    <w:basedOn w:val="1"/>
    <w:autoRedefine/>
    <w:qFormat/>
    <w:uiPriority w:val="0"/>
  </w:style>
  <w:style w:type="paragraph" w:customStyle="1" w:styleId="1994">
    <w:name w:val="首行缩进2+小四"/>
    <w:basedOn w:val="1"/>
    <w:autoRedefine/>
    <w:qFormat/>
    <w:uiPriority w:val="0"/>
    <w:pPr>
      <w:spacing w:line="360" w:lineRule="auto"/>
      <w:ind w:firstLine="480" w:firstLineChars="200"/>
    </w:pPr>
    <w:rPr>
      <w:rFonts w:ascii="Arial" w:hAnsi="Arial"/>
      <w:sz w:val="24"/>
    </w:rPr>
  </w:style>
  <w:style w:type="paragraph" w:customStyle="1" w:styleId="1995">
    <w:name w:val="1"/>
    <w:basedOn w:val="1"/>
    <w:next w:val="51"/>
    <w:autoRedefine/>
    <w:qFormat/>
    <w:uiPriority w:val="99"/>
    <w:pPr>
      <w:spacing w:after="120" w:line="480" w:lineRule="auto"/>
      <w:ind w:left="420"/>
    </w:pPr>
    <w:rPr>
      <w:szCs w:val="20"/>
    </w:rPr>
  </w:style>
  <w:style w:type="paragraph" w:customStyle="1" w:styleId="1996">
    <w:name w:val="表格112"/>
    <w:basedOn w:val="1"/>
    <w:autoRedefine/>
    <w:qFormat/>
    <w:uiPriority w:val="0"/>
    <w:pPr>
      <w:adjustRightInd w:val="0"/>
      <w:jc w:val="center"/>
      <w:textAlignment w:val="baseline"/>
    </w:pPr>
    <w:rPr>
      <w:rFonts w:ascii="宋体"/>
      <w:kern w:val="0"/>
      <w:sz w:val="24"/>
      <w:szCs w:val="20"/>
    </w:rPr>
  </w:style>
  <w:style w:type="paragraph" w:customStyle="1" w:styleId="1997">
    <w:name w:val="表文字5113"/>
    <w:basedOn w:val="1"/>
    <w:autoRedefine/>
    <w:qFormat/>
    <w:uiPriority w:val="0"/>
    <w:pPr>
      <w:adjustRightInd w:val="0"/>
      <w:jc w:val="left"/>
      <w:textAlignment w:val="baseline"/>
    </w:pPr>
    <w:rPr>
      <w:rFonts w:ascii="宋体"/>
      <w:kern w:val="0"/>
      <w:szCs w:val="20"/>
    </w:rPr>
  </w:style>
  <w:style w:type="paragraph" w:customStyle="1" w:styleId="1998">
    <w:name w:val="Char12"/>
    <w:basedOn w:val="1"/>
    <w:autoRedefine/>
    <w:qFormat/>
    <w:uiPriority w:val="0"/>
  </w:style>
  <w:style w:type="paragraph" w:customStyle="1" w:styleId="1999">
    <w:name w:val="Char Char Char Char Char Char Char Char Char Char Char Char Char Char Char Char Char Char Char Char Char Char Char Char Char Char Char Char Char Char Char Char Char1 Char Char Char Char Char Char2"/>
    <w:basedOn w:val="1"/>
    <w:autoRedefine/>
    <w:qFormat/>
    <w:uiPriority w:val="39"/>
    <w:rPr>
      <w:sz w:val="24"/>
    </w:rPr>
  </w:style>
  <w:style w:type="paragraph" w:customStyle="1" w:styleId="2000">
    <w:name w:val="正文格式＝3"/>
    <w:basedOn w:val="418"/>
    <w:next w:val="418"/>
    <w:autoRedefine/>
    <w:qFormat/>
    <w:uiPriority w:val="0"/>
    <w:rPr>
      <w:rFonts w:ascii="宋体" w:hAnsi="宋体"/>
      <w:b w:val="0"/>
      <w:spacing w:val="0"/>
      <w:sz w:val="24"/>
      <w:szCs w:val="24"/>
    </w:rPr>
  </w:style>
  <w:style w:type="paragraph" w:customStyle="1" w:styleId="2001">
    <w:name w:val="样式 标题 1 + (中文) 黑体 四号 居中 段前: 0 磅 段后: 0 磅 行距: 2 倍行距1"/>
    <w:basedOn w:val="3"/>
    <w:autoRedefine/>
    <w:qFormat/>
    <w:uiPriority w:val="0"/>
    <w:pPr>
      <w:keepLines/>
      <w:tabs>
        <w:tab w:val="left" w:pos="432"/>
      </w:tabs>
      <w:overflowPunct/>
      <w:snapToGrid/>
      <w:spacing w:before="0" w:after="0" w:line="480" w:lineRule="auto"/>
      <w:jc w:val="center"/>
    </w:pPr>
    <w:rPr>
      <w:rFonts w:ascii="仿宋_GB2312" w:eastAsia="仿宋_GB2312"/>
      <w:sz w:val="36"/>
      <w:szCs w:val="36"/>
    </w:rPr>
  </w:style>
  <w:style w:type="paragraph" w:customStyle="1" w:styleId="2002">
    <w:name w:val="font5"/>
    <w:basedOn w:val="1"/>
    <w:autoRedefine/>
    <w:qFormat/>
    <w:uiPriority w:val="0"/>
    <w:pPr>
      <w:widowControl/>
      <w:spacing w:before="100" w:beforeAutospacing="1" w:after="100" w:afterAutospacing="1"/>
      <w:jc w:val="left"/>
    </w:pPr>
    <w:rPr>
      <w:rFonts w:ascii="宋体" w:hAnsi="宋体"/>
      <w:kern w:val="0"/>
      <w:sz w:val="18"/>
      <w:szCs w:val="20"/>
    </w:rPr>
  </w:style>
  <w:style w:type="paragraph" w:customStyle="1" w:styleId="2003">
    <w:name w:val="表文字55"/>
    <w:basedOn w:val="1"/>
    <w:autoRedefine/>
    <w:qFormat/>
    <w:uiPriority w:val="0"/>
    <w:pPr>
      <w:adjustRightInd w:val="0"/>
      <w:jc w:val="left"/>
      <w:textAlignment w:val="baseline"/>
    </w:pPr>
    <w:rPr>
      <w:rFonts w:ascii="宋体"/>
      <w:kern w:val="0"/>
      <w:szCs w:val="20"/>
    </w:rPr>
  </w:style>
  <w:style w:type="paragraph" w:customStyle="1" w:styleId="2004">
    <w:name w:val="默认段落字体 Para Char Char Char Char Char12"/>
    <w:basedOn w:val="1"/>
    <w:autoRedefine/>
    <w:qFormat/>
    <w:uiPriority w:val="0"/>
  </w:style>
  <w:style w:type="paragraph" w:customStyle="1" w:styleId="2005">
    <w:name w:val="正文新"/>
    <w:basedOn w:val="1"/>
    <w:autoRedefine/>
    <w:qFormat/>
    <w:uiPriority w:val="0"/>
    <w:pPr>
      <w:spacing w:before="80" w:after="60" w:line="300" w:lineRule="auto"/>
      <w:ind w:firstLine="510"/>
    </w:pPr>
    <w:rPr>
      <w:snapToGrid w:val="0"/>
      <w:kern w:val="0"/>
      <w:sz w:val="24"/>
    </w:rPr>
  </w:style>
  <w:style w:type="paragraph" w:customStyle="1" w:styleId="2006">
    <w:name w:val="样式2.2.5"/>
    <w:basedOn w:val="1"/>
    <w:autoRedefine/>
    <w:qFormat/>
    <w:uiPriority w:val="99"/>
    <w:pPr>
      <w:spacing w:beforeLines="50" w:line="360" w:lineRule="auto"/>
      <w:outlineLvl w:val="3"/>
    </w:pPr>
    <w:rPr>
      <w:b/>
      <w:sz w:val="24"/>
    </w:rPr>
  </w:style>
  <w:style w:type="paragraph" w:customStyle="1" w:styleId="2007">
    <w:name w:val="Char Char Char Char Char Char Char Char Char Char Char Char Char Char Char2"/>
    <w:basedOn w:val="1"/>
    <w:autoRedefine/>
    <w:qFormat/>
    <w:uiPriority w:val="39"/>
    <w:rPr>
      <w:sz w:val="24"/>
    </w:rPr>
  </w:style>
  <w:style w:type="paragraph" w:customStyle="1" w:styleId="2008">
    <w:name w:val="图表名称11"/>
    <w:basedOn w:val="86"/>
    <w:autoRedefine/>
    <w:qFormat/>
    <w:uiPriority w:val="0"/>
    <w:pPr>
      <w:widowControl/>
      <w:adjustRightInd w:val="0"/>
      <w:snapToGrid w:val="0"/>
      <w:spacing w:after="0" w:line="480" w:lineRule="exact"/>
      <w:ind w:firstLine="0" w:firstLineChars="0"/>
      <w:jc w:val="center"/>
    </w:pPr>
    <w:rPr>
      <w:rFonts w:ascii="宋体" w:hAnsi="宋体"/>
      <w:bCs/>
      <w:sz w:val="24"/>
      <w:szCs w:val="24"/>
    </w:rPr>
  </w:style>
  <w:style w:type="paragraph" w:customStyle="1" w:styleId="2009">
    <w:name w:val="9"/>
    <w:basedOn w:val="1"/>
    <w:next w:val="34"/>
    <w:autoRedefine/>
    <w:qFormat/>
    <w:uiPriority w:val="0"/>
    <w:pPr>
      <w:spacing w:after="120"/>
    </w:pPr>
    <w:rPr>
      <w:rFonts w:ascii="仿宋_GB2312" w:eastAsia="仿宋_GB2312"/>
      <w:sz w:val="28"/>
    </w:rPr>
  </w:style>
  <w:style w:type="paragraph" w:customStyle="1" w:styleId="2010">
    <w:name w:val="y表格"/>
    <w:basedOn w:val="34"/>
    <w:autoRedefine/>
    <w:qFormat/>
    <w:uiPriority w:val="99"/>
    <w:pPr>
      <w:adjustRightInd w:val="0"/>
      <w:spacing w:before="0" w:after="0" w:line="240" w:lineRule="auto"/>
      <w:ind w:right="0"/>
      <w:jc w:val="center"/>
      <w:textAlignment w:val="baseline"/>
    </w:pPr>
    <w:rPr>
      <w:rFonts w:hint="eastAsia" w:ascii="宋体" w:hAnsi="宋体"/>
      <w:sz w:val="24"/>
      <w:lang w:val="en-US"/>
    </w:rPr>
  </w:style>
  <w:style w:type="paragraph" w:customStyle="1" w:styleId="2011">
    <w:name w:val="表内文字小13"/>
    <w:basedOn w:val="1"/>
    <w:autoRedefine/>
    <w:qFormat/>
    <w:uiPriority w:val="0"/>
    <w:pPr>
      <w:adjustRightInd w:val="0"/>
      <w:snapToGrid w:val="0"/>
      <w:jc w:val="center"/>
    </w:pPr>
    <w:rPr>
      <w:rFonts w:ascii="宋体" w:hAnsi="Times"/>
      <w:szCs w:val="20"/>
    </w:rPr>
  </w:style>
  <w:style w:type="paragraph" w:customStyle="1" w:styleId="2012">
    <w:name w:val="样式211"/>
    <w:basedOn w:val="1"/>
    <w:autoRedefine/>
    <w:qFormat/>
    <w:uiPriority w:val="0"/>
    <w:pPr>
      <w:adjustRightInd w:val="0"/>
      <w:spacing w:line="360" w:lineRule="auto"/>
      <w:jc w:val="center"/>
      <w:textAlignment w:val="baseline"/>
      <w:outlineLvl w:val="0"/>
    </w:pPr>
    <w:rPr>
      <w:kern w:val="0"/>
      <w:szCs w:val="20"/>
    </w:rPr>
  </w:style>
  <w:style w:type="paragraph" w:customStyle="1" w:styleId="2013">
    <w:name w:val="样式 标题 3标题 3 Char标题 3 Char Char Char Char Char Char Char Char C...5 Char"/>
    <w:basedOn w:val="5"/>
    <w:autoRedefine/>
    <w:qFormat/>
    <w:uiPriority w:val="39"/>
    <w:pPr>
      <w:ind w:left="720" w:hanging="432"/>
    </w:pPr>
    <w:rPr>
      <w:kern w:val="0"/>
      <w:lang w:val="en-US"/>
    </w:rPr>
  </w:style>
  <w:style w:type="paragraph" w:customStyle="1" w:styleId="2014">
    <w:name w:val="文本框3"/>
    <w:basedOn w:val="1"/>
    <w:autoRedefine/>
    <w:qFormat/>
    <w:uiPriority w:val="0"/>
    <w:pPr>
      <w:adjustRightInd w:val="0"/>
      <w:snapToGrid w:val="0"/>
      <w:spacing w:after="6"/>
      <w:jc w:val="center"/>
    </w:pPr>
    <w:rPr>
      <w:rFonts w:eastAsia="仿宋_GB2312"/>
    </w:rPr>
  </w:style>
  <w:style w:type="paragraph" w:customStyle="1" w:styleId="2015">
    <w:name w:val="表内文字小212"/>
    <w:basedOn w:val="1"/>
    <w:autoRedefine/>
    <w:qFormat/>
    <w:uiPriority w:val="0"/>
    <w:pPr>
      <w:adjustRightInd w:val="0"/>
      <w:snapToGrid w:val="0"/>
      <w:jc w:val="center"/>
    </w:pPr>
    <w:rPr>
      <w:rFonts w:ascii="宋体" w:hAnsi="Times"/>
      <w:bCs/>
      <w:color w:val="000000"/>
      <w:szCs w:val="20"/>
    </w:rPr>
  </w:style>
  <w:style w:type="paragraph" w:customStyle="1" w:styleId="2016">
    <w:name w:val="正文213"/>
    <w:autoRedefine/>
    <w:qFormat/>
    <w:uiPriority w:val="0"/>
    <w:pPr>
      <w:adjustRightInd w:val="0"/>
      <w:snapToGrid w:val="0"/>
      <w:spacing w:line="480" w:lineRule="atLeast"/>
      <w:jc w:val="center"/>
    </w:pPr>
    <w:rPr>
      <w:rFonts w:ascii="宋体" w:hAnsi="Times New Roman" w:eastAsia="宋体" w:cs="Times New Roman"/>
      <w:snapToGrid w:val="0"/>
      <w:spacing w:val="6"/>
      <w:sz w:val="21"/>
      <w:lang w:val="en-US" w:eastAsia="zh-CN" w:bidi="ar-SA"/>
    </w:rPr>
  </w:style>
  <w:style w:type="paragraph" w:customStyle="1" w:styleId="2017">
    <w:name w:val="主要负责人"/>
    <w:basedOn w:val="1"/>
    <w:next w:val="1"/>
    <w:autoRedefine/>
    <w:qFormat/>
    <w:uiPriority w:val="0"/>
    <w:pPr>
      <w:jc w:val="center"/>
    </w:pPr>
    <w:rPr>
      <w:sz w:val="36"/>
      <w:szCs w:val="20"/>
    </w:rPr>
  </w:style>
  <w:style w:type="paragraph" w:customStyle="1" w:styleId="2018">
    <w:name w:val="标准文本 首行缩进:2 字符 行距1倍"/>
    <w:basedOn w:val="1"/>
    <w:autoRedefine/>
    <w:qFormat/>
    <w:uiPriority w:val="99"/>
    <w:pPr>
      <w:adjustRightInd w:val="0"/>
      <w:snapToGrid w:val="0"/>
      <w:spacing w:line="480" w:lineRule="exact"/>
      <w:ind w:firstLine="540" w:firstLineChars="225"/>
      <w:textAlignment w:val="center"/>
    </w:pPr>
    <w:rPr>
      <w:rFonts w:cs="宋体"/>
      <w:sz w:val="24"/>
      <w:szCs w:val="20"/>
    </w:rPr>
  </w:style>
  <w:style w:type="paragraph" w:customStyle="1" w:styleId="2019">
    <w:name w:val="xl172"/>
    <w:basedOn w:val="1"/>
    <w:autoRedefine/>
    <w:qFormat/>
    <w:uiPriority w:val="99"/>
    <w:pPr>
      <w:widowControl/>
      <w:pBdr>
        <w:top w:val="single" w:color="auto" w:sz="12" w:space="0"/>
        <w:left w:val="single" w:color="auto" w:sz="12" w:space="0"/>
        <w:right w:val="single" w:color="auto" w:sz="4" w:space="0"/>
      </w:pBdr>
      <w:spacing w:before="100" w:beforeAutospacing="1" w:after="100" w:afterAutospacing="1"/>
      <w:jc w:val="center"/>
      <w:textAlignment w:val="center"/>
    </w:pPr>
    <w:rPr>
      <w:rFonts w:ascii="Arial Unicode MS" w:hAnsi="Arial Unicode MS"/>
      <w:kern w:val="0"/>
    </w:rPr>
  </w:style>
  <w:style w:type="paragraph" w:customStyle="1" w:styleId="2020">
    <w:name w:val="8"/>
    <w:basedOn w:val="1"/>
    <w:next w:val="70"/>
    <w:autoRedefine/>
    <w:qFormat/>
    <w:uiPriority w:val="0"/>
    <w:pPr>
      <w:ind w:firstLine="556"/>
      <w:jc w:val="left"/>
    </w:pPr>
    <w:rPr>
      <w:rFonts w:ascii="仿宋_GB2312" w:hAnsi="宋体" w:eastAsia="仿宋_GB2312"/>
      <w:sz w:val="28"/>
    </w:rPr>
  </w:style>
  <w:style w:type="paragraph" w:customStyle="1" w:styleId="2021">
    <w:name w:val="Char Char Char Char Char Char Char Char Char Char Char Char Char Char Char Char Char Char Char Char Char Char Char Char Char Char Char Char Char Char Char Char Char Char Char Char Char Char Char3"/>
    <w:basedOn w:val="1"/>
    <w:autoRedefine/>
    <w:qFormat/>
    <w:uiPriority w:val="39"/>
    <w:rPr>
      <w:sz w:val="24"/>
    </w:rPr>
  </w:style>
  <w:style w:type="paragraph" w:customStyle="1" w:styleId="2022">
    <w:name w:val="默认段落字体 Para Char Char Char1 Char Char Char Char"/>
    <w:basedOn w:val="1"/>
    <w:autoRedefine/>
    <w:qFormat/>
    <w:uiPriority w:val="0"/>
    <w:rPr>
      <w:sz w:val="24"/>
    </w:rPr>
  </w:style>
  <w:style w:type="paragraph" w:customStyle="1" w:styleId="2023">
    <w:name w:val="表内文字小1112"/>
    <w:basedOn w:val="1"/>
    <w:autoRedefine/>
    <w:qFormat/>
    <w:uiPriority w:val="0"/>
    <w:pPr>
      <w:adjustRightInd w:val="0"/>
      <w:snapToGrid w:val="0"/>
    </w:pPr>
    <w:rPr>
      <w:rFonts w:ascii="宋体" w:hAnsi="Times" w:cs="宋体"/>
      <w:szCs w:val="20"/>
    </w:rPr>
  </w:style>
  <w:style w:type="paragraph" w:customStyle="1" w:styleId="2024">
    <w:name w:val="五级条标题"/>
    <w:basedOn w:val="1680"/>
    <w:next w:val="1"/>
    <w:autoRedefine/>
    <w:qFormat/>
    <w:uiPriority w:val="0"/>
  </w:style>
  <w:style w:type="paragraph" w:customStyle="1" w:styleId="2025">
    <w:name w:val="Char Char Char Char Char Char Char6"/>
    <w:basedOn w:val="1"/>
    <w:autoRedefine/>
    <w:qFormat/>
    <w:uiPriority w:val="0"/>
    <w:rPr>
      <w:szCs w:val="20"/>
    </w:rPr>
  </w:style>
  <w:style w:type="paragraph" w:customStyle="1" w:styleId="2026">
    <w:name w:val="样式 宋体 四号 左 行距: 固定值 25 磅"/>
    <w:basedOn w:val="1"/>
    <w:autoRedefine/>
    <w:qFormat/>
    <w:uiPriority w:val="0"/>
    <w:pPr>
      <w:spacing w:line="500" w:lineRule="exact"/>
      <w:ind w:firstLine="200" w:firstLineChars="200"/>
      <w:jc w:val="left"/>
    </w:pPr>
    <w:rPr>
      <w:rFonts w:cs="宋体"/>
      <w:sz w:val="28"/>
      <w:szCs w:val="20"/>
    </w:rPr>
  </w:style>
  <w:style w:type="paragraph" w:customStyle="1" w:styleId="2027">
    <w:name w:val="样式 样式 标题 3 + 段前: 0.5 行 段后: 0.5 行 + 段前: 0.5 行 段后: 0.5 行"/>
    <w:basedOn w:val="1"/>
    <w:autoRedefine/>
    <w:qFormat/>
    <w:uiPriority w:val="39"/>
    <w:pPr>
      <w:keepNext/>
      <w:keepLines/>
      <w:adjustRightInd w:val="0"/>
      <w:snapToGrid w:val="0"/>
      <w:spacing w:beforeLines="50" w:afterLines="50" w:line="300" w:lineRule="auto"/>
      <w:ind w:left="180"/>
      <w:jc w:val="left"/>
      <w:outlineLvl w:val="2"/>
    </w:pPr>
    <w:rPr>
      <w:rFonts w:ascii="仿宋_GB2312" w:hAnsi="宋体" w:eastAsia="仿宋_GB2312" w:cs="宋体"/>
      <w:b/>
      <w:sz w:val="30"/>
      <w:szCs w:val="30"/>
    </w:rPr>
  </w:style>
  <w:style w:type="paragraph" w:customStyle="1" w:styleId="2028">
    <w:name w:val="style2"/>
    <w:basedOn w:val="1"/>
    <w:autoRedefine/>
    <w:qFormat/>
    <w:uiPriority w:val="99"/>
    <w:pPr>
      <w:widowControl/>
      <w:spacing w:before="100" w:beforeAutospacing="1" w:after="100" w:afterAutospacing="1"/>
      <w:jc w:val="left"/>
    </w:pPr>
    <w:rPr>
      <w:rFonts w:ascii="宋体" w:hAnsi="宋体"/>
      <w:color w:val="000000"/>
      <w:kern w:val="0"/>
      <w:szCs w:val="20"/>
    </w:rPr>
  </w:style>
  <w:style w:type="paragraph" w:customStyle="1" w:styleId="2029">
    <w:name w:val="表中文字61"/>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2030">
    <w:name w:val="列出段落1"/>
    <w:basedOn w:val="1"/>
    <w:autoRedefine/>
    <w:qFormat/>
    <w:uiPriority w:val="99"/>
    <w:pPr>
      <w:ind w:firstLine="420" w:firstLineChars="200"/>
    </w:pPr>
    <w:rPr>
      <w:szCs w:val="22"/>
    </w:rPr>
  </w:style>
  <w:style w:type="paragraph" w:customStyle="1" w:styleId="2031">
    <w:name w:val="Char4 Char Char Char Char Char Char2"/>
    <w:basedOn w:val="1"/>
    <w:autoRedefine/>
    <w:qFormat/>
    <w:uiPriority w:val="39"/>
    <w:rPr>
      <w:sz w:val="24"/>
    </w:rPr>
  </w:style>
  <w:style w:type="paragraph" w:customStyle="1" w:styleId="2032">
    <w:name w:val="默认段落字体 Para Char Char Char Char Char Char Char"/>
    <w:basedOn w:val="1"/>
    <w:autoRedefine/>
    <w:qFormat/>
    <w:uiPriority w:val="99"/>
    <w:rPr>
      <w:sz w:val="24"/>
    </w:rPr>
  </w:style>
  <w:style w:type="paragraph" w:customStyle="1" w:styleId="2033">
    <w:name w:val="heading"/>
    <w:basedOn w:val="1"/>
    <w:next w:val="1"/>
    <w:autoRedefine/>
    <w:qFormat/>
    <w:uiPriority w:val="99"/>
    <w:pPr>
      <w:keepNext/>
      <w:keepLines/>
      <w:tabs>
        <w:tab w:val="left" w:pos="576"/>
      </w:tabs>
      <w:spacing w:line="360" w:lineRule="auto"/>
      <w:ind w:left="576" w:hanging="576"/>
      <w:outlineLvl w:val="1"/>
    </w:pPr>
    <w:rPr>
      <w:rFonts w:ascii="宋体" w:hAnsi="Arial Black"/>
      <w:sz w:val="24"/>
      <w:szCs w:val="20"/>
    </w:rPr>
  </w:style>
  <w:style w:type="paragraph" w:customStyle="1" w:styleId="2034">
    <w:name w:val="13"/>
    <w:basedOn w:val="1"/>
    <w:next w:val="35"/>
    <w:autoRedefine/>
    <w:qFormat/>
    <w:uiPriority w:val="0"/>
    <w:pPr>
      <w:spacing w:line="500" w:lineRule="exact"/>
      <w:ind w:firstLine="560" w:firstLineChars="200"/>
    </w:pPr>
    <w:rPr>
      <w:rFonts w:ascii="仿宋_GB2312" w:eastAsia="仿宋_GB2312"/>
      <w:color w:val="FF0000"/>
      <w:sz w:val="28"/>
      <w:szCs w:val="20"/>
    </w:rPr>
  </w:style>
  <w:style w:type="paragraph" w:customStyle="1" w:styleId="2035">
    <w:name w:val="样式 正文缩进 + 宋体 黑色 首行缩进:  2 字符11"/>
    <w:basedOn w:val="9"/>
    <w:autoRedefine/>
    <w:qFormat/>
    <w:uiPriority w:val="0"/>
    <w:pPr>
      <w:spacing w:line="360" w:lineRule="auto"/>
      <w:ind w:firstLine="480"/>
      <w:jc w:val="left"/>
    </w:pPr>
    <w:rPr>
      <w:rFonts w:ascii="宋体" w:hAnsi="宋体" w:cs="宋体"/>
      <w:color w:val="FF00FF"/>
      <w:kern w:val="0"/>
      <w:sz w:val="24"/>
      <w:szCs w:val="20"/>
      <w:lang w:val="en-US"/>
    </w:rPr>
  </w:style>
  <w:style w:type="paragraph" w:customStyle="1" w:styleId="2036">
    <w:name w:val="cdb"/>
    <w:basedOn w:val="1"/>
    <w:autoRedefine/>
    <w:qFormat/>
    <w:uiPriority w:val="99"/>
    <w:pPr>
      <w:spacing w:before="120"/>
      <w:ind w:left="851" w:firstLine="482"/>
    </w:pPr>
    <w:rPr>
      <w:szCs w:val="20"/>
    </w:rPr>
  </w:style>
  <w:style w:type="paragraph" w:customStyle="1" w:styleId="2037">
    <w:name w:val="样式 标题 4无效格式无效格式1河石管道4H4H41小小节河石管道41H42H411小小节1河石管道42...112"/>
    <w:basedOn w:val="6"/>
    <w:autoRedefine/>
    <w:qFormat/>
    <w:uiPriority w:val="0"/>
    <w:pPr>
      <w:adjustRightInd w:val="0"/>
      <w:snapToGrid w:val="0"/>
      <w:spacing w:before="0" w:after="0" w:line="360" w:lineRule="auto"/>
      <w:ind w:left="664" w:hanging="864"/>
      <w:jc w:val="left"/>
    </w:pPr>
    <w:rPr>
      <w:rFonts w:ascii="黑体" w:cs="宋体"/>
      <w:b w:val="0"/>
      <w:bCs w:val="0"/>
      <w:sz w:val="24"/>
      <w:szCs w:val="20"/>
    </w:rPr>
  </w:style>
  <w:style w:type="paragraph" w:customStyle="1" w:styleId="2038">
    <w:name w:val="小4黑居中行1"/>
    <w:autoRedefine/>
    <w:qFormat/>
    <w:uiPriority w:val="0"/>
    <w:pPr>
      <w:spacing w:line="360" w:lineRule="auto"/>
      <w:jc w:val="center"/>
    </w:pPr>
    <w:rPr>
      <w:rFonts w:ascii="Times New Roman" w:hAnsi="Times New Roman" w:eastAsia="宋体" w:cs="Times New Roman"/>
      <w:kern w:val="2"/>
      <w:sz w:val="21"/>
      <w:lang w:val="en-US" w:eastAsia="zh-CN" w:bidi="ar-SA"/>
    </w:rPr>
  </w:style>
  <w:style w:type="paragraph" w:customStyle="1" w:styleId="2039">
    <w:name w:val="表中文字1"/>
    <w:autoRedefine/>
    <w:qFormat/>
    <w:uiPriority w:val="0"/>
    <w:pPr>
      <w:widowControl w:val="0"/>
      <w:adjustRightInd w:val="0"/>
      <w:snapToGrid w:val="0"/>
      <w:jc w:val="center"/>
    </w:pPr>
    <w:rPr>
      <w:rFonts w:ascii="仿宋_GB2312" w:hAnsi="Times New Roman" w:eastAsia="仿宋_GB2312" w:cs="Times New Roman"/>
      <w:kern w:val="2"/>
      <w:sz w:val="24"/>
      <w:lang w:val="en-US" w:eastAsia="zh-CN" w:bidi="ar-SA"/>
    </w:rPr>
  </w:style>
  <w:style w:type="paragraph" w:customStyle="1" w:styleId="2040">
    <w:name w:val="表内宋5中1"/>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2041">
    <w:name w:val="淮安正文样式 小四 行距: 1.5 倍行距 首行缩进:  2 字符"/>
    <w:basedOn w:val="1"/>
    <w:autoRedefine/>
    <w:qFormat/>
    <w:uiPriority w:val="99"/>
    <w:pPr>
      <w:adjustRightInd w:val="0"/>
      <w:snapToGrid w:val="0"/>
      <w:spacing w:line="500" w:lineRule="exact"/>
      <w:ind w:firstLine="560" w:firstLineChars="200"/>
    </w:pPr>
    <w:rPr>
      <w:rFonts w:ascii="仿宋_GB2312" w:eastAsia="仿宋_GB2312"/>
      <w:snapToGrid w:val="0"/>
      <w:kern w:val="0"/>
      <w:sz w:val="28"/>
      <w:szCs w:val="28"/>
    </w:rPr>
  </w:style>
  <w:style w:type="paragraph" w:customStyle="1" w:styleId="2042">
    <w:name w:val="Char1 Char Char Char"/>
    <w:basedOn w:val="1"/>
    <w:autoRedefine/>
    <w:qFormat/>
    <w:uiPriority w:val="0"/>
  </w:style>
  <w:style w:type="paragraph" w:customStyle="1" w:styleId="2043">
    <w:name w:val="xl174"/>
    <w:basedOn w:val="1"/>
    <w:autoRedefine/>
    <w:qFormat/>
    <w:uiPriority w:val="99"/>
    <w:pPr>
      <w:widowControl/>
      <w:spacing w:before="100" w:beforeAutospacing="1" w:after="100" w:afterAutospacing="1"/>
      <w:jc w:val="center"/>
    </w:pPr>
    <w:rPr>
      <w:rFonts w:ascii="Arial Unicode MS" w:hAnsi="Arial Unicode MS"/>
      <w:kern w:val="0"/>
      <w:sz w:val="16"/>
      <w:szCs w:val="16"/>
    </w:rPr>
  </w:style>
  <w:style w:type="paragraph" w:customStyle="1" w:styleId="2044">
    <w:name w:val="p0"/>
    <w:basedOn w:val="1"/>
    <w:autoRedefine/>
    <w:qFormat/>
    <w:uiPriority w:val="0"/>
    <w:pPr>
      <w:widowControl/>
    </w:pPr>
    <w:rPr>
      <w:kern w:val="0"/>
      <w:szCs w:val="21"/>
    </w:rPr>
  </w:style>
  <w:style w:type="paragraph" w:customStyle="1" w:styleId="2045">
    <w:name w:val="样式 首行缩进:  2 字符"/>
    <w:basedOn w:val="1"/>
    <w:autoRedefine/>
    <w:qFormat/>
    <w:uiPriority w:val="0"/>
    <w:pPr>
      <w:tabs>
        <w:tab w:val="left" w:pos="0"/>
      </w:tabs>
      <w:spacing w:line="560" w:lineRule="exact"/>
      <w:ind w:firstLine="560" w:firstLineChars="200"/>
    </w:pPr>
    <w:rPr>
      <w:rFonts w:hAnsi="宋体" w:eastAsia="仿宋_GB2312"/>
      <w:spacing w:val="12"/>
      <w:sz w:val="28"/>
      <w:szCs w:val="20"/>
    </w:rPr>
  </w:style>
  <w:style w:type="paragraph" w:customStyle="1" w:styleId="2046">
    <w:name w:val="样式42"/>
    <w:basedOn w:val="34"/>
    <w:autoRedefine/>
    <w:qFormat/>
    <w:uiPriority w:val="0"/>
    <w:pPr>
      <w:widowControl w:val="0"/>
      <w:tabs>
        <w:tab w:val="left" w:pos="1820"/>
      </w:tabs>
      <w:spacing w:before="0" w:after="0" w:line="240" w:lineRule="atLeast"/>
      <w:ind w:right="0"/>
      <w:jc w:val="center"/>
    </w:pPr>
    <w:rPr>
      <w:rFonts w:eastAsia="幼圆"/>
      <w:sz w:val="20"/>
      <w:lang w:val="en-US"/>
    </w:rPr>
  </w:style>
  <w:style w:type="paragraph" w:customStyle="1" w:styleId="2047">
    <w:name w:val="默认段落字体 Para Char Char Char Char Char Char Char Char Char Char"/>
    <w:basedOn w:val="1"/>
    <w:autoRedefine/>
    <w:qFormat/>
    <w:uiPriority w:val="0"/>
    <w:rPr>
      <w:sz w:val="24"/>
      <w:szCs w:val="20"/>
    </w:rPr>
  </w:style>
  <w:style w:type="paragraph" w:customStyle="1" w:styleId="2048">
    <w:name w:val="默认段落字体 Para Char Char Char1 Char Char Char Char Char Char Char Char Char Char"/>
    <w:basedOn w:val="1"/>
    <w:autoRedefine/>
    <w:qFormat/>
    <w:uiPriority w:val="99"/>
    <w:rPr>
      <w:sz w:val="28"/>
    </w:rPr>
  </w:style>
  <w:style w:type="paragraph" w:customStyle="1" w:styleId="2049">
    <w:name w:val="Char Char Char Char Char Char Char Char Char1 Char Char Char Char Char Char1 Char3"/>
    <w:basedOn w:val="1"/>
    <w:autoRedefine/>
    <w:qFormat/>
    <w:uiPriority w:val="39"/>
    <w:rPr>
      <w:szCs w:val="21"/>
    </w:rPr>
  </w:style>
  <w:style w:type="paragraph" w:customStyle="1" w:styleId="2050">
    <w:name w:val="黑体三号3"/>
    <w:basedOn w:val="418"/>
    <w:autoRedefine/>
    <w:qFormat/>
    <w:uiPriority w:val="0"/>
    <w:pPr>
      <w:jc w:val="center"/>
    </w:pPr>
    <w:rPr>
      <w:rFonts w:ascii="黑体" w:hAnsi="宋体" w:eastAsia="黑体" w:cs="宋体"/>
      <w:bCs/>
      <w:spacing w:val="0"/>
      <w:sz w:val="32"/>
    </w:rPr>
  </w:style>
  <w:style w:type="paragraph" w:customStyle="1" w:styleId="2051">
    <w:name w:val="样式5555"/>
    <w:basedOn w:val="1"/>
    <w:autoRedefine/>
    <w:qFormat/>
    <w:uiPriority w:val="99"/>
    <w:pPr>
      <w:tabs>
        <w:tab w:val="left" w:pos="0"/>
      </w:tabs>
      <w:ind w:left="1680" w:hanging="420"/>
    </w:pPr>
    <w:rPr>
      <w:rFonts w:ascii="宋体" w:hAnsi="PMingLiU"/>
      <w:sz w:val="24"/>
    </w:rPr>
  </w:style>
  <w:style w:type="paragraph" w:customStyle="1" w:styleId="2052">
    <w:name w:val="TOC 标题2"/>
    <w:basedOn w:val="3"/>
    <w:next w:val="1"/>
    <w:autoRedefine/>
    <w:qFormat/>
    <w:uiPriority w:val="39"/>
    <w:pPr>
      <w:keepLines/>
      <w:tabs>
        <w:tab w:val="left" w:pos="360"/>
      </w:tabs>
      <w:overflowPunct/>
      <w:snapToGrid/>
      <w:spacing w:before="340" w:after="330" w:line="578" w:lineRule="auto"/>
      <w:ind w:left="0" w:firstLine="0"/>
      <w:outlineLvl w:val="9"/>
    </w:pPr>
    <w:rPr>
      <w:rFonts w:ascii="Calibri" w:hAnsi="Calibri" w:eastAsia="宋体"/>
      <w:color w:val="auto"/>
      <w:sz w:val="44"/>
      <w:szCs w:val="44"/>
    </w:rPr>
  </w:style>
  <w:style w:type="paragraph" w:customStyle="1" w:styleId="2053">
    <w:name w:val="msolistparagraph"/>
    <w:basedOn w:val="1"/>
    <w:autoRedefine/>
    <w:qFormat/>
    <w:uiPriority w:val="39"/>
    <w:pPr>
      <w:widowControl/>
      <w:spacing w:before="100" w:beforeAutospacing="1" w:after="100" w:afterAutospacing="1"/>
      <w:jc w:val="left"/>
    </w:pPr>
    <w:rPr>
      <w:rFonts w:ascii="宋体" w:hAnsi="宋体" w:cs="宋体"/>
      <w:kern w:val="0"/>
      <w:sz w:val="24"/>
    </w:rPr>
  </w:style>
  <w:style w:type="paragraph" w:customStyle="1" w:styleId="2054">
    <w:name w:val="表题31112"/>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2055">
    <w:name w:val="默认段落字体 Para Char Char Char Char53"/>
    <w:basedOn w:val="1"/>
    <w:autoRedefine/>
    <w:qFormat/>
    <w:uiPriority w:val="0"/>
  </w:style>
  <w:style w:type="paragraph" w:customStyle="1" w:styleId="2056">
    <w:name w:val="wj12"/>
    <w:basedOn w:val="1"/>
    <w:autoRedefine/>
    <w:qFormat/>
    <w:uiPriority w:val="99"/>
    <w:pPr>
      <w:widowControl/>
      <w:spacing w:before="100" w:beforeAutospacing="1" w:after="100" w:afterAutospacing="1"/>
      <w:jc w:val="left"/>
    </w:pPr>
    <w:rPr>
      <w:rFonts w:ascii="宋体" w:hAnsi="宋体" w:cs="宋体"/>
      <w:kern w:val="0"/>
      <w:sz w:val="18"/>
      <w:szCs w:val="18"/>
    </w:rPr>
  </w:style>
  <w:style w:type="paragraph" w:customStyle="1" w:styleId="2057">
    <w:name w:val="黑体三号22"/>
    <w:basedOn w:val="418"/>
    <w:autoRedefine/>
    <w:qFormat/>
    <w:uiPriority w:val="0"/>
    <w:pPr>
      <w:jc w:val="center"/>
    </w:pPr>
    <w:rPr>
      <w:rFonts w:ascii="黑体" w:hAnsi="宋体" w:eastAsia="黑体" w:cs="宋体"/>
      <w:bCs/>
      <w:spacing w:val="0"/>
      <w:sz w:val="32"/>
    </w:rPr>
  </w:style>
  <w:style w:type="paragraph" w:customStyle="1" w:styleId="2058">
    <w:name w:val="正文.1"/>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2059">
    <w:name w:val="Char Char Char1 Char Char Char Char Char Char Char Char Char Char Char Char Char Char Char1 Char Char Char Char Char Char Char Char Char Char Char Char Char Char Char Char Char Char Char Char Char Char Char Char Char Char Char2"/>
    <w:basedOn w:val="1"/>
    <w:autoRedefine/>
    <w:qFormat/>
    <w:uiPriority w:val="39"/>
    <w:pPr>
      <w:spacing w:line="240" w:lineRule="exact"/>
      <w:ind w:firstLine="200" w:firstLineChars="200"/>
    </w:pPr>
    <w:rPr>
      <w:sz w:val="28"/>
      <w:szCs w:val="28"/>
    </w:rPr>
  </w:style>
  <w:style w:type="paragraph" w:customStyle="1" w:styleId="2060">
    <w:name w:val="Char Char Char2 Char"/>
    <w:basedOn w:val="1"/>
    <w:autoRedefine/>
    <w:qFormat/>
    <w:uiPriority w:val="99"/>
    <w:pPr>
      <w:tabs>
        <w:tab w:val="left" w:pos="360"/>
      </w:tabs>
    </w:pPr>
  </w:style>
  <w:style w:type="paragraph" w:customStyle="1" w:styleId="2061">
    <w:name w:val="已访问的超级链接"/>
    <w:autoRedefine/>
    <w:unhideWhenUsed/>
    <w:qFormat/>
    <w:uiPriority w:val="99"/>
    <w:rPr>
      <w:rFonts w:ascii="宋体" w:hAnsi="宋体" w:eastAsia="宋体" w:cs="Times New Roman"/>
      <w:kern w:val="2"/>
      <w:sz w:val="24"/>
      <w:szCs w:val="24"/>
      <w:lang w:val="en-US" w:eastAsia="zh-CN" w:bidi="ar-SA"/>
    </w:rPr>
  </w:style>
  <w:style w:type="paragraph" w:customStyle="1" w:styleId="2062">
    <w:name w:val="CM42"/>
    <w:basedOn w:val="107"/>
    <w:next w:val="107"/>
    <w:autoRedefine/>
    <w:qFormat/>
    <w:uiPriority w:val="39"/>
    <w:pPr>
      <w:spacing w:line="240" w:lineRule="auto"/>
    </w:pPr>
    <w:rPr>
      <w:rFonts w:ascii="楷体_GB2312" w:hAnsi="Times New Roman" w:eastAsia="楷体_GB2312" w:cs="Times New Roman"/>
      <w:color w:val="auto"/>
    </w:rPr>
  </w:style>
  <w:style w:type="paragraph" w:customStyle="1" w:styleId="2063">
    <w:name w:val="Char Char Char1 Char Char Char Char Char Char3"/>
    <w:basedOn w:val="1"/>
    <w:autoRedefine/>
    <w:qFormat/>
    <w:uiPriority w:val="39"/>
    <w:rPr>
      <w:szCs w:val="21"/>
    </w:rPr>
  </w:style>
  <w:style w:type="paragraph" w:customStyle="1" w:styleId="2064">
    <w:name w:val="Plain Text2"/>
    <w:basedOn w:val="1"/>
    <w:autoRedefine/>
    <w:qFormat/>
    <w:uiPriority w:val="0"/>
    <w:pPr>
      <w:autoSpaceDE w:val="0"/>
      <w:autoSpaceDN w:val="0"/>
      <w:adjustRightInd w:val="0"/>
      <w:textAlignment w:val="baseline"/>
    </w:pPr>
    <w:rPr>
      <w:rFonts w:ascii="宋体" w:hAnsi="Tms Rmn"/>
      <w:kern w:val="0"/>
      <w:szCs w:val="20"/>
    </w:rPr>
  </w:style>
  <w:style w:type="paragraph" w:customStyle="1" w:styleId="2065">
    <w:name w:val="Char Char Char1 Char Char Char Char Char Char Char Char Char2"/>
    <w:basedOn w:val="1"/>
    <w:autoRedefine/>
    <w:qFormat/>
    <w:uiPriority w:val="39"/>
    <w:rPr>
      <w:szCs w:val="21"/>
    </w:rPr>
  </w:style>
  <w:style w:type="paragraph" w:customStyle="1" w:styleId="2066">
    <w:name w:val="正文标准样式"/>
    <w:basedOn w:val="1"/>
    <w:autoRedefine/>
    <w:qFormat/>
    <w:uiPriority w:val="99"/>
    <w:pPr>
      <w:adjustRightInd w:val="0"/>
      <w:spacing w:line="300" w:lineRule="auto"/>
      <w:ind w:firstLine="482"/>
      <w:textAlignment w:val="baseline"/>
    </w:pPr>
    <w:rPr>
      <w:kern w:val="0"/>
      <w:sz w:val="24"/>
      <w:szCs w:val="20"/>
    </w:rPr>
  </w:style>
  <w:style w:type="paragraph" w:customStyle="1" w:styleId="2067">
    <w:name w:val="正文格式＝62"/>
    <w:basedOn w:val="418"/>
    <w:next w:val="418"/>
    <w:autoRedefine/>
    <w:qFormat/>
    <w:uiPriority w:val="0"/>
    <w:rPr>
      <w:rFonts w:ascii="宋体" w:hAnsi="宋体"/>
      <w:b w:val="0"/>
      <w:spacing w:val="0"/>
      <w:sz w:val="24"/>
      <w:szCs w:val="24"/>
    </w:rPr>
  </w:style>
  <w:style w:type="paragraph" w:customStyle="1" w:styleId="2068">
    <w:name w:val="Char3"/>
    <w:basedOn w:val="1"/>
    <w:autoRedefine/>
    <w:qFormat/>
    <w:uiPriority w:val="0"/>
    <w:rPr>
      <w:sz w:val="24"/>
    </w:rPr>
  </w:style>
  <w:style w:type="paragraph" w:customStyle="1" w:styleId="2069">
    <w:name w:val="Char4 Char Char Char Char Char Char Char Char Char Char Char Char Char Char Char Char Char1 Char Char Char Char2"/>
    <w:basedOn w:val="1"/>
    <w:autoRedefine/>
    <w:qFormat/>
    <w:uiPriority w:val="39"/>
    <w:pPr>
      <w:spacing w:line="240" w:lineRule="exact"/>
      <w:ind w:firstLine="200" w:firstLineChars="200"/>
    </w:pPr>
    <w:rPr>
      <w:sz w:val="28"/>
      <w:szCs w:val="28"/>
    </w:rPr>
  </w:style>
  <w:style w:type="paragraph" w:customStyle="1" w:styleId="2070">
    <w:name w:val="表内文字小84"/>
    <w:basedOn w:val="1"/>
    <w:autoRedefine/>
    <w:qFormat/>
    <w:uiPriority w:val="0"/>
    <w:pPr>
      <w:adjustRightInd w:val="0"/>
      <w:snapToGrid w:val="0"/>
      <w:jc w:val="center"/>
    </w:pPr>
    <w:rPr>
      <w:rFonts w:ascii="宋体" w:hAnsi="Times" w:cs="宋体"/>
      <w:szCs w:val="20"/>
    </w:rPr>
  </w:style>
  <w:style w:type="paragraph" w:customStyle="1" w:styleId="2071">
    <w:name w:val="附件22"/>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2072">
    <w:name w:val="燕山正文1134"/>
    <w:basedOn w:val="1"/>
    <w:autoRedefine/>
    <w:qFormat/>
    <w:uiPriority w:val="0"/>
    <w:pPr>
      <w:tabs>
        <w:tab w:val="left" w:pos="4680"/>
      </w:tabs>
      <w:adjustRightInd w:val="0"/>
      <w:snapToGrid w:val="0"/>
      <w:spacing w:line="360" w:lineRule="auto"/>
      <w:ind w:firstLine="480" w:firstLineChars="200"/>
    </w:pPr>
    <w:rPr>
      <w:rFonts w:ascii="宋体" w:hAnsi="宋体" w:cs="宋体"/>
      <w:bCs/>
      <w:snapToGrid w:val="0"/>
      <w:color w:val="000000"/>
      <w:kern w:val="0"/>
      <w:sz w:val="24"/>
    </w:rPr>
  </w:style>
  <w:style w:type="paragraph" w:customStyle="1" w:styleId="2073">
    <w:name w:val="正文(黑体)"/>
    <w:basedOn w:val="1"/>
    <w:autoRedefine/>
    <w:qFormat/>
    <w:uiPriority w:val="99"/>
    <w:pPr>
      <w:autoSpaceDE w:val="0"/>
      <w:autoSpaceDN w:val="0"/>
      <w:adjustRightInd w:val="0"/>
      <w:spacing w:line="288" w:lineRule="auto"/>
      <w:ind w:firstLine="482"/>
      <w:textAlignment w:val="baseline"/>
    </w:pPr>
    <w:rPr>
      <w:rFonts w:ascii="黑体"/>
      <w:kern w:val="0"/>
      <w:sz w:val="24"/>
      <w:szCs w:val="20"/>
    </w:rPr>
  </w:style>
  <w:style w:type="paragraph" w:customStyle="1" w:styleId="2074">
    <w:name w:val="Char114"/>
    <w:basedOn w:val="1"/>
    <w:autoRedefine/>
    <w:qFormat/>
    <w:uiPriority w:val="0"/>
    <w:pPr>
      <w:ind w:left="-48"/>
    </w:pPr>
  </w:style>
  <w:style w:type="paragraph" w:customStyle="1" w:styleId="2075">
    <w:name w:val="xl25"/>
    <w:basedOn w:val="1"/>
    <w:autoRedefine/>
    <w:qFormat/>
    <w:uiPriority w:val="0"/>
    <w:pPr>
      <w:widowControl/>
      <w:pBdr>
        <w:bottom w:val="single" w:color="auto" w:sz="4" w:space="0"/>
        <w:right w:val="single" w:color="auto" w:sz="4" w:space="0"/>
      </w:pBdr>
      <w:spacing w:before="100" w:beforeAutospacing="1" w:after="100" w:afterAutospacing="1"/>
      <w:jc w:val="center"/>
    </w:pPr>
    <w:rPr>
      <w:rFonts w:eastAsia="Arial Unicode MS"/>
      <w:snapToGrid w:val="0"/>
      <w:kern w:val="0"/>
      <w:szCs w:val="21"/>
    </w:rPr>
  </w:style>
  <w:style w:type="paragraph" w:customStyle="1" w:styleId="2076">
    <w:name w:val="Char Char Char Char Char Char Char Char Char Char Char Char Char Char Char Char Char Char Char Char Char Char Char Char Char Char Char Char Char Char Char Char Char Char Char Char Char Char Char Char2"/>
    <w:basedOn w:val="1"/>
    <w:autoRedefine/>
    <w:qFormat/>
    <w:uiPriority w:val="39"/>
    <w:rPr>
      <w:sz w:val="24"/>
    </w:rPr>
  </w:style>
  <w:style w:type="paragraph" w:customStyle="1" w:styleId="2077">
    <w:name w:val="23-47表名4"/>
    <w:basedOn w:val="1"/>
    <w:autoRedefine/>
    <w:qFormat/>
    <w:uiPriority w:val="0"/>
    <w:pPr>
      <w:spacing w:afterLines="50" w:line="440" w:lineRule="exact"/>
      <w:jc w:val="center"/>
    </w:pPr>
    <w:rPr>
      <w:rFonts w:ascii="宋体" w:hAnsi="宋体"/>
      <w:b/>
      <w:sz w:val="24"/>
    </w:rPr>
  </w:style>
  <w:style w:type="paragraph" w:customStyle="1" w:styleId="2078">
    <w:name w:val="Plain Text1"/>
    <w:basedOn w:val="1"/>
    <w:autoRedefine/>
    <w:qFormat/>
    <w:uiPriority w:val="0"/>
    <w:pPr>
      <w:autoSpaceDE w:val="0"/>
      <w:autoSpaceDN w:val="0"/>
      <w:adjustRightInd w:val="0"/>
      <w:textAlignment w:val="baseline"/>
    </w:pPr>
    <w:rPr>
      <w:rFonts w:ascii="宋体" w:hAnsi="Tms Rmn"/>
      <w:kern w:val="0"/>
      <w:szCs w:val="20"/>
    </w:rPr>
  </w:style>
  <w:style w:type="paragraph" w:customStyle="1" w:styleId="2079">
    <w:name w:val="Char Char Char1 Char Char2"/>
    <w:basedOn w:val="1"/>
    <w:autoRedefine/>
    <w:qFormat/>
    <w:uiPriority w:val="39"/>
    <w:rPr>
      <w:rFonts w:ascii="黑体" w:hAnsi="黑体" w:eastAsia="黑体"/>
      <w:b/>
      <w:spacing w:val="10"/>
      <w:sz w:val="28"/>
      <w:szCs w:val="20"/>
    </w:rPr>
  </w:style>
  <w:style w:type="paragraph" w:customStyle="1" w:styleId="2080">
    <w:name w:val="正文修改1"/>
    <w:basedOn w:val="193"/>
    <w:autoRedefine/>
    <w:qFormat/>
    <w:uiPriority w:val="0"/>
    <w:rPr>
      <w:rFonts w:hAnsi="宋体"/>
      <w:color w:val="000000"/>
    </w:rPr>
  </w:style>
  <w:style w:type="paragraph" w:customStyle="1" w:styleId="2081">
    <w:name w:val="font12"/>
    <w:basedOn w:val="1"/>
    <w:autoRedefine/>
    <w:qFormat/>
    <w:uiPriority w:val="0"/>
    <w:pPr>
      <w:widowControl/>
      <w:spacing w:before="100" w:beforeAutospacing="1" w:after="100" w:afterAutospacing="1"/>
      <w:jc w:val="left"/>
    </w:pPr>
    <w:rPr>
      <w:rFonts w:hint="eastAsia" w:ascii="楷体_GB2312" w:hAnsi="Arial Unicode MS" w:eastAsia="楷体_GB2312" w:cs="Arial Unicode MS"/>
      <w:kern w:val="0"/>
      <w:sz w:val="16"/>
      <w:szCs w:val="16"/>
    </w:rPr>
  </w:style>
  <w:style w:type="paragraph" w:customStyle="1" w:styleId="2082">
    <w:name w:val="Char Char Char Char Char Char Char Char1 Char Char Char Char Char Char Char Char Char Char Char Char1 Char"/>
    <w:basedOn w:val="1"/>
    <w:autoRedefine/>
    <w:qFormat/>
    <w:uiPriority w:val="99"/>
    <w:rPr>
      <w:sz w:val="24"/>
      <w:szCs w:val="20"/>
    </w:rPr>
  </w:style>
  <w:style w:type="paragraph" w:customStyle="1" w:styleId="2083">
    <w:name w:val="普通 (Web)1"/>
    <w:basedOn w:val="1"/>
    <w:autoRedefine/>
    <w:qFormat/>
    <w:uiPriority w:val="99"/>
    <w:pPr>
      <w:widowControl/>
      <w:spacing w:before="100" w:beforeAutospacing="1" w:after="100" w:afterAutospacing="1" w:line="400" w:lineRule="atLeast"/>
      <w:ind w:firstLine="480"/>
      <w:jc w:val="left"/>
    </w:pPr>
    <w:rPr>
      <w:rFonts w:ascii="Arial Unicode MS" w:hAnsi="Arial Unicode MS" w:eastAsia="Arial Unicode MS" w:cs="Arial Unicode MS"/>
      <w:kern w:val="0"/>
      <w:sz w:val="24"/>
    </w:rPr>
  </w:style>
  <w:style w:type="paragraph" w:customStyle="1" w:styleId="2084">
    <w:name w:val="xl28"/>
    <w:basedOn w:val="1"/>
    <w:autoRedefine/>
    <w:qFormat/>
    <w:uiPriority w:val="0"/>
    <w:pPr>
      <w:widowControl/>
      <w:pBdr>
        <w:bottom w:val="single" w:color="auto" w:sz="4" w:space="0"/>
        <w:right w:val="single" w:color="auto" w:sz="4" w:space="0"/>
      </w:pBdr>
      <w:spacing w:before="100" w:beforeAutospacing="1" w:after="100" w:afterAutospacing="1"/>
      <w:jc w:val="center"/>
    </w:pPr>
    <w:rPr>
      <w:rFonts w:eastAsia="Arial Unicode MS"/>
      <w:color w:val="000000"/>
      <w:kern w:val="0"/>
      <w:szCs w:val="21"/>
    </w:rPr>
  </w:style>
  <w:style w:type="paragraph" w:customStyle="1" w:styleId="2085">
    <w:name w:val="CM105"/>
    <w:basedOn w:val="107"/>
    <w:next w:val="107"/>
    <w:autoRedefine/>
    <w:qFormat/>
    <w:uiPriority w:val="99"/>
    <w:pPr>
      <w:spacing w:after="125" w:line="240" w:lineRule="auto"/>
    </w:pPr>
    <w:rPr>
      <w:rFonts w:ascii="楷体_GB2312" w:hAnsi="Times New Roman" w:eastAsia="楷体_GB2312" w:cs="Times New Roman"/>
      <w:color w:val="auto"/>
    </w:rPr>
  </w:style>
  <w:style w:type="paragraph" w:customStyle="1" w:styleId="2086">
    <w:name w:val="燕山正文34"/>
    <w:basedOn w:val="1"/>
    <w:autoRedefine/>
    <w:qFormat/>
    <w:uiPriority w:val="0"/>
    <w:pPr>
      <w:tabs>
        <w:tab w:val="left" w:pos="4680"/>
      </w:tabs>
      <w:adjustRightInd w:val="0"/>
      <w:snapToGrid w:val="0"/>
      <w:spacing w:line="480" w:lineRule="exact"/>
    </w:pPr>
    <w:rPr>
      <w:rFonts w:ascii="宋体" w:cs="宋体"/>
      <w:sz w:val="24"/>
    </w:rPr>
  </w:style>
  <w:style w:type="paragraph" w:customStyle="1" w:styleId="2087">
    <w:name w:val="Char171"/>
    <w:basedOn w:val="1"/>
    <w:autoRedefine/>
    <w:qFormat/>
    <w:uiPriority w:val="0"/>
    <w:pPr>
      <w:ind w:left="-48"/>
    </w:pPr>
  </w:style>
  <w:style w:type="paragraph" w:customStyle="1" w:styleId="2088">
    <w:name w:val="Char142"/>
    <w:basedOn w:val="1"/>
    <w:autoRedefine/>
    <w:qFormat/>
    <w:uiPriority w:val="0"/>
    <w:pPr>
      <w:ind w:left="-48"/>
    </w:pPr>
  </w:style>
  <w:style w:type="paragraph" w:customStyle="1" w:styleId="2089">
    <w:name w:val="正文格式212"/>
    <w:basedOn w:val="1"/>
    <w:autoRedefine/>
    <w:qFormat/>
    <w:uiPriority w:val="0"/>
    <w:pPr>
      <w:spacing w:line="360" w:lineRule="auto"/>
      <w:ind w:firstLine="482"/>
    </w:pPr>
    <w:rPr>
      <w:rFonts w:ascii="宋体" w:hAnsi="宋体"/>
      <w:sz w:val="24"/>
    </w:rPr>
  </w:style>
  <w:style w:type="paragraph" w:customStyle="1" w:styleId="2090">
    <w:name w:val="默认段落字体 Para Char Char Char Char Char Char Char Char Char Char Char Char Char1"/>
    <w:basedOn w:val="1"/>
    <w:autoRedefine/>
    <w:qFormat/>
    <w:uiPriority w:val="99"/>
    <w:rPr>
      <w:sz w:val="24"/>
      <w:szCs w:val="20"/>
    </w:rPr>
  </w:style>
  <w:style w:type="paragraph" w:customStyle="1" w:styleId="2091">
    <w:name w:val="样式 标题 2节 + 宋体 左"/>
    <w:basedOn w:val="4"/>
    <w:autoRedefine/>
    <w:qFormat/>
    <w:uiPriority w:val="0"/>
    <w:pPr>
      <w:tabs>
        <w:tab w:val="left" w:pos="567"/>
      </w:tabs>
      <w:spacing w:before="0" w:after="0" w:line="360" w:lineRule="auto"/>
      <w:ind w:left="567" w:hanging="567"/>
      <w:jc w:val="left"/>
    </w:pPr>
    <w:rPr>
      <w:rFonts w:ascii="宋体" w:hAnsi="宋体" w:cs="宋体"/>
      <w:sz w:val="28"/>
      <w:szCs w:val="24"/>
    </w:rPr>
  </w:style>
  <w:style w:type="paragraph" w:customStyle="1" w:styleId="2092">
    <w:name w:val="zw"/>
    <w:basedOn w:val="1"/>
    <w:autoRedefine/>
    <w:qFormat/>
    <w:uiPriority w:val="0"/>
    <w:pPr>
      <w:widowControl/>
      <w:spacing w:before="100" w:beforeAutospacing="1" w:after="100" w:afterAutospacing="1" w:line="330" w:lineRule="atLeast"/>
      <w:jc w:val="left"/>
    </w:pPr>
    <w:rPr>
      <w:rFonts w:ascii="Arial" w:hAnsi="Arial" w:eastAsia="Arial Unicode MS" w:cs="Arial"/>
      <w:color w:val="333333"/>
      <w:kern w:val="0"/>
      <w:sz w:val="18"/>
      <w:szCs w:val="18"/>
    </w:rPr>
  </w:style>
  <w:style w:type="paragraph" w:customStyle="1" w:styleId="2093">
    <w:name w:val="Char Char Char Char Char Char Char Char Char Char Char Char Char Char Char Char Char Char Char Char Char Char Char Char Char Char Char Char Char Char Char Char Char Char Char Char Char2"/>
    <w:basedOn w:val="1"/>
    <w:autoRedefine/>
    <w:qFormat/>
    <w:uiPriority w:val="39"/>
    <w:rPr>
      <w:sz w:val="24"/>
    </w:rPr>
  </w:style>
  <w:style w:type="paragraph" w:customStyle="1" w:styleId="2094">
    <w:name w:val="样式124"/>
    <w:basedOn w:val="1605"/>
    <w:autoRedefine/>
    <w:qFormat/>
    <w:uiPriority w:val="0"/>
    <w:pPr>
      <w:spacing w:line="240" w:lineRule="auto"/>
      <w:ind w:firstLine="0"/>
      <w:jc w:val="center"/>
    </w:pPr>
    <w:rPr>
      <w:rFonts w:cs="Times New Roman"/>
      <w:b/>
      <w:color w:val="auto"/>
      <w:szCs w:val="20"/>
    </w:rPr>
  </w:style>
  <w:style w:type="paragraph" w:customStyle="1" w:styleId="2095">
    <w:name w:val="book1_1"/>
    <w:basedOn w:val="4"/>
    <w:autoRedefine/>
    <w:qFormat/>
    <w:uiPriority w:val="0"/>
  </w:style>
  <w:style w:type="paragraph" w:customStyle="1" w:styleId="2096">
    <w:name w:val="表格12"/>
    <w:basedOn w:val="1"/>
    <w:autoRedefine/>
    <w:qFormat/>
    <w:uiPriority w:val="0"/>
    <w:pPr>
      <w:adjustRightInd w:val="0"/>
      <w:jc w:val="center"/>
      <w:textAlignment w:val="baseline"/>
    </w:pPr>
    <w:rPr>
      <w:rFonts w:ascii="宋体"/>
      <w:kern w:val="0"/>
      <w:sz w:val="24"/>
      <w:szCs w:val="20"/>
    </w:rPr>
  </w:style>
  <w:style w:type="paragraph" w:customStyle="1" w:styleId="2097">
    <w:name w:val="表题311"/>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2098">
    <w:name w:val="表题911"/>
    <w:basedOn w:val="45"/>
    <w:autoRedefine/>
    <w:qFormat/>
    <w:uiPriority w:val="0"/>
    <w:pPr>
      <w:adjustRightInd w:val="0"/>
      <w:snapToGrid w:val="0"/>
      <w:spacing w:line="300" w:lineRule="auto"/>
      <w:jc w:val="center"/>
    </w:pPr>
    <w:rPr>
      <w:rFonts w:ascii="黑体" w:eastAsia="黑体"/>
      <w:sz w:val="24"/>
      <w:szCs w:val="20"/>
    </w:rPr>
  </w:style>
  <w:style w:type="paragraph" w:customStyle="1" w:styleId="2099">
    <w:name w:val="条款"/>
    <w:basedOn w:val="1"/>
    <w:autoRedefine/>
    <w:qFormat/>
    <w:uiPriority w:val="0"/>
    <w:rPr>
      <w:szCs w:val="20"/>
    </w:rPr>
  </w:style>
  <w:style w:type="paragraph" w:customStyle="1" w:styleId="2100">
    <w:name w:val="yz"/>
    <w:basedOn w:val="34"/>
    <w:autoRedefine/>
    <w:qFormat/>
    <w:uiPriority w:val="99"/>
    <w:pPr>
      <w:widowControl w:val="0"/>
      <w:tabs>
        <w:tab w:val="left" w:pos="900"/>
      </w:tabs>
      <w:adjustRightInd w:val="0"/>
      <w:snapToGrid/>
      <w:spacing w:before="0" w:after="0" w:line="240" w:lineRule="auto"/>
      <w:ind w:right="0" w:firstLine="200" w:firstLineChars="200"/>
      <w:textAlignment w:val="baseline"/>
    </w:pPr>
    <w:rPr>
      <w:rFonts w:hint="eastAsia" w:ascii="宋体" w:hAnsi="宋体"/>
      <w:sz w:val="24"/>
      <w:lang w:val="en-US"/>
    </w:rPr>
  </w:style>
  <w:style w:type="paragraph" w:customStyle="1" w:styleId="2101">
    <w:name w:val="报告正文朱"/>
    <w:basedOn w:val="178"/>
    <w:autoRedefine/>
    <w:qFormat/>
    <w:uiPriority w:val="99"/>
    <w:pPr>
      <w:widowControl/>
      <w:adjustRightInd w:val="0"/>
      <w:snapToGrid w:val="0"/>
      <w:ind w:firstLine="480" w:firstLineChars="200"/>
    </w:pPr>
    <w:rPr>
      <w:snapToGrid w:val="0"/>
      <w:color w:val="FF0000"/>
      <w:kern w:val="0"/>
      <w:szCs w:val="20"/>
      <w:lang w:val="zh-CN"/>
    </w:rPr>
  </w:style>
  <w:style w:type="paragraph" w:customStyle="1" w:styleId="2102">
    <w:name w:val="文本框"/>
    <w:basedOn w:val="1"/>
    <w:next w:val="1"/>
    <w:autoRedefine/>
    <w:qFormat/>
    <w:uiPriority w:val="0"/>
    <w:pPr>
      <w:widowControl/>
      <w:spacing w:line="320" w:lineRule="exact"/>
      <w:ind w:firstLine="200" w:firstLineChars="200"/>
      <w:jc w:val="center"/>
    </w:pPr>
    <w:rPr>
      <w:rFonts w:ascii="仿宋_GB2312" w:eastAsia="仿宋_GB2312"/>
      <w:kern w:val="0"/>
      <w:sz w:val="24"/>
      <w:szCs w:val="20"/>
    </w:rPr>
  </w:style>
  <w:style w:type="paragraph" w:customStyle="1" w:styleId="2103">
    <w:name w:val="正文格式911"/>
    <w:basedOn w:val="1"/>
    <w:autoRedefine/>
    <w:qFormat/>
    <w:uiPriority w:val="0"/>
    <w:pPr>
      <w:spacing w:line="360" w:lineRule="auto"/>
      <w:ind w:firstLine="482"/>
    </w:pPr>
    <w:rPr>
      <w:rFonts w:ascii="宋体" w:hAnsi="宋体"/>
      <w:sz w:val="24"/>
    </w:rPr>
  </w:style>
  <w:style w:type="paragraph" w:customStyle="1" w:styleId="2104">
    <w:name w:val="样式 标题 2节 + (符号) Arial Black 小四"/>
    <w:basedOn w:val="5"/>
    <w:autoRedefine/>
    <w:qFormat/>
    <w:uiPriority w:val="0"/>
    <w:pPr>
      <w:ind w:left="720" w:hanging="432"/>
    </w:pPr>
    <w:rPr>
      <w:kern w:val="0"/>
      <w:lang w:val="en-US"/>
    </w:rPr>
  </w:style>
  <w:style w:type="paragraph" w:customStyle="1" w:styleId="2105">
    <w:name w:val="样式12"/>
    <w:basedOn w:val="1577"/>
    <w:autoRedefine/>
    <w:qFormat/>
    <w:uiPriority w:val="0"/>
    <w:pPr>
      <w:adjustRightInd w:val="0"/>
      <w:textAlignment w:val="center"/>
    </w:pPr>
    <w:rPr>
      <w:rFonts w:ascii="仿宋_GB2312" w:hAnsi="宋体" w:eastAsia="仿宋_GB2312"/>
      <w:b/>
      <w:color w:val="FF0000"/>
      <w:szCs w:val="30"/>
    </w:rPr>
  </w:style>
  <w:style w:type="paragraph" w:customStyle="1" w:styleId="2106">
    <w:name w:val="正文格式＝5"/>
    <w:basedOn w:val="418"/>
    <w:next w:val="418"/>
    <w:autoRedefine/>
    <w:qFormat/>
    <w:uiPriority w:val="0"/>
    <w:rPr>
      <w:rFonts w:ascii="宋体" w:hAnsi="宋体"/>
      <w:b w:val="0"/>
      <w:spacing w:val="0"/>
      <w:sz w:val="24"/>
      <w:szCs w:val="24"/>
    </w:rPr>
  </w:style>
  <w:style w:type="paragraph" w:customStyle="1" w:styleId="2107">
    <w:name w:val="Char Char Char Char Char Char Char51"/>
    <w:basedOn w:val="1"/>
    <w:autoRedefine/>
    <w:qFormat/>
    <w:uiPriority w:val="0"/>
  </w:style>
  <w:style w:type="paragraph" w:customStyle="1" w:styleId="2108">
    <w:name w:val="puce"/>
    <w:basedOn w:val="1"/>
    <w:autoRedefine/>
    <w:qFormat/>
    <w:uiPriority w:val="0"/>
    <w:pPr>
      <w:widowControl/>
      <w:tabs>
        <w:tab w:val="left" w:pos="1319"/>
      </w:tabs>
      <w:adjustRightInd w:val="0"/>
      <w:snapToGrid w:val="0"/>
      <w:spacing w:before="120" w:line="300" w:lineRule="auto"/>
      <w:ind w:left="1319" w:hanging="360"/>
    </w:pPr>
    <w:rPr>
      <w:rFonts w:ascii="Arial" w:hAnsi="Arial"/>
      <w:kern w:val="0"/>
      <w:sz w:val="24"/>
      <w:szCs w:val="20"/>
    </w:rPr>
  </w:style>
  <w:style w:type="paragraph" w:customStyle="1" w:styleId="2109">
    <w:name w:val="默认段落字体 Para Char24"/>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2110">
    <w:name w:val="xl67"/>
    <w:basedOn w:val="1"/>
    <w:autoRedefine/>
    <w:qFormat/>
    <w:uiPriority w:val="0"/>
    <w:pPr>
      <w:widowControl/>
      <w:pBdr>
        <w:left w:val="single" w:color="auto" w:sz="4" w:space="0"/>
      </w:pBdr>
      <w:spacing w:before="100" w:beforeAutospacing="1" w:after="100" w:afterAutospacing="1"/>
      <w:jc w:val="center"/>
    </w:pPr>
    <w:rPr>
      <w:rFonts w:hint="eastAsia" w:ascii="仿宋_GB2312" w:hAnsi="宋体" w:eastAsia="仿宋_GB2312"/>
      <w:kern w:val="0"/>
      <w:sz w:val="24"/>
      <w:szCs w:val="20"/>
    </w:rPr>
  </w:style>
  <w:style w:type="paragraph" w:customStyle="1" w:styleId="2111">
    <w:name w:val="日期2"/>
    <w:basedOn w:val="1"/>
    <w:next w:val="1"/>
    <w:autoRedefine/>
    <w:qFormat/>
    <w:uiPriority w:val="99"/>
    <w:rPr>
      <w:rFonts w:eastAsia="仿宋_GB2312"/>
      <w:sz w:val="30"/>
      <w:szCs w:val="20"/>
    </w:rPr>
  </w:style>
  <w:style w:type="paragraph" w:customStyle="1" w:styleId="2112">
    <w:name w:val="Char52"/>
    <w:basedOn w:val="1"/>
    <w:autoRedefine/>
    <w:qFormat/>
    <w:uiPriority w:val="0"/>
    <w:pPr>
      <w:adjustRightInd w:val="0"/>
      <w:snapToGrid w:val="0"/>
      <w:ind w:left="-45"/>
    </w:pPr>
  </w:style>
  <w:style w:type="paragraph" w:customStyle="1" w:styleId="2113">
    <w:name w:val="目录 1 Char Char"/>
    <w:basedOn w:val="1"/>
    <w:next w:val="1"/>
    <w:autoRedefine/>
    <w:qFormat/>
    <w:uiPriority w:val="0"/>
    <w:pPr>
      <w:widowControl/>
      <w:tabs>
        <w:tab w:val="left" w:leader="dot" w:pos="8010"/>
      </w:tabs>
      <w:snapToGrid w:val="0"/>
      <w:spacing w:line="300" w:lineRule="auto"/>
      <w:jc w:val="left"/>
      <w:textAlignment w:val="baseline"/>
    </w:pPr>
    <w:rPr>
      <w:rFonts w:ascii="黑体" w:eastAsia="黑体"/>
      <w:color w:val="000000"/>
      <w:kern w:val="0"/>
      <w:sz w:val="28"/>
      <w:szCs w:val="44"/>
      <w:u w:color="000000"/>
    </w:rPr>
  </w:style>
  <w:style w:type="paragraph" w:customStyle="1" w:styleId="2114">
    <w:name w:val="表内5中"/>
    <w:basedOn w:val="1"/>
    <w:autoRedefine/>
    <w:qFormat/>
    <w:uiPriority w:val="0"/>
    <w:pPr>
      <w:adjustRightInd w:val="0"/>
      <w:snapToGrid w:val="0"/>
      <w:jc w:val="center"/>
    </w:pPr>
    <w:rPr>
      <w:rFonts w:ascii="宋体" w:hAnsi="宋体" w:cs="Arial"/>
      <w:snapToGrid w:val="0"/>
      <w:color w:val="000000"/>
      <w:szCs w:val="21"/>
    </w:rPr>
  </w:style>
  <w:style w:type="paragraph" w:customStyle="1" w:styleId="2115">
    <w:name w:val="日期1"/>
    <w:basedOn w:val="1"/>
    <w:next w:val="1"/>
    <w:autoRedefine/>
    <w:qFormat/>
    <w:uiPriority w:val="0"/>
    <w:rPr>
      <w:rFonts w:eastAsia="仿宋_GB2312"/>
      <w:sz w:val="30"/>
      <w:szCs w:val="20"/>
    </w:rPr>
  </w:style>
  <w:style w:type="paragraph" w:customStyle="1" w:styleId="2116">
    <w:name w:val="新表"/>
    <w:basedOn w:val="1"/>
    <w:autoRedefine/>
    <w:qFormat/>
    <w:uiPriority w:val="0"/>
    <w:pPr>
      <w:spacing w:line="360" w:lineRule="exact"/>
    </w:pPr>
    <w:rPr>
      <w:rFonts w:eastAsia="仿宋_GB2312"/>
      <w:bCs/>
      <w:kern w:val="0"/>
      <w:sz w:val="24"/>
      <w:szCs w:val="20"/>
    </w:rPr>
  </w:style>
  <w:style w:type="paragraph" w:customStyle="1" w:styleId="2117">
    <w:name w:val="附件6"/>
    <w:basedOn w:val="3"/>
    <w:next w:val="418"/>
    <w:autoRedefine/>
    <w:qFormat/>
    <w:uiPriority w:val="0"/>
    <w:pPr>
      <w:keepLines/>
      <w:tabs>
        <w:tab w:val="left" w:pos="1566"/>
      </w:tabs>
      <w:overflowPunct/>
      <w:adjustRightInd w:val="0"/>
      <w:spacing w:beforeLines="100" w:after="0" w:line="360" w:lineRule="auto"/>
      <w:ind w:left="0" w:firstLine="0"/>
    </w:pPr>
    <w:rPr>
      <w:rFonts w:ascii="黑体" w:hAnsi="宋体"/>
      <w:b w:val="0"/>
      <w:color w:val="auto"/>
      <w:sz w:val="32"/>
      <w:szCs w:val="32"/>
    </w:rPr>
  </w:style>
  <w:style w:type="paragraph" w:customStyle="1" w:styleId="2118">
    <w:name w:val="正文楷体"/>
    <w:basedOn w:val="1"/>
    <w:autoRedefine/>
    <w:qFormat/>
    <w:uiPriority w:val="0"/>
    <w:rPr>
      <w:rFonts w:eastAsia="楷体_GB2312"/>
      <w:szCs w:val="20"/>
    </w:rPr>
  </w:style>
  <w:style w:type="paragraph" w:customStyle="1" w:styleId="2119">
    <w:name w:val="3 Char Char Char Char Char Char Char Char Char Char"/>
    <w:basedOn w:val="1"/>
    <w:autoRedefine/>
    <w:qFormat/>
    <w:uiPriority w:val="39"/>
    <w:rPr>
      <w:sz w:val="24"/>
    </w:rPr>
  </w:style>
  <w:style w:type="paragraph" w:customStyle="1" w:styleId="2120">
    <w:name w:val="Char1 Char Char Char1"/>
    <w:basedOn w:val="1"/>
    <w:autoRedefine/>
    <w:qFormat/>
    <w:uiPriority w:val="99"/>
  </w:style>
  <w:style w:type="paragraph" w:customStyle="1" w:styleId="2121">
    <w:name w:val="表内文字小313"/>
    <w:basedOn w:val="1"/>
    <w:autoRedefine/>
    <w:qFormat/>
    <w:uiPriority w:val="0"/>
    <w:pPr>
      <w:adjustRightInd w:val="0"/>
      <w:snapToGrid w:val="0"/>
      <w:jc w:val="center"/>
    </w:pPr>
    <w:rPr>
      <w:rFonts w:ascii="宋体" w:hAnsi="Times" w:cs="宋体"/>
      <w:bCs/>
      <w:color w:val="003366"/>
      <w:szCs w:val="20"/>
    </w:rPr>
  </w:style>
  <w:style w:type="paragraph" w:customStyle="1" w:styleId="2122">
    <w:name w:val="默认段落字体 Para Char Char Char Char Char Char Char Char Char Char Char Char Char"/>
    <w:basedOn w:val="1"/>
    <w:autoRedefine/>
    <w:qFormat/>
    <w:uiPriority w:val="0"/>
    <w:rPr>
      <w:sz w:val="24"/>
    </w:rPr>
  </w:style>
  <w:style w:type="paragraph" w:customStyle="1" w:styleId="2123">
    <w:name w:val="样式11"/>
    <w:basedOn w:val="1"/>
    <w:autoRedefine/>
    <w:qFormat/>
    <w:uiPriority w:val="0"/>
    <w:pPr>
      <w:tabs>
        <w:tab w:val="left" w:pos="720"/>
      </w:tabs>
      <w:adjustRightInd w:val="0"/>
      <w:snapToGrid w:val="0"/>
      <w:spacing w:line="312" w:lineRule="auto"/>
      <w:ind w:left="720" w:hanging="720"/>
    </w:pPr>
    <w:rPr>
      <w:rFonts w:ascii="仿宋_GB2312" w:eastAsia="仿宋_GB2312"/>
      <w:sz w:val="28"/>
      <w:szCs w:val="20"/>
    </w:rPr>
  </w:style>
  <w:style w:type="paragraph" w:customStyle="1" w:styleId="2124">
    <w:name w:val="图框文"/>
    <w:basedOn w:val="1"/>
    <w:autoRedefine/>
    <w:qFormat/>
    <w:uiPriority w:val="0"/>
    <w:pPr>
      <w:kinsoku w:val="0"/>
      <w:wordWrap w:val="0"/>
      <w:overflowPunct w:val="0"/>
      <w:autoSpaceDE w:val="0"/>
      <w:autoSpaceDN w:val="0"/>
      <w:spacing w:line="0" w:lineRule="atLeast"/>
      <w:jc w:val="center"/>
    </w:pPr>
    <w:rPr>
      <w:rFonts w:ascii="仿宋_GB2312" w:eastAsia="仿宋_GB2312"/>
      <w:sz w:val="24"/>
      <w:szCs w:val="20"/>
    </w:rPr>
  </w:style>
  <w:style w:type="paragraph" w:customStyle="1" w:styleId="2125">
    <w:name w:val="表内文字小2"/>
    <w:basedOn w:val="1"/>
    <w:autoRedefine/>
    <w:qFormat/>
    <w:uiPriority w:val="0"/>
    <w:pPr>
      <w:adjustRightInd w:val="0"/>
      <w:snapToGrid w:val="0"/>
      <w:jc w:val="center"/>
    </w:pPr>
    <w:rPr>
      <w:rFonts w:ascii="宋体" w:hAnsi="Times"/>
      <w:bCs/>
      <w:color w:val="000000"/>
      <w:szCs w:val="20"/>
    </w:rPr>
  </w:style>
  <w:style w:type="paragraph" w:customStyle="1" w:styleId="2126">
    <w:name w:val="默认段落字体 Para Char Char Char Char Char Char1 Char Char Char Char Char Char Char"/>
    <w:basedOn w:val="1"/>
    <w:autoRedefine/>
    <w:qFormat/>
    <w:uiPriority w:val="99"/>
    <w:rPr>
      <w:sz w:val="24"/>
      <w:szCs w:val="20"/>
    </w:rPr>
  </w:style>
  <w:style w:type="paragraph" w:customStyle="1" w:styleId="2127">
    <w:name w:val="正文样式1"/>
    <w:basedOn w:val="1"/>
    <w:autoRedefine/>
    <w:qFormat/>
    <w:uiPriority w:val="0"/>
    <w:pPr>
      <w:adjustRightInd w:val="0"/>
      <w:spacing w:line="360" w:lineRule="auto"/>
      <w:ind w:firstLine="480" w:firstLineChars="200"/>
      <w:textAlignment w:val="baseline"/>
    </w:pPr>
    <w:rPr>
      <w:rFonts w:ascii="Arial" w:hAnsi="Arial" w:cs="Arial"/>
      <w:kern w:val="0"/>
      <w:sz w:val="24"/>
      <w:szCs w:val="20"/>
    </w:rPr>
  </w:style>
  <w:style w:type="paragraph" w:customStyle="1" w:styleId="2128">
    <w:name w:val="表序号"/>
    <w:basedOn w:val="7"/>
    <w:autoRedefine/>
    <w:qFormat/>
    <w:uiPriority w:val="0"/>
  </w:style>
  <w:style w:type="paragraph" w:customStyle="1" w:styleId="2129">
    <w:name w:val="样式11.2.1"/>
    <w:basedOn w:val="1"/>
    <w:autoRedefine/>
    <w:qFormat/>
    <w:uiPriority w:val="99"/>
    <w:pPr>
      <w:spacing w:line="360" w:lineRule="auto"/>
    </w:pPr>
    <w:rPr>
      <w:b/>
      <w:sz w:val="28"/>
    </w:rPr>
  </w:style>
  <w:style w:type="paragraph" w:customStyle="1" w:styleId="2130">
    <w:name w:val="7"/>
    <w:basedOn w:val="1"/>
    <w:next w:val="70"/>
    <w:autoRedefine/>
    <w:qFormat/>
    <w:uiPriority w:val="0"/>
    <w:pPr>
      <w:adjustRightInd w:val="0"/>
      <w:snapToGrid w:val="0"/>
      <w:spacing w:line="312" w:lineRule="auto"/>
      <w:ind w:firstLine="560" w:firstLineChars="200"/>
    </w:pPr>
    <w:rPr>
      <w:rFonts w:ascii="仿宋_GB2312" w:eastAsia="仿宋_GB2312"/>
      <w:sz w:val="28"/>
    </w:rPr>
  </w:style>
  <w:style w:type="paragraph" w:customStyle="1" w:styleId="2131">
    <w:name w:val="表题141"/>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2132">
    <w:name w:val="附件5"/>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color w:val="auto"/>
      <w:sz w:val="32"/>
      <w:szCs w:val="32"/>
    </w:rPr>
  </w:style>
  <w:style w:type="paragraph" w:customStyle="1" w:styleId="2133">
    <w:name w:val="样式4.1.2.1"/>
    <w:basedOn w:val="1"/>
    <w:autoRedefine/>
    <w:qFormat/>
    <w:uiPriority w:val="99"/>
    <w:pPr>
      <w:spacing w:beforeLines="50" w:line="360" w:lineRule="auto"/>
    </w:pPr>
    <w:rPr>
      <w:sz w:val="24"/>
    </w:rPr>
  </w:style>
  <w:style w:type="paragraph" w:customStyle="1" w:styleId="2134">
    <w:name w:val="默认段落字体 Para Char Char Char Char"/>
    <w:basedOn w:val="1"/>
    <w:autoRedefine/>
    <w:qFormat/>
    <w:uiPriority w:val="0"/>
    <w:rPr>
      <w:sz w:val="24"/>
    </w:rPr>
  </w:style>
  <w:style w:type="paragraph" w:customStyle="1" w:styleId="2135">
    <w:name w:val="默认段落字体 Para Char Char Char1 Char Char Char Char Char Char Char Char Char"/>
    <w:basedOn w:val="1"/>
    <w:autoRedefine/>
    <w:qFormat/>
    <w:uiPriority w:val="99"/>
    <w:rPr>
      <w:sz w:val="24"/>
      <w:szCs w:val="20"/>
    </w:rPr>
  </w:style>
  <w:style w:type="paragraph" w:customStyle="1" w:styleId="2136">
    <w:name w:val="标题4311"/>
    <w:basedOn w:val="1"/>
    <w:autoRedefine/>
    <w:qFormat/>
    <w:uiPriority w:val="0"/>
    <w:pPr>
      <w:adjustRightInd w:val="0"/>
      <w:snapToGrid w:val="0"/>
      <w:spacing w:line="480" w:lineRule="exact"/>
      <w:jc w:val="center"/>
    </w:pPr>
    <w:rPr>
      <w:rFonts w:ascii="宋体" w:hAnsi="宋体" w:cs="宋体"/>
      <w:sz w:val="24"/>
    </w:rPr>
  </w:style>
  <w:style w:type="paragraph" w:customStyle="1" w:styleId="2137">
    <w:name w:val="样式4.1"/>
    <w:basedOn w:val="4"/>
    <w:autoRedefine/>
    <w:qFormat/>
    <w:uiPriority w:val="99"/>
    <w:pPr>
      <w:spacing w:beforeLines="50" w:after="0" w:line="360" w:lineRule="auto"/>
    </w:pPr>
    <w:rPr>
      <w:rFonts w:ascii="Times New Roman" w:hAnsi="Times New Roman"/>
      <w:sz w:val="30"/>
      <w:szCs w:val="30"/>
    </w:rPr>
  </w:style>
  <w:style w:type="paragraph" w:customStyle="1" w:styleId="2138">
    <w:name w:val="Char Char Char Char Char Char Char Char1 Char Char Char Char Char Char Char Char Char Char"/>
    <w:basedOn w:val="1"/>
    <w:autoRedefine/>
    <w:qFormat/>
    <w:uiPriority w:val="39"/>
    <w:rPr>
      <w:sz w:val="24"/>
    </w:rPr>
  </w:style>
  <w:style w:type="paragraph" w:customStyle="1" w:styleId="2139">
    <w:name w:val="正文修改32"/>
    <w:basedOn w:val="193"/>
    <w:autoRedefine/>
    <w:qFormat/>
    <w:uiPriority w:val="0"/>
    <w:rPr>
      <w:rFonts w:hAnsi="宋体"/>
      <w:color w:val="000000"/>
    </w:rPr>
  </w:style>
  <w:style w:type="paragraph" w:customStyle="1" w:styleId="2140">
    <w:name w:val="样式 标题 3 + 黑体 四号"/>
    <w:basedOn w:val="5"/>
    <w:autoRedefine/>
    <w:qFormat/>
    <w:uiPriority w:val="99"/>
    <w:pPr>
      <w:ind w:left="720" w:hanging="432"/>
    </w:pPr>
    <w:rPr>
      <w:kern w:val="0"/>
      <w:lang w:val="en-US"/>
    </w:rPr>
  </w:style>
  <w:style w:type="paragraph" w:customStyle="1" w:styleId="2141">
    <w:name w:val="样式 标题 2第一章 标题 2Heading 2 HiddenHeading 2 CCBSheading 2H2h2...2"/>
    <w:basedOn w:val="4"/>
    <w:autoRedefine/>
    <w:qFormat/>
    <w:uiPriority w:val="0"/>
    <w:pPr>
      <w:spacing w:before="120" w:after="120" w:line="500" w:lineRule="exact"/>
    </w:pPr>
    <w:rPr>
      <w:rFonts w:ascii="Times New Roman" w:hAnsi="Times New Roman" w:eastAsia="仿宋_GB2312"/>
      <w:color w:val="000000"/>
      <w:sz w:val="28"/>
    </w:rPr>
  </w:style>
  <w:style w:type="paragraph" w:customStyle="1" w:styleId="2142">
    <w:name w:val="Char Char Char Char Char Char Char Char Char Char Char"/>
    <w:basedOn w:val="1"/>
    <w:autoRedefine/>
    <w:qFormat/>
    <w:uiPriority w:val="0"/>
    <w:rPr>
      <w:sz w:val="24"/>
    </w:rPr>
  </w:style>
  <w:style w:type="paragraph" w:customStyle="1" w:styleId="2143">
    <w:name w:val="D"/>
    <w:basedOn w:val="2144"/>
    <w:next w:val="1"/>
    <w:autoRedefine/>
    <w:qFormat/>
    <w:uiPriority w:val="0"/>
    <w:pPr>
      <w:tabs>
        <w:tab w:val="left" w:pos="720"/>
        <w:tab w:val="left" w:pos="1770"/>
      </w:tabs>
      <w:ind w:left="1770" w:hanging="864"/>
      <w:outlineLvl w:val="3"/>
    </w:pPr>
  </w:style>
  <w:style w:type="paragraph" w:customStyle="1" w:styleId="2144">
    <w:name w:val="C"/>
    <w:basedOn w:val="2145"/>
    <w:next w:val="2146"/>
    <w:autoRedefine/>
    <w:qFormat/>
    <w:uiPriority w:val="0"/>
    <w:pPr>
      <w:keepNext/>
      <w:keepLines/>
      <w:widowControl/>
      <w:tabs>
        <w:tab w:val="left" w:pos="720"/>
      </w:tabs>
      <w:spacing w:beforeLines="0" w:afterLines="0" w:line="360" w:lineRule="auto"/>
      <w:ind w:left="720" w:hanging="720"/>
      <w:jc w:val="left"/>
      <w:outlineLvl w:val="2"/>
    </w:pPr>
    <w:rPr>
      <w:b w:val="0"/>
      <w:bCs/>
      <w:kern w:val="44"/>
      <w:sz w:val="24"/>
      <w:szCs w:val="24"/>
    </w:rPr>
  </w:style>
  <w:style w:type="paragraph" w:customStyle="1" w:styleId="2145">
    <w:name w:val="B"/>
    <w:basedOn w:val="66"/>
    <w:autoRedefine/>
    <w:qFormat/>
    <w:uiPriority w:val="0"/>
    <w:pPr>
      <w:spacing w:beforeLines="20" w:afterLines="20"/>
      <w:ind w:left="0" w:right="0" w:rightChars="0"/>
    </w:pPr>
    <w:rPr>
      <w:rFonts w:ascii="Times New Roman" w:eastAsia="宋体"/>
      <w:b/>
    </w:rPr>
  </w:style>
  <w:style w:type="paragraph" w:customStyle="1" w:styleId="2146">
    <w:name w:val="正文aa"/>
    <w:basedOn w:val="1"/>
    <w:autoRedefine/>
    <w:qFormat/>
    <w:uiPriority w:val="0"/>
    <w:pPr>
      <w:widowControl/>
      <w:spacing w:line="360" w:lineRule="auto"/>
      <w:ind w:firstLine="200" w:firstLineChars="200"/>
      <w:jc w:val="left"/>
    </w:pPr>
    <w:rPr>
      <w:sz w:val="24"/>
    </w:rPr>
  </w:style>
  <w:style w:type="paragraph" w:customStyle="1" w:styleId="2147">
    <w:name w:val="Date1"/>
    <w:basedOn w:val="1"/>
    <w:next w:val="1"/>
    <w:autoRedefine/>
    <w:qFormat/>
    <w:uiPriority w:val="0"/>
    <w:pPr>
      <w:adjustRightInd w:val="0"/>
      <w:textAlignment w:val="baseline"/>
    </w:pPr>
    <w:rPr>
      <w:szCs w:val="20"/>
    </w:rPr>
  </w:style>
  <w:style w:type="paragraph" w:customStyle="1" w:styleId="2148">
    <w:name w:val="表中文字32"/>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2149">
    <w:name w:val="Char Char Char Char Char Char Char Char Char Char Char1 Char Char Char Char Char Char"/>
    <w:basedOn w:val="1"/>
    <w:autoRedefine/>
    <w:qFormat/>
    <w:uiPriority w:val="39"/>
    <w:rPr>
      <w:sz w:val="24"/>
    </w:rPr>
  </w:style>
  <w:style w:type="paragraph" w:customStyle="1" w:styleId="2150">
    <w:name w:val="xl38"/>
    <w:basedOn w:val="1"/>
    <w:autoRedefine/>
    <w:qFormat/>
    <w:uiPriority w:val="0"/>
    <w:pPr>
      <w:widowControl/>
      <w:pBdr>
        <w:left w:val="single" w:color="auto" w:sz="4" w:space="0"/>
        <w:bottom w:val="single" w:color="auto" w:sz="4" w:space="0"/>
      </w:pBdr>
      <w:spacing w:before="100" w:beforeAutospacing="1" w:after="100" w:afterAutospacing="1"/>
      <w:jc w:val="center"/>
      <w:textAlignment w:val="top"/>
    </w:pPr>
    <w:rPr>
      <w:rFonts w:hint="eastAsia" w:ascii="仿宋_GB2312" w:hAnsi="宋体" w:eastAsia="仿宋_GB2312"/>
      <w:kern w:val="0"/>
      <w:sz w:val="24"/>
    </w:rPr>
  </w:style>
  <w:style w:type="paragraph" w:customStyle="1" w:styleId="2151">
    <w:name w:val="表格内容11"/>
    <w:autoRedefine/>
    <w:qFormat/>
    <w:uiPriority w:val="0"/>
    <w:pPr>
      <w:jc w:val="center"/>
    </w:pPr>
    <w:rPr>
      <w:rFonts w:ascii="Times New Roman" w:hAnsi="Times New Roman" w:eastAsia="宋体" w:cs="Times New Roman"/>
      <w:kern w:val="2"/>
      <w:sz w:val="21"/>
      <w:szCs w:val="21"/>
      <w:lang w:val="en-US" w:eastAsia="zh-CN" w:bidi="ar-SA"/>
    </w:rPr>
  </w:style>
  <w:style w:type="paragraph" w:customStyle="1" w:styleId="2152">
    <w:name w:val="Char Char Char Char Char Char Char Char Char Char Char Char Char Char Char Char Char Char"/>
    <w:basedOn w:val="1"/>
    <w:autoRedefine/>
    <w:qFormat/>
    <w:uiPriority w:val="99"/>
    <w:rPr>
      <w:sz w:val="24"/>
    </w:rPr>
  </w:style>
  <w:style w:type="paragraph" w:customStyle="1" w:styleId="2153">
    <w:name w:val="Char152"/>
    <w:basedOn w:val="1"/>
    <w:autoRedefine/>
    <w:qFormat/>
    <w:uiPriority w:val="0"/>
    <w:pPr>
      <w:adjustRightInd w:val="0"/>
      <w:snapToGrid w:val="0"/>
      <w:spacing w:beforeLines="50" w:line="360" w:lineRule="auto"/>
    </w:pPr>
    <w:rPr>
      <w:rFonts w:ascii="黑体" w:eastAsia="黑体"/>
      <w:sz w:val="32"/>
      <w:szCs w:val="32"/>
    </w:rPr>
  </w:style>
  <w:style w:type="paragraph" w:customStyle="1" w:styleId="2154">
    <w:name w:val="Char Char Char Char Char Char Char Char Char Char Char Char Char Char Char Char Char Char Char Char Char Char Char Char Char Char"/>
    <w:basedOn w:val="1"/>
    <w:autoRedefine/>
    <w:qFormat/>
    <w:uiPriority w:val="99"/>
    <w:rPr>
      <w:sz w:val="24"/>
    </w:rPr>
  </w:style>
  <w:style w:type="paragraph" w:customStyle="1" w:styleId="2155">
    <w:name w:val="默认段落字体 Para Char Char Char Char Char Char"/>
    <w:basedOn w:val="1"/>
    <w:autoRedefine/>
    <w:qFormat/>
    <w:uiPriority w:val="99"/>
    <w:rPr>
      <w:sz w:val="24"/>
      <w:szCs w:val="20"/>
    </w:rPr>
  </w:style>
  <w:style w:type="paragraph" w:customStyle="1" w:styleId="2156">
    <w:name w:val="zhang正文"/>
    <w:basedOn w:val="35"/>
    <w:autoRedefine/>
    <w:qFormat/>
    <w:uiPriority w:val="99"/>
    <w:pPr>
      <w:tabs>
        <w:tab w:val="left" w:pos="0"/>
      </w:tabs>
      <w:autoSpaceDE w:val="0"/>
      <w:autoSpaceDN w:val="0"/>
      <w:adjustRightInd w:val="0"/>
      <w:snapToGrid w:val="0"/>
      <w:spacing w:after="0" w:line="500" w:lineRule="exact"/>
      <w:ind w:left="0" w:leftChars="0" w:firstLine="539"/>
      <w:textAlignment w:val="baseline"/>
    </w:pPr>
    <w:rPr>
      <w:rFonts w:eastAsia="楷体_GB2312"/>
      <w:sz w:val="28"/>
      <w:lang w:val="en-US"/>
    </w:rPr>
  </w:style>
  <w:style w:type="paragraph" w:customStyle="1" w:styleId="2157">
    <w:name w:val="Char9"/>
    <w:basedOn w:val="1"/>
    <w:autoRedefine/>
    <w:qFormat/>
    <w:uiPriority w:val="0"/>
    <w:pPr>
      <w:ind w:left="-48"/>
    </w:pPr>
  </w:style>
  <w:style w:type="paragraph" w:customStyle="1" w:styleId="2158">
    <w:name w:val="样式 样式15 + 段前: 0.5 行"/>
    <w:basedOn w:val="2159"/>
    <w:autoRedefine/>
    <w:qFormat/>
    <w:uiPriority w:val="99"/>
    <w:pPr>
      <w:shd w:val="clear" w:color="auto" w:fill="auto"/>
      <w:tabs>
        <w:tab w:val="left" w:pos="-962"/>
        <w:tab w:val="left" w:pos="0"/>
      </w:tabs>
      <w:spacing w:beforeLines="0"/>
      <w:ind w:left="2100" w:hanging="420"/>
    </w:pPr>
    <w:rPr>
      <w:rFonts w:ascii="Times New Roman" w:hAnsi="Times New Roman" w:cs="宋体"/>
      <w:b/>
      <w:szCs w:val="20"/>
    </w:rPr>
  </w:style>
  <w:style w:type="paragraph" w:customStyle="1" w:styleId="2159">
    <w:name w:val="样式15"/>
    <w:basedOn w:val="1"/>
    <w:autoRedefine/>
    <w:qFormat/>
    <w:uiPriority w:val="0"/>
    <w:pPr>
      <w:shd w:val="clear" w:color="auto" w:fill="FFFFFF"/>
      <w:spacing w:beforeLines="50" w:line="360" w:lineRule="auto"/>
      <w:jc w:val="left"/>
      <w:textAlignment w:val="baseline"/>
      <w:outlineLvl w:val="3"/>
    </w:pPr>
    <w:rPr>
      <w:rFonts w:ascii="仿宋_GB2312" w:hAnsi="宋体"/>
      <w:sz w:val="24"/>
    </w:rPr>
  </w:style>
  <w:style w:type="paragraph" w:customStyle="1" w:styleId="2160">
    <w:name w:val="Char Char Char Char Char Char Char Char Char Char Char Char Char Char Char Char Char Char Char Char Char Char Char Char Char Char Char Char Char Char Char Char Char Char Char Char"/>
    <w:basedOn w:val="1"/>
    <w:autoRedefine/>
    <w:qFormat/>
    <w:uiPriority w:val="99"/>
    <w:rPr>
      <w:sz w:val="24"/>
    </w:rPr>
  </w:style>
  <w:style w:type="paragraph" w:customStyle="1" w:styleId="2161">
    <w:name w:val="样式4"/>
    <w:basedOn w:val="34"/>
    <w:autoRedefine/>
    <w:qFormat/>
    <w:uiPriority w:val="0"/>
    <w:pPr>
      <w:widowControl w:val="0"/>
      <w:snapToGrid/>
      <w:spacing w:before="0" w:after="0" w:line="240" w:lineRule="auto"/>
      <w:ind w:right="-105" w:rightChars="-50" w:firstLine="608" w:firstLineChars="217"/>
    </w:pPr>
    <w:rPr>
      <w:rFonts w:ascii="宋体" w:hAnsi="宋体"/>
      <w:snapToGrid w:val="0"/>
      <w:color w:val="000000"/>
      <w:sz w:val="28"/>
      <w:szCs w:val="24"/>
      <w:lang w:val="en-US"/>
    </w:rPr>
  </w:style>
  <w:style w:type="paragraph" w:customStyle="1" w:styleId="2162">
    <w:name w:val="Char Char Char Char Char Char Char Char Char Char Char Char Char Char Char Char Char Char Char Char Char Char Char Char"/>
    <w:basedOn w:val="1"/>
    <w:autoRedefine/>
    <w:qFormat/>
    <w:uiPriority w:val="39"/>
    <w:rPr>
      <w:sz w:val="24"/>
    </w:rPr>
  </w:style>
  <w:style w:type="paragraph" w:customStyle="1" w:styleId="2163">
    <w:name w:val="表题41"/>
    <w:basedOn w:val="35"/>
    <w:autoRedefine/>
    <w:qFormat/>
    <w:uiPriority w:val="0"/>
    <w:pPr>
      <w:tabs>
        <w:tab w:val="left" w:pos="4305"/>
      </w:tabs>
      <w:adjustRightInd w:val="0"/>
      <w:snapToGrid w:val="0"/>
      <w:spacing w:after="0" w:line="360" w:lineRule="auto"/>
      <w:ind w:left="0" w:leftChars="0" w:firstLine="561"/>
    </w:pPr>
    <w:rPr>
      <w:rFonts w:ascii="宋体" w:hAnsi="宋体" w:cs="宋体"/>
      <w:color w:val="000000"/>
      <w:szCs w:val="24"/>
      <w:lang w:val="en-US"/>
    </w:rPr>
  </w:style>
  <w:style w:type="paragraph" w:customStyle="1" w:styleId="2164">
    <w:name w:val="新正文样式"/>
    <w:basedOn w:val="1"/>
    <w:autoRedefine/>
    <w:qFormat/>
    <w:uiPriority w:val="99"/>
    <w:pPr>
      <w:tabs>
        <w:tab w:val="left" w:pos="567"/>
      </w:tabs>
      <w:spacing w:line="360" w:lineRule="auto"/>
      <w:ind w:firstLine="567"/>
    </w:pPr>
    <w:rPr>
      <w:spacing w:val="20"/>
      <w:sz w:val="24"/>
      <w:szCs w:val="20"/>
    </w:rPr>
  </w:style>
  <w:style w:type="paragraph" w:customStyle="1" w:styleId="2165">
    <w:name w:val="公式样式1"/>
    <w:basedOn w:val="1"/>
    <w:autoRedefine/>
    <w:qFormat/>
    <w:uiPriority w:val="0"/>
    <w:pPr>
      <w:adjustRightInd w:val="0"/>
      <w:snapToGrid w:val="0"/>
      <w:spacing w:line="360" w:lineRule="auto"/>
    </w:pPr>
    <w:rPr>
      <w:rFonts w:eastAsia="仿宋_GB2312"/>
      <w:smallCaps/>
      <w:szCs w:val="20"/>
    </w:rPr>
  </w:style>
  <w:style w:type="paragraph" w:customStyle="1" w:styleId="2166">
    <w:name w:val="样式 标题 3 + 加粗 段前: 3.9 磅 段后: 3.9 磅 行距: 多倍行距 1.35 字行2"/>
    <w:basedOn w:val="5"/>
    <w:autoRedefine/>
    <w:qFormat/>
    <w:uiPriority w:val="39"/>
    <w:pPr>
      <w:ind w:left="720" w:hanging="432"/>
    </w:pPr>
    <w:rPr>
      <w:kern w:val="0"/>
      <w:lang w:val="en-US"/>
    </w:rPr>
  </w:style>
  <w:style w:type="paragraph" w:customStyle="1" w:styleId="2167">
    <w:name w:val="Char30"/>
    <w:basedOn w:val="1"/>
    <w:autoRedefine/>
    <w:qFormat/>
    <w:uiPriority w:val="0"/>
    <w:pPr>
      <w:ind w:left="-48"/>
    </w:pPr>
  </w:style>
  <w:style w:type="paragraph" w:customStyle="1" w:styleId="2168">
    <w:name w:val="PP 行"/>
    <w:basedOn w:val="58"/>
    <w:autoRedefine/>
    <w:qFormat/>
    <w:uiPriority w:val="0"/>
    <w:pPr>
      <w:spacing w:before="0"/>
      <w:ind w:left="100" w:leftChars="2100" w:firstLine="0"/>
    </w:pPr>
    <w:rPr>
      <w:rFonts w:ascii="Times New Roman" w:hAnsi="Times New Roman" w:eastAsia="宋体"/>
      <w:kern w:val="2"/>
      <w:sz w:val="21"/>
    </w:rPr>
  </w:style>
  <w:style w:type="paragraph" w:customStyle="1" w:styleId="2169">
    <w:name w:val="表1"/>
    <w:next w:val="1"/>
    <w:autoRedefine/>
    <w:qFormat/>
    <w:uiPriority w:val="0"/>
    <w:pPr>
      <w:adjustRightInd w:val="0"/>
      <w:snapToGrid w:val="0"/>
      <w:jc w:val="center"/>
    </w:pPr>
    <w:rPr>
      <w:rFonts w:ascii="宋体" w:hAnsi="Times New Roman" w:eastAsia="宋体" w:cs="Times New Roman"/>
      <w:sz w:val="21"/>
      <w:lang w:val="en-US" w:eastAsia="zh-CN" w:bidi="ar-SA"/>
    </w:rPr>
  </w:style>
  <w:style w:type="paragraph" w:customStyle="1" w:styleId="2170">
    <w:name w:val="图表名称3"/>
    <w:basedOn w:val="86"/>
    <w:autoRedefine/>
    <w:qFormat/>
    <w:uiPriority w:val="0"/>
    <w:pPr>
      <w:widowControl/>
      <w:adjustRightInd w:val="0"/>
      <w:snapToGrid w:val="0"/>
      <w:spacing w:after="0" w:line="480" w:lineRule="exact"/>
      <w:ind w:firstLine="0" w:firstLineChars="0"/>
      <w:jc w:val="center"/>
    </w:pPr>
    <w:rPr>
      <w:rFonts w:ascii="宋体" w:hAnsi="宋体"/>
      <w:bCs/>
      <w:sz w:val="24"/>
      <w:szCs w:val="24"/>
    </w:rPr>
  </w:style>
  <w:style w:type="paragraph" w:customStyle="1" w:styleId="2171">
    <w:name w:val="单位名称"/>
    <w:basedOn w:val="1"/>
    <w:next w:val="1"/>
    <w:autoRedefine/>
    <w:qFormat/>
    <w:uiPriority w:val="0"/>
    <w:pPr>
      <w:spacing w:line="500" w:lineRule="atLeast"/>
      <w:jc w:val="center"/>
    </w:pPr>
    <w:rPr>
      <w:sz w:val="44"/>
      <w:szCs w:val="20"/>
    </w:rPr>
  </w:style>
  <w:style w:type="paragraph" w:customStyle="1" w:styleId="2172">
    <w:name w:val="Char911"/>
    <w:basedOn w:val="1"/>
    <w:autoRedefine/>
    <w:qFormat/>
    <w:uiPriority w:val="0"/>
    <w:pPr>
      <w:ind w:left="-48"/>
    </w:pPr>
  </w:style>
  <w:style w:type="paragraph" w:customStyle="1" w:styleId="2173">
    <w:name w:val="图题61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174">
    <w:name w:val="Char Char Char1 Char Char Char Char Char Char Char2"/>
    <w:basedOn w:val="1"/>
    <w:autoRedefine/>
    <w:qFormat/>
    <w:uiPriority w:val="99"/>
    <w:rPr>
      <w:rFonts w:ascii="Tahoma" w:hAnsi="Tahoma"/>
      <w:sz w:val="24"/>
      <w:szCs w:val="20"/>
    </w:rPr>
  </w:style>
  <w:style w:type="paragraph" w:customStyle="1" w:styleId="2175">
    <w:name w:val="报告表正文"/>
    <w:basedOn w:val="2176"/>
    <w:autoRedefine/>
    <w:qFormat/>
    <w:uiPriority w:val="99"/>
    <w:pPr>
      <w:adjustRightInd w:val="0"/>
      <w:spacing w:line="312" w:lineRule="auto"/>
      <w:ind w:left="113" w:right="113" w:firstLine="482"/>
      <w:jc w:val="left"/>
      <w:textAlignment w:val="baseline"/>
    </w:pPr>
    <w:rPr>
      <w:kern w:val="0"/>
    </w:rPr>
  </w:style>
  <w:style w:type="paragraph" w:customStyle="1" w:styleId="2176">
    <w:name w:val="列表1"/>
    <w:basedOn w:val="1"/>
    <w:unhideWhenUsed/>
    <w:qFormat/>
    <w:uiPriority w:val="0"/>
    <w:pPr>
      <w:spacing w:line="400" w:lineRule="exact"/>
      <w:jc w:val="center"/>
    </w:pPr>
    <w:rPr>
      <w:rFonts w:hint="eastAsia" w:ascii="宋体" w:hAnsi="宋体"/>
      <w:sz w:val="24"/>
      <w:szCs w:val="20"/>
    </w:rPr>
  </w:style>
  <w:style w:type="paragraph" w:customStyle="1" w:styleId="2177">
    <w:name w:val="标题二"/>
    <w:basedOn w:val="1"/>
    <w:autoRedefine/>
    <w:qFormat/>
    <w:uiPriority w:val="99"/>
    <w:pPr>
      <w:widowControl/>
      <w:tabs>
        <w:tab w:val="left" w:pos="0"/>
      </w:tabs>
      <w:adjustRightInd w:val="0"/>
      <w:snapToGrid w:val="0"/>
      <w:spacing w:beforeLines="50" w:afterLines="50" w:line="360" w:lineRule="auto"/>
      <w:jc w:val="left"/>
      <w:outlineLvl w:val="1"/>
    </w:pPr>
    <w:rPr>
      <w:b/>
      <w:kern w:val="44"/>
      <w:sz w:val="32"/>
      <w:szCs w:val="20"/>
    </w:rPr>
  </w:style>
  <w:style w:type="paragraph" w:customStyle="1" w:styleId="2178">
    <w:name w:val="表格内容1"/>
    <w:basedOn w:val="1"/>
    <w:autoRedefine/>
    <w:qFormat/>
    <w:uiPriority w:val="0"/>
    <w:pPr>
      <w:adjustRightInd w:val="0"/>
      <w:snapToGrid w:val="0"/>
      <w:spacing w:beforeLines="15" w:afterLines="15" w:line="240" w:lineRule="exact"/>
      <w:jc w:val="center"/>
    </w:pPr>
    <w:rPr>
      <w:rFonts w:ascii="宋体" w:hAnsi="宋体"/>
      <w:snapToGrid w:val="0"/>
      <w:kern w:val="0"/>
      <w:szCs w:val="20"/>
    </w:rPr>
  </w:style>
  <w:style w:type="paragraph" w:customStyle="1" w:styleId="2179">
    <w:name w:val="Char Char Char Char Char Char Char Char Char"/>
    <w:basedOn w:val="1"/>
    <w:autoRedefine/>
    <w:qFormat/>
    <w:uiPriority w:val="0"/>
    <w:rPr>
      <w:sz w:val="24"/>
    </w:rPr>
  </w:style>
  <w:style w:type="paragraph" w:customStyle="1" w:styleId="2180">
    <w:name w:val="报告表格"/>
    <w:basedOn w:val="1"/>
    <w:next w:val="1"/>
    <w:autoRedefine/>
    <w:qFormat/>
    <w:uiPriority w:val="0"/>
    <w:pPr>
      <w:autoSpaceDE w:val="0"/>
      <w:autoSpaceDN w:val="0"/>
      <w:adjustRightInd w:val="0"/>
      <w:spacing w:line="318" w:lineRule="atLeast"/>
      <w:jc w:val="center"/>
      <w:textAlignment w:val="bottom"/>
    </w:pPr>
    <w:rPr>
      <w:kern w:val="0"/>
      <w:sz w:val="24"/>
      <w:szCs w:val="20"/>
    </w:rPr>
  </w:style>
  <w:style w:type="paragraph" w:customStyle="1" w:styleId="2181">
    <w:name w:val="Char54"/>
    <w:basedOn w:val="1"/>
    <w:autoRedefine/>
    <w:qFormat/>
    <w:uiPriority w:val="0"/>
    <w:pPr>
      <w:adjustRightInd w:val="0"/>
      <w:snapToGrid w:val="0"/>
      <w:ind w:left="-45"/>
    </w:pPr>
  </w:style>
  <w:style w:type="paragraph" w:customStyle="1" w:styleId="2182">
    <w:name w:val="表格中"/>
    <w:basedOn w:val="1"/>
    <w:autoRedefine/>
    <w:qFormat/>
    <w:uiPriority w:val="39"/>
    <w:pPr>
      <w:adjustRightInd w:val="0"/>
      <w:snapToGrid w:val="0"/>
      <w:jc w:val="center"/>
    </w:pPr>
    <w:rPr>
      <w:rFonts w:ascii="仿宋_GB2312" w:eastAsia="仿宋_GB2312"/>
      <w:bCs/>
      <w:szCs w:val="21"/>
    </w:rPr>
  </w:style>
  <w:style w:type="paragraph" w:customStyle="1" w:styleId="2183">
    <w:name w:val="3 Char"/>
    <w:basedOn w:val="1"/>
    <w:autoRedefine/>
    <w:qFormat/>
    <w:uiPriority w:val="39"/>
    <w:rPr>
      <w:sz w:val="24"/>
    </w:rPr>
  </w:style>
  <w:style w:type="paragraph" w:customStyle="1" w:styleId="2184">
    <w:name w:val="表内宋5中15"/>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2185">
    <w:name w:val="参加人员名单"/>
    <w:basedOn w:val="1"/>
    <w:next w:val="1"/>
    <w:autoRedefine/>
    <w:qFormat/>
    <w:uiPriority w:val="0"/>
    <w:pPr>
      <w:jc w:val="center"/>
      <w:outlineLvl w:val="0"/>
    </w:pPr>
    <w:rPr>
      <w:sz w:val="32"/>
      <w:szCs w:val="20"/>
    </w:rPr>
  </w:style>
  <w:style w:type="paragraph" w:customStyle="1" w:styleId="2186">
    <w:name w:val="Char Char Char Char Char Char Char Char Char Char"/>
    <w:basedOn w:val="1"/>
    <w:autoRedefine/>
    <w:qFormat/>
    <w:uiPriority w:val="0"/>
    <w:rPr>
      <w:sz w:val="24"/>
      <w:szCs w:val="20"/>
    </w:rPr>
  </w:style>
  <w:style w:type="paragraph" w:customStyle="1" w:styleId="2187">
    <w:name w:val="表居中（中文）"/>
    <w:basedOn w:val="1"/>
    <w:autoRedefine/>
    <w:qFormat/>
    <w:uiPriority w:val="0"/>
    <w:pPr>
      <w:adjustRightInd w:val="0"/>
      <w:spacing w:line="380" w:lineRule="atLeast"/>
      <w:jc w:val="center"/>
      <w:textAlignment w:val="baseline"/>
    </w:pPr>
    <w:rPr>
      <w:rFonts w:eastAsia="楷体_GB2312"/>
      <w:kern w:val="0"/>
      <w:szCs w:val="20"/>
    </w:rPr>
  </w:style>
  <w:style w:type="paragraph" w:customStyle="1" w:styleId="2188">
    <w:name w:val="表中文字5"/>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2189">
    <w:name w:val="表题1312"/>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2190">
    <w:name w:val="小3楷顶"/>
    <w:basedOn w:val="1"/>
    <w:autoRedefine/>
    <w:qFormat/>
    <w:uiPriority w:val="99"/>
    <w:pPr>
      <w:keepNext/>
      <w:keepLines/>
      <w:spacing w:before="240" w:after="240" w:line="500" w:lineRule="exact"/>
      <w:outlineLvl w:val="1"/>
    </w:pPr>
    <w:rPr>
      <w:rFonts w:ascii="黑体" w:eastAsia="楷体_GB2312"/>
      <w:sz w:val="30"/>
      <w:szCs w:val="20"/>
    </w:rPr>
  </w:style>
  <w:style w:type="paragraph" w:customStyle="1" w:styleId="2191">
    <w:name w:val="表内53"/>
    <w:basedOn w:val="1"/>
    <w:autoRedefine/>
    <w:qFormat/>
    <w:uiPriority w:val="0"/>
    <w:pPr>
      <w:adjustRightInd w:val="0"/>
      <w:snapToGrid w:val="0"/>
      <w:spacing w:line="300" w:lineRule="auto"/>
      <w:jc w:val="left"/>
    </w:pPr>
    <w:rPr>
      <w:rFonts w:ascii="宋体"/>
      <w:szCs w:val="20"/>
    </w:rPr>
  </w:style>
  <w:style w:type="paragraph" w:customStyle="1" w:styleId="2192">
    <w:name w:val="表号"/>
    <w:basedOn w:val="1"/>
    <w:autoRedefine/>
    <w:qFormat/>
    <w:uiPriority w:val="99"/>
    <w:rPr>
      <w:szCs w:val="20"/>
    </w:rPr>
  </w:style>
  <w:style w:type="paragraph" w:customStyle="1" w:styleId="2193">
    <w:name w:val="样式 楷体_GB2312 居中"/>
    <w:basedOn w:val="1"/>
    <w:autoRedefine/>
    <w:qFormat/>
    <w:uiPriority w:val="99"/>
    <w:pPr>
      <w:spacing w:line="360" w:lineRule="auto"/>
      <w:jc w:val="center"/>
    </w:pPr>
    <w:rPr>
      <w:rFonts w:ascii="楷体_GB2312" w:eastAsia="楷体_GB2312"/>
      <w:szCs w:val="20"/>
    </w:rPr>
  </w:style>
  <w:style w:type="paragraph" w:customStyle="1" w:styleId="2194">
    <w:name w:val="表内文字小113"/>
    <w:basedOn w:val="1"/>
    <w:autoRedefine/>
    <w:qFormat/>
    <w:uiPriority w:val="0"/>
    <w:pPr>
      <w:adjustRightInd w:val="0"/>
      <w:snapToGrid w:val="0"/>
    </w:pPr>
    <w:rPr>
      <w:rFonts w:ascii="宋体" w:hAnsi="Times" w:cs="宋体"/>
      <w:szCs w:val="20"/>
    </w:rPr>
  </w:style>
  <w:style w:type="paragraph" w:customStyle="1" w:styleId="2195">
    <w:name w:val="表34"/>
    <w:basedOn w:val="1"/>
    <w:autoRedefine/>
    <w:qFormat/>
    <w:uiPriority w:val="0"/>
    <w:pPr>
      <w:adjustRightInd w:val="0"/>
      <w:snapToGrid w:val="0"/>
      <w:jc w:val="center"/>
    </w:pPr>
    <w:rPr>
      <w:rFonts w:eastAsia="仿宋_GB2312"/>
      <w:sz w:val="24"/>
    </w:rPr>
  </w:style>
  <w:style w:type="paragraph" w:customStyle="1" w:styleId="2196">
    <w:name w:val="样式 首行缩进:  0.85 厘米 行距: 固定值 23 磅"/>
    <w:basedOn w:val="1"/>
    <w:autoRedefine/>
    <w:qFormat/>
    <w:uiPriority w:val="99"/>
    <w:pPr>
      <w:spacing w:line="480" w:lineRule="exact"/>
      <w:ind w:firstLine="560" w:firstLineChars="200"/>
    </w:pPr>
    <w:rPr>
      <w:rFonts w:eastAsia="仿宋_GB2312"/>
      <w:color w:val="000000"/>
      <w:sz w:val="28"/>
      <w:szCs w:val="20"/>
    </w:rPr>
  </w:style>
  <w:style w:type="paragraph" w:customStyle="1" w:styleId="2197">
    <w:name w:val="表格 32"/>
    <w:basedOn w:val="1"/>
    <w:autoRedefine/>
    <w:qFormat/>
    <w:uiPriority w:val="99"/>
    <w:pPr>
      <w:autoSpaceDE w:val="0"/>
      <w:autoSpaceDN w:val="0"/>
      <w:adjustRightInd w:val="0"/>
      <w:jc w:val="center"/>
      <w:textAlignment w:val="baseline"/>
    </w:pPr>
    <w:rPr>
      <w:rFonts w:eastAsia="仿宋_GB2312"/>
      <w:kern w:val="0"/>
      <w:sz w:val="24"/>
      <w:szCs w:val="20"/>
    </w:rPr>
  </w:style>
  <w:style w:type="paragraph" w:customStyle="1" w:styleId="2198">
    <w:name w:val="样式 标题 3 + 黑色 段前: 0行 段后: 0 行"/>
    <w:basedOn w:val="5"/>
    <w:autoRedefine/>
    <w:qFormat/>
    <w:uiPriority w:val="0"/>
    <w:pPr>
      <w:ind w:left="720" w:hanging="432"/>
    </w:pPr>
    <w:rPr>
      <w:kern w:val="0"/>
      <w:lang w:val="en-US"/>
    </w:rPr>
  </w:style>
  <w:style w:type="paragraph" w:customStyle="1" w:styleId="2199">
    <w:name w:val="小四表文左齐"/>
    <w:basedOn w:val="1"/>
    <w:autoRedefine/>
    <w:qFormat/>
    <w:uiPriority w:val="0"/>
    <w:pPr>
      <w:adjustRightInd w:val="0"/>
      <w:snapToGrid w:val="0"/>
      <w:jc w:val="center"/>
    </w:pPr>
    <w:rPr>
      <w:rFonts w:ascii="仿宋_GB2312" w:hAnsi="宋体"/>
      <w:sz w:val="24"/>
      <w:szCs w:val="20"/>
    </w:rPr>
  </w:style>
  <w:style w:type="paragraph" w:customStyle="1" w:styleId="2200">
    <w:name w:val="aa"/>
    <w:basedOn w:val="1"/>
    <w:autoRedefine/>
    <w:qFormat/>
    <w:uiPriority w:val="39"/>
    <w:pPr>
      <w:widowControl/>
      <w:spacing w:before="100" w:beforeAutospacing="1" w:after="100" w:afterAutospacing="1"/>
      <w:jc w:val="left"/>
    </w:pPr>
    <w:rPr>
      <w:rFonts w:ascii="Arial" w:hAnsi="Arial" w:cs="Arial"/>
      <w:kern w:val="0"/>
      <w:sz w:val="18"/>
      <w:szCs w:val="18"/>
    </w:rPr>
  </w:style>
  <w:style w:type="paragraph" w:customStyle="1" w:styleId="2201">
    <w:name w:val="文件编号"/>
    <w:basedOn w:val="1"/>
    <w:next w:val="1"/>
    <w:autoRedefine/>
    <w:qFormat/>
    <w:uiPriority w:val="0"/>
    <w:pPr>
      <w:jc w:val="center"/>
    </w:pPr>
    <w:rPr>
      <w:rFonts w:ascii="黑体" w:eastAsia="黑体"/>
      <w:sz w:val="44"/>
      <w:szCs w:val="20"/>
    </w:rPr>
  </w:style>
  <w:style w:type="paragraph" w:customStyle="1" w:styleId="2202">
    <w:name w:val="正文.22"/>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2203">
    <w:name w:val="表内宋5中32"/>
    <w:basedOn w:val="1"/>
    <w:autoRedefine/>
    <w:qFormat/>
    <w:uiPriority w:val="0"/>
    <w:pPr>
      <w:adjustRightInd w:val="0"/>
      <w:snapToGrid w:val="0"/>
      <w:textAlignment w:val="baseline"/>
    </w:pPr>
    <w:rPr>
      <w:color w:val="000000"/>
      <w:kern w:val="0"/>
      <w:szCs w:val="20"/>
    </w:rPr>
  </w:style>
  <w:style w:type="paragraph" w:customStyle="1" w:styleId="2204">
    <w:name w:val="框图"/>
    <w:basedOn w:val="1"/>
    <w:autoRedefine/>
    <w:qFormat/>
    <w:uiPriority w:val="0"/>
    <w:pPr>
      <w:adjustRightInd w:val="0"/>
      <w:snapToGrid w:val="0"/>
      <w:ind w:left="2" w:leftChars="-38" w:right="-106" w:hanging="108" w:hangingChars="54"/>
      <w:jc w:val="center"/>
    </w:pPr>
    <w:rPr>
      <w:rFonts w:ascii="仿宋_GB2312" w:eastAsia="仿宋_GB2312"/>
      <w:sz w:val="20"/>
      <w:szCs w:val="20"/>
    </w:rPr>
  </w:style>
  <w:style w:type="paragraph" w:customStyle="1" w:styleId="2205">
    <w:name w:val="p14_l"/>
    <w:basedOn w:val="1"/>
    <w:autoRedefine/>
    <w:qFormat/>
    <w:uiPriority w:val="99"/>
    <w:pPr>
      <w:widowControl/>
      <w:spacing w:before="100" w:beforeAutospacing="1" w:after="100" w:afterAutospacing="1"/>
      <w:jc w:val="left"/>
    </w:pPr>
    <w:rPr>
      <w:rFonts w:ascii="宋体" w:hAnsi="宋体"/>
      <w:color w:val="484848"/>
      <w:kern w:val="0"/>
      <w:sz w:val="23"/>
      <w:szCs w:val="20"/>
    </w:rPr>
  </w:style>
  <w:style w:type="paragraph" w:customStyle="1" w:styleId="2206">
    <w:name w:val="文章附标题"/>
    <w:basedOn w:val="1"/>
    <w:next w:val="1684"/>
    <w:autoRedefine/>
    <w:qFormat/>
    <w:uiPriority w:val="99"/>
    <w:pPr>
      <w:widowControl/>
      <w:spacing w:before="187" w:after="175" w:line="374" w:lineRule="atLeast"/>
      <w:jc w:val="center"/>
      <w:textAlignment w:val="baseline"/>
    </w:pPr>
    <w:rPr>
      <w:color w:val="000000"/>
      <w:kern w:val="0"/>
      <w:sz w:val="36"/>
      <w:szCs w:val="20"/>
      <w:u w:color="000000"/>
    </w:rPr>
  </w:style>
  <w:style w:type="paragraph" w:customStyle="1" w:styleId="2207">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2208">
    <w:name w:val="Char Char1 Char"/>
    <w:basedOn w:val="1"/>
    <w:autoRedefine/>
    <w:qFormat/>
    <w:uiPriority w:val="99"/>
    <w:pPr>
      <w:widowControl/>
      <w:spacing w:after="160" w:line="240" w:lineRule="exact"/>
      <w:jc w:val="left"/>
    </w:pPr>
    <w:rPr>
      <w:szCs w:val="20"/>
    </w:rPr>
  </w:style>
  <w:style w:type="paragraph" w:customStyle="1" w:styleId="2209">
    <w:name w:val="标题431112"/>
    <w:basedOn w:val="1"/>
    <w:autoRedefine/>
    <w:qFormat/>
    <w:uiPriority w:val="0"/>
    <w:pPr>
      <w:adjustRightInd w:val="0"/>
      <w:snapToGrid w:val="0"/>
      <w:spacing w:line="480" w:lineRule="exact"/>
      <w:jc w:val="center"/>
    </w:pPr>
    <w:rPr>
      <w:rFonts w:ascii="宋体" w:hAnsi="宋体" w:cs="宋体"/>
      <w:sz w:val="24"/>
    </w:rPr>
  </w:style>
  <w:style w:type="paragraph" w:customStyle="1" w:styleId="2210">
    <w:name w:val="样式 标题 11.标题 1章标题 1H1Section HeadHeader1h11st levell1Hea..."/>
    <w:basedOn w:val="3"/>
    <w:autoRedefine/>
    <w:qFormat/>
    <w:uiPriority w:val="39"/>
    <w:pPr>
      <w:tabs>
        <w:tab w:val="left" w:pos="360"/>
      </w:tabs>
      <w:overflowPunct/>
      <w:snapToGrid/>
      <w:spacing w:before="0" w:after="0" w:line="240" w:lineRule="auto"/>
      <w:ind w:left="0" w:firstLine="0"/>
      <w:jc w:val="center"/>
    </w:pPr>
    <w:rPr>
      <w:rFonts w:ascii="Calibri" w:hAnsi="Calibri" w:eastAsia="楷体_GB2312"/>
      <w:b w:val="0"/>
      <w:bCs w:val="0"/>
      <w:color w:val="auto"/>
      <w:kern w:val="0"/>
      <w:sz w:val="28"/>
      <w:szCs w:val="20"/>
    </w:rPr>
  </w:style>
  <w:style w:type="paragraph" w:customStyle="1" w:styleId="2211">
    <w:name w:val="项目名称"/>
    <w:basedOn w:val="1"/>
    <w:next w:val="1"/>
    <w:autoRedefine/>
    <w:qFormat/>
    <w:uiPriority w:val="0"/>
    <w:pPr>
      <w:spacing w:line="800" w:lineRule="atLeast"/>
      <w:jc w:val="center"/>
      <w:outlineLvl w:val="0"/>
    </w:pPr>
    <w:rPr>
      <w:rFonts w:ascii="黑体" w:eastAsia="黑体"/>
      <w:sz w:val="52"/>
      <w:szCs w:val="20"/>
    </w:rPr>
  </w:style>
  <w:style w:type="paragraph" w:customStyle="1" w:styleId="2212">
    <w:name w:val="默认段落字体 Para Char Char Char Char34"/>
    <w:basedOn w:val="1"/>
    <w:autoRedefine/>
    <w:qFormat/>
    <w:uiPriority w:val="0"/>
  </w:style>
  <w:style w:type="paragraph" w:customStyle="1" w:styleId="2213">
    <w:name w:val="目录3"/>
    <w:basedOn w:val="1"/>
    <w:next w:val="1"/>
    <w:autoRedefine/>
    <w:qFormat/>
    <w:uiPriority w:val="0"/>
    <w:pPr>
      <w:widowControl/>
      <w:tabs>
        <w:tab w:val="left" w:leader="dot" w:pos="8503"/>
      </w:tabs>
      <w:spacing w:line="317" w:lineRule="atLeast"/>
      <w:ind w:left="419" w:firstLine="419"/>
      <w:textAlignment w:val="baseline"/>
    </w:pPr>
    <w:rPr>
      <w:color w:val="000000"/>
      <w:kern w:val="0"/>
      <w:szCs w:val="20"/>
      <w:u w:color="000000"/>
    </w:rPr>
  </w:style>
  <w:style w:type="paragraph" w:customStyle="1" w:styleId="2214">
    <w:name w:val="图题22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215">
    <w:name w:val="表内59"/>
    <w:basedOn w:val="1"/>
    <w:autoRedefine/>
    <w:qFormat/>
    <w:uiPriority w:val="0"/>
    <w:pPr>
      <w:adjustRightInd w:val="0"/>
      <w:snapToGrid w:val="0"/>
      <w:spacing w:line="300" w:lineRule="auto"/>
      <w:jc w:val="center"/>
    </w:pPr>
    <w:rPr>
      <w:rFonts w:ascii="宋体"/>
      <w:snapToGrid w:val="0"/>
      <w:szCs w:val="21"/>
    </w:rPr>
  </w:style>
  <w:style w:type="paragraph" w:customStyle="1" w:styleId="2216">
    <w:name w:val="四级无标题条"/>
    <w:basedOn w:val="1"/>
    <w:autoRedefine/>
    <w:qFormat/>
    <w:uiPriority w:val="99"/>
    <w:rPr>
      <w:szCs w:val="20"/>
    </w:rPr>
  </w:style>
  <w:style w:type="paragraph" w:customStyle="1" w:styleId="2217">
    <w:name w:val="图题44"/>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218">
    <w:name w:val="环评样式"/>
    <w:basedOn w:val="1"/>
    <w:autoRedefine/>
    <w:qFormat/>
    <w:uiPriority w:val="0"/>
    <w:pPr>
      <w:adjustRightInd w:val="0"/>
      <w:snapToGrid w:val="0"/>
      <w:spacing w:line="360" w:lineRule="auto"/>
      <w:ind w:left="5" w:hanging="5"/>
      <w:textAlignment w:val="baseline"/>
      <w:outlineLvl w:val="0"/>
    </w:pPr>
    <w:rPr>
      <w:rFonts w:ascii="仿宋_GB2312" w:hAnsi="Alaska" w:eastAsia="仿宋_GB2312"/>
      <w:kern w:val="0"/>
      <w:sz w:val="30"/>
      <w:szCs w:val="20"/>
    </w:rPr>
  </w:style>
  <w:style w:type="paragraph" w:customStyle="1" w:styleId="2219">
    <w:name w:val="CM117"/>
    <w:basedOn w:val="107"/>
    <w:next w:val="107"/>
    <w:autoRedefine/>
    <w:qFormat/>
    <w:uiPriority w:val="39"/>
    <w:pPr>
      <w:spacing w:after="58" w:line="240" w:lineRule="auto"/>
    </w:pPr>
    <w:rPr>
      <w:rFonts w:ascii="楷体_GB2312" w:hAnsi="Times New Roman" w:eastAsia="楷体_GB2312" w:cs="Times New Roman"/>
      <w:color w:val="auto"/>
    </w:rPr>
  </w:style>
  <w:style w:type="paragraph" w:customStyle="1" w:styleId="2220">
    <w:name w:val="附件1"/>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2221">
    <w:name w:val="表格标注"/>
    <w:basedOn w:val="2178"/>
    <w:autoRedefine/>
    <w:qFormat/>
    <w:uiPriority w:val="99"/>
    <w:pPr>
      <w:spacing w:beforeLines="20"/>
    </w:pPr>
  </w:style>
  <w:style w:type="paragraph" w:customStyle="1" w:styleId="2222">
    <w:name w:val="表内文字小3"/>
    <w:basedOn w:val="1"/>
    <w:autoRedefine/>
    <w:qFormat/>
    <w:uiPriority w:val="0"/>
    <w:pPr>
      <w:adjustRightInd w:val="0"/>
      <w:snapToGrid w:val="0"/>
      <w:jc w:val="center"/>
    </w:pPr>
    <w:rPr>
      <w:rFonts w:ascii="宋体" w:hAnsi="Times"/>
      <w:szCs w:val="20"/>
    </w:rPr>
  </w:style>
  <w:style w:type="paragraph" w:customStyle="1" w:styleId="2223">
    <w:name w:val="默认段落字体 Para Char"/>
    <w:basedOn w:val="1"/>
    <w:autoRedefine/>
    <w:qFormat/>
    <w:uiPriority w:val="0"/>
    <w:rPr>
      <w:sz w:val="26"/>
      <w:szCs w:val="20"/>
    </w:rPr>
  </w:style>
  <w:style w:type="paragraph" w:customStyle="1" w:styleId="2224">
    <w:name w:val="xl42"/>
    <w:basedOn w:val="1"/>
    <w:autoRedefine/>
    <w:qFormat/>
    <w:uiPriority w:val="0"/>
    <w:pPr>
      <w:widowControl/>
      <w:pBdr>
        <w:bottom w:val="dotted" w:color="auto" w:sz="4" w:space="0"/>
        <w:right w:val="dotted" w:color="auto" w:sz="4" w:space="0"/>
      </w:pBdr>
      <w:spacing w:before="100" w:beforeAutospacing="1" w:after="100" w:afterAutospacing="1"/>
      <w:jc w:val="center"/>
    </w:pPr>
    <w:rPr>
      <w:kern w:val="0"/>
      <w:szCs w:val="20"/>
    </w:rPr>
  </w:style>
  <w:style w:type="paragraph" w:customStyle="1" w:styleId="2225">
    <w:name w:val="正文王"/>
    <w:basedOn w:val="45"/>
    <w:autoRedefine/>
    <w:qFormat/>
    <w:uiPriority w:val="0"/>
    <w:pPr>
      <w:spacing w:line="440" w:lineRule="exact"/>
    </w:pPr>
    <w:rPr>
      <w:rFonts w:ascii="Arial" w:hAnsi="Arial"/>
      <w:snapToGrid w:val="0"/>
      <w:sz w:val="24"/>
      <w:szCs w:val="20"/>
    </w:rPr>
  </w:style>
  <w:style w:type="paragraph" w:customStyle="1" w:styleId="2226">
    <w:name w:val="样式 标题 4无效格式无效格式1河石管道4H4H41小小节河石管道41H42H411小小节1河石管道42...1"/>
    <w:basedOn w:val="6"/>
    <w:autoRedefine/>
    <w:qFormat/>
    <w:uiPriority w:val="0"/>
    <w:pPr>
      <w:adjustRightInd w:val="0"/>
      <w:snapToGrid w:val="0"/>
      <w:spacing w:before="0" w:after="0" w:line="360" w:lineRule="auto"/>
      <w:ind w:left="664" w:hanging="864"/>
      <w:jc w:val="left"/>
    </w:pPr>
    <w:rPr>
      <w:rFonts w:ascii="黑体" w:cs="宋体"/>
      <w:b w:val="0"/>
      <w:bCs w:val="0"/>
      <w:sz w:val="24"/>
      <w:szCs w:val="20"/>
    </w:rPr>
  </w:style>
  <w:style w:type="paragraph" w:customStyle="1" w:styleId="2227">
    <w:name w:val="font14"/>
    <w:basedOn w:val="1"/>
    <w:autoRedefine/>
    <w:qFormat/>
    <w:uiPriority w:val="0"/>
    <w:pPr>
      <w:widowControl/>
      <w:spacing w:before="100" w:beforeAutospacing="1" w:after="100" w:afterAutospacing="1"/>
      <w:jc w:val="left"/>
    </w:pPr>
    <w:rPr>
      <w:kern w:val="0"/>
      <w:szCs w:val="21"/>
    </w:rPr>
  </w:style>
  <w:style w:type="paragraph" w:customStyle="1" w:styleId="2228">
    <w:name w:val="表题312"/>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2229">
    <w:name w:val="默认段落字体 Para Char Char Char Char24"/>
    <w:basedOn w:val="1"/>
    <w:autoRedefine/>
    <w:qFormat/>
    <w:uiPriority w:val="0"/>
  </w:style>
  <w:style w:type="paragraph" w:customStyle="1" w:styleId="2230">
    <w:name w:val="样式 标题 3 + 左侧:  0 毫米 悬挂缩进: 7.09 字符 行距: 最小值 25 磅"/>
    <w:basedOn w:val="5"/>
    <w:autoRedefine/>
    <w:qFormat/>
    <w:uiPriority w:val="0"/>
    <w:pPr>
      <w:ind w:left="720" w:hanging="432"/>
    </w:pPr>
    <w:rPr>
      <w:kern w:val="0"/>
      <w:lang w:val="en-US"/>
    </w:rPr>
  </w:style>
  <w:style w:type="paragraph" w:customStyle="1" w:styleId="2231">
    <w:name w:val="注解"/>
    <w:autoRedefine/>
    <w:qFormat/>
    <w:uiPriority w:val="0"/>
    <w:pPr>
      <w:widowControl w:val="0"/>
      <w:jc w:val="center"/>
    </w:pPr>
    <w:rPr>
      <w:rFonts w:ascii="宋体" w:hAnsi="Arial Black" w:eastAsia="宋体" w:cs="Times New Roman"/>
      <w:kern w:val="2"/>
      <w:sz w:val="18"/>
      <w:lang w:val="en-US" w:eastAsia="zh-CN" w:bidi="ar-SA"/>
    </w:rPr>
  </w:style>
  <w:style w:type="paragraph" w:customStyle="1" w:styleId="2232">
    <w:name w:val="默认段落字体 Para Char212"/>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2233">
    <w:name w:val="Char42"/>
    <w:basedOn w:val="1"/>
    <w:autoRedefine/>
    <w:qFormat/>
    <w:uiPriority w:val="0"/>
    <w:rPr>
      <w:sz w:val="24"/>
    </w:rPr>
  </w:style>
  <w:style w:type="paragraph" w:customStyle="1" w:styleId="2234">
    <w:name w:val="表内5313"/>
    <w:basedOn w:val="1"/>
    <w:autoRedefine/>
    <w:qFormat/>
    <w:uiPriority w:val="0"/>
    <w:pPr>
      <w:adjustRightInd w:val="0"/>
      <w:snapToGrid w:val="0"/>
      <w:spacing w:line="300" w:lineRule="auto"/>
      <w:jc w:val="left"/>
    </w:pPr>
    <w:rPr>
      <w:rFonts w:ascii="宋体"/>
      <w:szCs w:val="20"/>
    </w:rPr>
  </w:style>
  <w:style w:type="paragraph" w:customStyle="1" w:styleId="2235">
    <w:name w:val="Char Char1 Char Char Char Char Char Char Char"/>
    <w:basedOn w:val="1"/>
    <w:autoRedefine/>
    <w:qFormat/>
    <w:uiPriority w:val="99"/>
    <w:rPr>
      <w:sz w:val="24"/>
      <w:szCs w:val="20"/>
    </w:rPr>
  </w:style>
  <w:style w:type="paragraph" w:customStyle="1" w:styleId="2236">
    <w:name w:val="样式 标题 3 + 左侧:  0 毫米 首行缩进:  0 毫米 行距: 最小值 25 磅"/>
    <w:basedOn w:val="5"/>
    <w:autoRedefine/>
    <w:qFormat/>
    <w:uiPriority w:val="0"/>
    <w:pPr>
      <w:ind w:left="720" w:hanging="432"/>
    </w:pPr>
    <w:rPr>
      <w:kern w:val="0"/>
      <w:lang w:val="en-US"/>
    </w:rPr>
  </w:style>
  <w:style w:type="paragraph" w:customStyle="1" w:styleId="2237">
    <w:name w:val="表格内字体43"/>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238">
    <w:name w:val="默认段落字体 Para Char3"/>
    <w:basedOn w:val="1"/>
    <w:autoRedefine/>
    <w:qFormat/>
    <w:uiPriority w:val="0"/>
    <w:pPr>
      <w:spacing w:line="360" w:lineRule="auto"/>
      <w:ind w:firstLine="200" w:firstLineChars="200"/>
    </w:pPr>
    <w:rPr>
      <w:rFonts w:ascii="宋体" w:hAnsi="宋体" w:cs="宋体"/>
      <w:sz w:val="24"/>
    </w:rPr>
  </w:style>
  <w:style w:type="paragraph" w:customStyle="1" w:styleId="2239">
    <w:name w:val="Char Char Char Char Char Char Char31"/>
    <w:basedOn w:val="1"/>
    <w:autoRedefine/>
    <w:qFormat/>
    <w:uiPriority w:val="0"/>
  </w:style>
  <w:style w:type="paragraph" w:customStyle="1" w:styleId="2240">
    <w:name w:val="xl2411"/>
    <w:basedOn w:val="1"/>
    <w:autoRedefine/>
    <w:qFormat/>
    <w:uiPriority w:val="0"/>
    <w:pPr>
      <w:widowControl/>
      <w:pBdr>
        <w:bottom w:val="single" w:color="auto" w:sz="4" w:space="0"/>
        <w:right w:val="single" w:color="auto" w:sz="4" w:space="0"/>
      </w:pBdr>
      <w:spacing w:before="100" w:beforeAutospacing="1" w:after="100" w:afterAutospacing="1"/>
      <w:jc w:val="center"/>
    </w:pPr>
    <w:rPr>
      <w:kern w:val="0"/>
      <w:szCs w:val="21"/>
    </w:rPr>
  </w:style>
  <w:style w:type="paragraph" w:customStyle="1" w:styleId="2241">
    <w:name w:val="燕山正文11112"/>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2242">
    <w:name w:val="燕山正文7"/>
    <w:basedOn w:val="1"/>
    <w:autoRedefine/>
    <w:qFormat/>
    <w:uiPriority w:val="0"/>
    <w:pPr>
      <w:tabs>
        <w:tab w:val="left" w:pos="4680"/>
      </w:tabs>
      <w:adjustRightInd w:val="0"/>
      <w:snapToGrid w:val="0"/>
      <w:spacing w:line="480" w:lineRule="exact"/>
    </w:pPr>
    <w:rPr>
      <w:rFonts w:ascii="宋体" w:cs="宋体"/>
      <w:sz w:val="24"/>
    </w:rPr>
  </w:style>
  <w:style w:type="paragraph" w:customStyle="1" w:styleId="2243">
    <w:name w:val="Char Char Char Char Char Char Char Char"/>
    <w:basedOn w:val="1"/>
    <w:autoRedefine/>
    <w:qFormat/>
    <w:uiPriority w:val="0"/>
    <w:rPr>
      <w:sz w:val="24"/>
      <w:szCs w:val="20"/>
    </w:rPr>
  </w:style>
  <w:style w:type="paragraph" w:customStyle="1" w:styleId="2244">
    <w:name w:val="Char Char Char Char Char Char Char113"/>
    <w:basedOn w:val="1"/>
    <w:autoRedefine/>
    <w:qFormat/>
    <w:uiPriority w:val="0"/>
    <w:rPr>
      <w:szCs w:val="20"/>
    </w:rPr>
  </w:style>
  <w:style w:type="paragraph" w:customStyle="1" w:styleId="2245">
    <w:name w:val="Char48"/>
    <w:basedOn w:val="1"/>
    <w:autoRedefine/>
    <w:qFormat/>
    <w:uiPriority w:val="0"/>
    <w:pPr>
      <w:ind w:left="-48"/>
    </w:pPr>
  </w:style>
  <w:style w:type="paragraph" w:customStyle="1" w:styleId="2246">
    <w:name w:val="xl83"/>
    <w:basedOn w:val="1"/>
    <w:autoRedefine/>
    <w:qFormat/>
    <w:uiPriority w:val="0"/>
    <w:pPr>
      <w:widowControl/>
      <w:pBdr>
        <w:bottom w:val="single" w:color="auto" w:sz="8" w:space="0"/>
        <w:right w:val="single" w:color="auto" w:sz="8" w:space="0"/>
      </w:pBdr>
      <w:spacing w:before="100" w:beforeAutospacing="1" w:after="100" w:afterAutospacing="1"/>
      <w:jc w:val="center"/>
      <w:textAlignment w:val="bottom"/>
    </w:pPr>
    <w:rPr>
      <w:rFonts w:ascii="宋体" w:hAnsi="宋体" w:cs="宋体"/>
      <w:kern w:val="0"/>
      <w:szCs w:val="21"/>
    </w:rPr>
  </w:style>
  <w:style w:type="paragraph" w:customStyle="1" w:styleId="2247">
    <w:name w:val="正文文字缩进2字符"/>
    <w:basedOn w:val="1"/>
    <w:next w:val="35"/>
    <w:autoRedefine/>
    <w:qFormat/>
    <w:uiPriority w:val="0"/>
    <w:pPr>
      <w:tabs>
        <w:tab w:val="left" w:pos="360"/>
        <w:tab w:val="center" w:pos="630"/>
      </w:tabs>
      <w:spacing w:line="480" w:lineRule="exact"/>
      <w:ind w:firstLine="567"/>
    </w:pPr>
    <w:rPr>
      <w:rFonts w:ascii="宋体"/>
      <w:spacing w:val="6"/>
      <w:sz w:val="28"/>
      <w:szCs w:val="20"/>
    </w:rPr>
  </w:style>
  <w:style w:type="paragraph" w:customStyle="1" w:styleId="2248">
    <w:name w:val="燕山正文114"/>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2249">
    <w:name w:val="小四宋居中1.0"/>
    <w:basedOn w:val="1"/>
    <w:next w:val="1"/>
    <w:autoRedefine/>
    <w:qFormat/>
    <w:uiPriority w:val="0"/>
    <w:pPr>
      <w:spacing w:line="230" w:lineRule="exact"/>
      <w:jc w:val="center"/>
    </w:pPr>
    <w:rPr>
      <w:rFonts w:ascii="仿宋_GB2312" w:hAnsi="宋体" w:eastAsia="仿宋_GB2312"/>
      <w:szCs w:val="20"/>
    </w:rPr>
  </w:style>
  <w:style w:type="paragraph" w:customStyle="1" w:styleId="2250">
    <w:name w:val="图框"/>
    <w:basedOn w:val="1"/>
    <w:autoRedefine/>
    <w:qFormat/>
    <w:uiPriority w:val="0"/>
    <w:pPr>
      <w:jc w:val="center"/>
    </w:pPr>
    <w:rPr>
      <w:szCs w:val="15"/>
    </w:rPr>
  </w:style>
  <w:style w:type="paragraph" w:customStyle="1" w:styleId="2251">
    <w:name w:val="默认段落字体 Para Char Char Char Char7"/>
    <w:basedOn w:val="1"/>
    <w:autoRedefine/>
    <w:qFormat/>
    <w:uiPriority w:val="0"/>
  </w:style>
  <w:style w:type="paragraph" w:customStyle="1" w:styleId="2252">
    <w:name w:val="xl78"/>
    <w:basedOn w:val="1"/>
    <w:autoRedefine/>
    <w:qFormat/>
    <w:uiPriority w:val="0"/>
    <w:pPr>
      <w:widowControl/>
      <w:pBdr>
        <w:bottom w:val="single" w:color="auto" w:sz="8" w:space="0"/>
        <w:right w:val="single" w:color="auto" w:sz="8" w:space="0"/>
      </w:pBdr>
      <w:spacing w:before="100" w:beforeAutospacing="1" w:after="100" w:afterAutospacing="1"/>
      <w:jc w:val="center"/>
      <w:textAlignment w:val="bottom"/>
    </w:pPr>
    <w:rPr>
      <w:rFonts w:ascii="宋体" w:hAnsi="宋体" w:cs="宋体"/>
      <w:kern w:val="0"/>
      <w:szCs w:val="21"/>
    </w:rPr>
  </w:style>
  <w:style w:type="paragraph" w:customStyle="1" w:styleId="2253">
    <w:name w:val="Char1111"/>
    <w:basedOn w:val="1"/>
    <w:autoRedefine/>
    <w:qFormat/>
    <w:uiPriority w:val="0"/>
    <w:pPr>
      <w:adjustRightInd w:val="0"/>
      <w:snapToGrid w:val="0"/>
      <w:spacing w:beforeLines="50" w:line="360" w:lineRule="auto"/>
    </w:pPr>
    <w:rPr>
      <w:rFonts w:ascii="黑体" w:eastAsia="黑体"/>
      <w:sz w:val="32"/>
      <w:szCs w:val="32"/>
    </w:rPr>
  </w:style>
  <w:style w:type="paragraph" w:customStyle="1" w:styleId="2254">
    <w:name w:val="Char Char Char Char Char Char Char Char Char Char Char1 Char Char Char Char Char Char Char Char Char Char Char Char Char Char Char Char"/>
    <w:basedOn w:val="1"/>
    <w:autoRedefine/>
    <w:qFormat/>
    <w:uiPriority w:val="99"/>
    <w:rPr>
      <w:sz w:val="24"/>
    </w:rPr>
  </w:style>
  <w:style w:type="paragraph" w:customStyle="1" w:styleId="2255">
    <w:name w:val="列出段落3"/>
    <w:basedOn w:val="1"/>
    <w:autoRedefine/>
    <w:qFormat/>
    <w:uiPriority w:val="99"/>
    <w:pPr>
      <w:ind w:firstLine="420" w:firstLineChars="200"/>
    </w:pPr>
    <w:rPr>
      <w:szCs w:val="22"/>
    </w:rPr>
  </w:style>
  <w:style w:type="paragraph" w:customStyle="1" w:styleId="2256">
    <w:name w:val="_Style 1"/>
    <w:basedOn w:val="1"/>
    <w:next w:val="9"/>
    <w:autoRedefine/>
    <w:qFormat/>
    <w:uiPriority w:val="99"/>
    <w:pPr>
      <w:adjustRightInd w:val="0"/>
      <w:spacing w:line="288" w:lineRule="auto"/>
      <w:ind w:firstLine="480"/>
      <w:textAlignment w:val="baseline"/>
    </w:pPr>
    <w:rPr>
      <w:rFonts w:ascii="宋体" w:hAnsi="宋体" w:cs="宋体"/>
      <w:sz w:val="24"/>
    </w:rPr>
  </w:style>
  <w:style w:type="paragraph" w:customStyle="1" w:styleId="2257">
    <w:name w:val="正文文本缩进 33"/>
    <w:basedOn w:val="1"/>
    <w:autoRedefine/>
    <w:qFormat/>
    <w:uiPriority w:val="99"/>
    <w:pPr>
      <w:spacing w:after="120"/>
      <w:ind w:left="420" w:leftChars="200"/>
    </w:pPr>
    <w:rPr>
      <w:rFonts w:eastAsia="仿宋_GB2312"/>
      <w:sz w:val="16"/>
      <w:szCs w:val="16"/>
    </w:rPr>
  </w:style>
  <w:style w:type="paragraph" w:customStyle="1" w:styleId="2258">
    <w:name w:val="正文格式23"/>
    <w:basedOn w:val="1"/>
    <w:autoRedefine/>
    <w:qFormat/>
    <w:uiPriority w:val="0"/>
    <w:pPr>
      <w:spacing w:line="360" w:lineRule="auto"/>
      <w:ind w:firstLine="482"/>
    </w:pPr>
    <w:rPr>
      <w:rFonts w:ascii="宋体" w:hAnsi="宋体"/>
      <w:sz w:val="24"/>
    </w:rPr>
  </w:style>
  <w:style w:type="paragraph" w:customStyle="1" w:styleId="2259">
    <w:name w:val="日期3"/>
    <w:basedOn w:val="1"/>
    <w:next w:val="1"/>
    <w:autoRedefine/>
    <w:qFormat/>
    <w:uiPriority w:val="99"/>
    <w:rPr>
      <w:rFonts w:eastAsia="仿宋_GB2312"/>
      <w:sz w:val="30"/>
      <w:szCs w:val="20"/>
    </w:rPr>
  </w:style>
  <w:style w:type="paragraph" w:customStyle="1" w:styleId="2260">
    <w:name w:val="标题003"/>
    <w:basedOn w:val="1"/>
    <w:autoRedefine/>
    <w:qFormat/>
    <w:uiPriority w:val="0"/>
    <w:pPr>
      <w:spacing w:before="120" w:line="440" w:lineRule="exact"/>
      <w:outlineLvl w:val="2"/>
    </w:pPr>
    <w:rPr>
      <w:b/>
      <w:sz w:val="27"/>
      <w:szCs w:val="20"/>
    </w:rPr>
  </w:style>
  <w:style w:type="paragraph" w:customStyle="1" w:styleId="2261">
    <w:name w:val="表内54"/>
    <w:basedOn w:val="1"/>
    <w:autoRedefine/>
    <w:qFormat/>
    <w:uiPriority w:val="0"/>
    <w:pPr>
      <w:adjustRightInd w:val="0"/>
      <w:snapToGrid w:val="0"/>
      <w:spacing w:line="300" w:lineRule="auto"/>
      <w:jc w:val="left"/>
    </w:pPr>
    <w:rPr>
      <w:rFonts w:ascii="宋体"/>
      <w:sz w:val="18"/>
      <w:szCs w:val="20"/>
    </w:rPr>
  </w:style>
  <w:style w:type="paragraph" w:customStyle="1" w:styleId="2262">
    <w:name w:val="样式a"/>
    <w:basedOn w:val="1"/>
    <w:autoRedefine/>
    <w:qFormat/>
    <w:uiPriority w:val="99"/>
    <w:pPr>
      <w:adjustRightInd w:val="0"/>
      <w:snapToGrid w:val="0"/>
      <w:spacing w:line="420" w:lineRule="exact"/>
      <w:ind w:left="5" w:firstLine="200" w:firstLineChars="200"/>
      <w:textAlignment w:val="baseline"/>
    </w:pPr>
    <w:rPr>
      <w:kern w:val="0"/>
      <w:sz w:val="24"/>
    </w:rPr>
  </w:style>
  <w:style w:type="paragraph" w:customStyle="1" w:styleId="2263">
    <w:name w:val="标题4113"/>
    <w:basedOn w:val="1"/>
    <w:autoRedefine/>
    <w:qFormat/>
    <w:uiPriority w:val="0"/>
    <w:pPr>
      <w:adjustRightInd w:val="0"/>
      <w:snapToGrid w:val="0"/>
      <w:spacing w:line="300" w:lineRule="auto"/>
      <w:jc w:val="left"/>
    </w:pPr>
    <w:rPr>
      <w:rFonts w:ascii="黑体" w:hAnsi="宋体" w:eastAsia="黑体" w:cs="宋体"/>
      <w:bCs/>
      <w:sz w:val="24"/>
      <w:szCs w:val="20"/>
    </w:rPr>
  </w:style>
  <w:style w:type="paragraph" w:customStyle="1" w:styleId="2264">
    <w:name w:val="表头样式1"/>
    <w:basedOn w:val="1"/>
    <w:autoRedefine/>
    <w:qFormat/>
    <w:uiPriority w:val="0"/>
    <w:pPr>
      <w:autoSpaceDE w:val="0"/>
      <w:autoSpaceDN w:val="0"/>
      <w:adjustRightInd w:val="0"/>
      <w:snapToGrid w:val="0"/>
      <w:spacing w:beforeLines="20" w:afterLines="20" w:line="360" w:lineRule="auto"/>
      <w:ind w:firstLine="480" w:firstLineChars="200"/>
      <w:jc w:val="center"/>
    </w:pPr>
    <w:rPr>
      <w:rFonts w:ascii="黑体" w:hAnsi="宋体" w:eastAsia="黑体"/>
      <w:kern w:val="0"/>
      <w:sz w:val="24"/>
      <w:szCs w:val="20"/>
    </w:rPr>
  </w:style>
  <w:style w:type="paragraph" w:customStyle="1" w:styleId="2265">
    <w:name w:val="001"/>
    <w:basedOn w:val="1"/>
    <w:autoRedefine/>
    <w:qFormat/>
    <w:uiPriority w:val="99"/>
    <w:pPr>
      <w:spacing w:line="360" w:lineRule="auto"/>
    </w:pPr>
    <w:rPr>
      <w:rFonts w:eastAsia="华文中宋"/>
      <w:sz w:val="28"/>
      <w:szCs w:val="28"/>
    </w:rPr>
  </w:style>
  <w:style w:type="paragraph" w:customStyle="1" w:styleId="2266">
    <w:name w:val="表内宋5中3"/>
    <w:basedOn w:val="1"/>
    <w:autoRedefine/>
    <w:qFormat/>
    <w:uiPriority w:val="0"/>
    <w:pPr>
      <w:adjustRightInd w:val="0"/>
      <w:snapToGrid w:val="0"/>
      <w:textAlignment w:val="baseline"/>
    </w:pPr>
    <w:rPr>
      <w:color w:val="000000"/>
      <w:kern w:val="0"/>
      <w:szCs w:val="20"/>
    </w:rPr>
  </w:style>
  <w:style w:type="paragraph" w:customStyle="1" w:styleId="2267">
    <w:name w:val="BGWZ1"/>
    <w:basedOn w:val="1"/>
    <w:autoRedefine/>
    <w:qFormat/>
    <w:uiPriority w:val="99"/>
    <w:pPr>
      <w:snapToGrid w:val="0"/>
      <w:spacing w:line="300" w:lineRule="exact"/>
      <w:jc w:val="center"/>
    </w:pPr>
    <w:rPr>
      <w:snapToGrid w:val="0"/>
      <w:kern w:val="0"/>
      <w:szCs w:val="21"/>
      <w:lang w:eastAsia="zh-TW"/>
    </w:rPr>
  </w:style>
  <w:style w:type="paragraph" w:customStyle="1" w:styleId="2268">
    <w:name w:val="Char Char Char1 Char3"/>
    <w:basedOn w:val="1"/>
    <w:autoRedefine/>
    <w:qFormat/>
    <w:uiPriority w:val="99"/>
    <w:rPr>
      <w:szCs w:val="20"/>
    </w:rPr>
  </w:style>
  <w:style w:type="paragraph" w:customStyle="1" w:styleId="2269">
    <w:name w:val="表内52"/>
    <w:basedOn w:val="1"/>
    <w:autoRedefine/>
    <w:qFormat/>
    <w:uiPriority w:val="0"/>
    <w:pPr>
      <w:adjustRightInd w:val="0"/>
      <w:snapToGrid w:val="0"/>
      <w:spacing w:line="300" w:lineRule="auto"/>
      <w:jc w:val="left"/>
    </w:pPr>
    <w:rPr>
      <w:rFonts w:ascii="宋体"/>
      <w:sz w:val="18"/>
      <w:szCs w:val="20"/>
    </w:rPr>
  </w:style>
  <w:style w:type="paragraph" w:customStyle="1" w:styleId="2270">
    <w:name w:val="宏福4"/>
    <w:basedOn w:val="1"/>
    <w:autoRedefine/>
    <w:qFormat/>
    <w:uiPriority w:val="0"/>
    <w:pPr>
      <w:adjustRightInd w:val="0"/>
      <w:spacing w:line="400" w:lineRule="atLeast"/>
      <w:ind w:firstLine="567"/>
      <w:jc w:val="left"/>
      <w:textAlignment w:val="baseline"/>
    </w:pPr>
    <w:rPr>
      <w:sz w:val="28"/>
      <w:szCs w:val="28"/>
    </w:rPr>
  </w:style>
  <w:style w:type="paragraph" w:customStyle="1" w:styleId="2271">
    <w:name w:val="表题21111"/>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2272">
    <w:name w:val="tu"/>
    <w:basedOn w:val="73"/>
    <w:autoRedefine/>
    <w:qFormat/>
    <w:uiPriority w:val="0"/>
    <w:pPr>
      <w:spacing w:line="360" w:lineRule="auto"/>
    </w:pPr>
    <w:rPr>
      <w:rFonts w:ascii="Times New Roman" w:eastAsia="宋体"/>
      <w:b/>
    </w:rPr>
  </w:style>
  <w:style w:type="paragraph" w:customStyle="1" w:styleId="2273">
    <w:name w:val="列出段落4"/>
    <w:basedOn w:val="1"/>
    <w:autoRedefine/>
    <w:qFormat/>
    <w:uiPriority w:val="99"/>
    <w:pPr>
      <w:ind w:firstLine="420" w:firstLineChars="200"/>
    </w:pPr>
    <w:rPr>
      <w:szCs w:val="22"/>
    </w:rPr>
  </w:style>
  <w:style w:type="paragraph" w:customStyle="1" w:styleId="2274">
    <w:name w:val="1表格"/>
    <w:basedOn w:val="1"/>
    <w:autoRedefine/>
    <w:qFormat/>
    <w:uiPriority w:val="99"/>
    <w:pPr>
      <w:adjustRightInd w:val="0"/>
      <w:snapToGrid w:val="0"/>
      <w:jc w:val="center"/>
      <w:textAlignment w:val="baseline"/>
    </w:pPr>
    <w:rPr>
      <w:rFonts w:ascii="宋体" w:hAnsi="宋体" w:cs="宋体"/>
      <w:spacing w:val="4"/>
      <w:sz w:val="24"/>
    </w:rPr>
  </w:style>
  <w:style w:type="paragraph" w:customStyle="1" w:styleId="2275">
    <w:name w:val="样式 标题 3 + 段前: 12 磅1"/>
    <w:basedOn w:val="5"/>
    <w:autoRedefine/>
    <w:qFormat/>
    <w:uiPriority w:val="0"/>
    <w:pPr>
      <w:keepNext w:val="0"/>
      <w:keepLines w:val="0"/>
      <w:widowControl/>
      <w:autoSpaceDE w:val="0"/>
      <w:autoSpaceDN w:val="0"/>
      <w:adjustRightInd w:val="0"/>
      <w:snapToGrid w:val="0"/>
      <w:spacing w:before="0" w:after="0" w:line="360" w:lineRule="auto"/>
    </w:pPr>
    <w:rPr>
      <w:rFonts w:ascii="黑体" w:hAnsi="宋体" w:eastAsia="黑体" w:cs="宋体"/>
      <w:b w:val="0"/>
      <w:bCs w:val="0"/>
      <w:color w:val="000000"/>
      <w:kern w:val="21"/>
      <w:sz w:val="24"/>
      <w:szCs w:val="20"/>
      <w:lang w:val="en-US"/>
    </w:rPr>
  </w:style>
  <w:style w:type="paragraph" w:customStyle="1" w:styleId="2276">
    <w:name w:val="Char Char Char Char Char Char Char Char Char1 Char Char Char1 Char1"/>
    <w:basedOn w:val="1"/>
    <w:autoRedefine/>
    <w:qFormat/>
    <w:uiPriority w:val="39"/>
    <w:pPr>
      <w:spacing w:line="360" w:lineRule="auto"/>
      <w:ind w:firstLine="200" w:firstLineChars="200"/>
    </w:pPr>
    <w:rPr>
      <w:rFonts w:ascii="宋体" w:hAnsi="宋体" w:cs="宋体"/>
      <w:sz w:val="24"/>
    </w:rPr>
  </w:style>
  <w:style w:type="paragraph" w:customStyle="1" w:styleId="2277">
    <w:name w:val="wangjunbo.bullet"/>
    <w:basedOn w:val="1"/>
    <w:autoRedefine/>
    <w:qFormat/>
    <w:uiPriority w:val="0"/>
    <w:pPr>
      <w:jc w:val="center"/>
    </w:pPr>
    <w:rPr>
      <w:rFonts w:ascii="宋体" w:hAnsi="宋体"/>
      <w:szCs w:val="20"/>
    </w:rPr>
  </w:style>
  <w:style w:type="paragraph" w:customStyle="1" w:styleId="2278">
    <w:name w:val="图题23"/>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279">
    <w:name w:val="Char33"/>
    <w:basedOn w:val="1"/>
    <w:autoRedefine/>
    <w:qFormat/>
    <w:uiPriority w:val="0"/>
    <w:rPr>
      <w:sz w:val="24"/>
    </w:rPr>
  </w:style>
  <w:style w:type="paragraph" w:customStyle="1" w:styleId="2280">
    <w:name w:val="图表名称1"/>
    <w:basedOn w:val="86"/>
    <w:autoRedefine/>
    <w:qFormat/>
    <w:uiPriority w:val="0"/>
    <w:pPr>
      <w:widowControl/>
      <w:adjustRightInd w:val="0"/>
      <w:snapToGrid w:val="0"/>
      <w:spacing w:after="0" w:line="480" w:lineRule="exact"/>
      <w:ind w:firstLine="0" w:firstLineChars="0"/>
      <w:jc w:val="center"/>
    </w:pPr>
    <w:rPr>
      <w:rFonts w:ascii="宋体" w:hAnsi="宋体"/>
      <w:bCs/>
      <w:sz w:val="24"/>
      <w:szCs w:val="24"/>
    </w:rPr>
  </w:style>
  <w:style w:type="paragraph" w:customStyle="1" w:styleId="2281">
    <w:name w:val="Char Char Char Char11"/>
    <w:basedOn w:val="1"/>
    <w:autoRedefine/>
    <w:qFormat/>
    <w:uiPriority w:val="0"/>
    <w:pPr>
      <w:widowControl/>
      <w:spacing w:after="160" w:line="240" w:lineRule="exact"/>
      <w:jc w:val="left"/>
    </w:pPr>
    <w:rPr>
      <w:rFonts w:ascii="Tahoma" w:hAnsi="Tahoma" w:cs="Tahoma"/>
      <w:kern w:val="0"/>
      <w:sz w:val="20"/>
      <w:szCs w:val="20"/>
      <w:lang w:eastAsia="en-US"/>
    </w:rPr>
  </w:style>
  <w:style w:type="paragraph" w:customStyle="1" w:styleId="2282">
    <w:name w:val="黑体三号12"/>
    <w:basedOn w:val="418"/>
    <w:autoRedefine/>
    <w:qFormat/>
    <w:uiPriority w:val="0"/>
    <w:pPr>
      <w:jc w:val="center"/>
    </w:pPr>
    <w:rPr>
      <w:rFonts w:ascii="黑体" w:hAnsi="宋体" w:eastAsia="黑体" w:cs="宋体"/>
      <w:bCs/>
      <w:spacing w:val="0"/>
      <w:sz w:val="32"/>
    </w:rPr>
  </w:style>
  <w:style w:type="paragraph" w:customStyle="1" w:styleId="2283">
    <w:name w:val="样式 正文文本缩进 + 左侧:  0.95 厘米 首行缩进:  0.63 厘米"/>
    <w:basedOn w:val="35"/>
    <w:autoRedefine/>
    <w:qFormat/>
    <w:uiPriority w:val="0"/>
    <w:pPr>
      <w:spacing w:after="0" w:line="480" w:lineRule="exact"/>
      <w:ind w:left="0" w:leftChars="0" w:firstLine="480" w:firstLineChars="200"/>
    </w:pPr>
    <w:rPr>
      <w:rFonts w:ascii="宋体" w:hAnsi="宋体"/>
      <w:color w:val="000000"/>
      <w:lang w:val="en-US"/>
    </w:rPr>
  </w:style>
  <w:style w:type="paragraph" w:customStyle="1" w:styleId="2284">
    <w:name w:val="标题44"/>
    <w:basedOn w:val="1"/>
    <w:autoRedefine/>
    <w:qFormat/>
    <w:uiPriority w:val="0"/>
    <w:pPr>
      <w:adjustRightInd w:val="0"/>
      <w:snapToGrid w:val="0"/>
      <w:spacing w:line="300" w:lineRule="auto"/>
      <w:jc w:val="left"/>
    </w:pPr>
    <w:rPr>
      <w:rFonts w:ascii="黑体" w:eastAsia="黑体"/>
      <w:bCs/>
      <w:sz w:val="24"/>
    </w:rPr>
  </w:style>
  <w:style w:type="paragraph" w:customStyle="1" w:styleId="2285">
    <w:name w:val="6"/>
    <w:basedOn w:val="1"/>
    <w:next w:val="76"/>
    <w:autoRedefine/>
    <w:qFormat/>
    <w:uiPriority w:val="0"/>
    <w:pPr>
      <w:spacing w:after="120" w:line="480" w:lineRule="auto"/>
    </w:pPr>
  </w:style>
  <w:style w:type="paragraph" w:customStyle="1" w:styleId="2286">
    <w:name w:val="正文格式211"/>
    <w:basedOn w:val="1"/>
    <w:autoRedefine/>
    <w:qFormat/>
    <w:uiPriority w:val="0"/>
    <w:pPr>
      <w:spacing w:line="360" w:lineRule="auto"/>
      <w:ind w:firstLine="482"/>
    </w:pPr>
    <w:rPr>
      <w:rFonts w:ascii="宋体" w:hAnsi="宋体"/>
      <w:sz w:val="24"/>
    </w:rPr>
  </w:style>
  <w:style w:type="paragraph" w:customStyle="1" w:styleId="2287">
    <w:name w:val="CM27"/>
    <w:basedOn w:val="1"/>
    <w:next w:val="1"/>
    <w:autoRedefine/>
    <w:qFormat/>
    <w:uiPriority w:val="0"/>
    <w:pPr>
      <w:autoSpaceDE w:val="0"/>
      <w:autoSpaceDN w:val="0"/>
      <w:adjustRightInd w:val="0"/>
      <w:spacing w:after="178"/>
      <w:jc w:val="left"/>
    </w:pPr>
    <w:rPr>
      <w:rFonts w:ascii="Li Super" w:eastAsia="Li Super"/>
      <w:kern w:val="0"/>
      <w:sz w:val="24"/>
    </w:rPr>
  </w:style>
  <w:style w:type="paragraph" w:customStyle="1" w:styleId="2288">
    <w:name w:val="样式 标题 3 + 首行缩进:  2 字符1"/>
    <w:basedOn w:val="5"/>
    <w:autoRedefine/>
    <w:qFormat/>
    <w:uiPriority w:val="0"/>
    <w:pPr>
      <w:ind w:left="720" w:hanging="432"/>
    </w:pPr>
    <w:rPr>
      <w:kern w:val="0"/>
      <w:lang w:val="en-US"/>
    </w:rPr>
  </w:style>
  <w:style w:type="paragraph" w:customStyle="1" w:styleId="2289">
    <w:name w:val="表内文字小2133"/>
    <w:basedOn w:val="1"/>
    <w:autoRedefine/>
    <w:qFormat/>
    <w:uiPriority w:val="0"/>
    <w:pPr>
      <w:adjustRightInd w:val="0"/>
      <w:snapToGrid w:val="0"/>
      <w:jc w:val="center"/>
      <w:textAlignment w:val="baseline"/>
    </w:pPr>
    <w:rPr>
      <w:rFonts w:ascii="宋体" w:hAnsi="Times"/>
      <w:bCs/>
      <w:color w:val="000000"/>
      <w:szCs w:val="20"/>
    </w:rPr>
  </w:style>
  <w:style w:type="paragraph" w:customStyle="1" w:styleId="2290">
    <w:name w:val="正文文本缩进 34"/>
    <w:basedOn w:val="1"/>
    <w:autoRedefine/>
    <w:qFormat/>
    <w:uiPriority w:val="99"/>
    <w:pPr>
      <w:spacing w:after="120"/>
      <w:ind w:left="420" w:leftChars="200"/>
    </w:pPr>
    <w:rPr>
      <w:rFonts w:eastAsia="仿宋_GB2312"/>
      <w:sz w:val="16"/>
      <w:szCs w:val="16"/>
    </w:rPr>
  </w:style>
  <w:style w:type="paragraph" w:customStyle="1" w:styleId="2291">
    <w:name w:val="样式2.6.4"/>
    <w:basedOn w:val="1"/>
    <w:autoRedefine/>
    <w:qFormat/>
    <w:uiPriority w:val="99"/>
    <w:pPr>
      <w:tabs>
        <w:tab w:val="left" w:pos="286"/>
        <w:tab w:val="left" w:pos="1247"/>
      </w:tabs>
      <w:spacing w:beforeLines="50" w:line="360" w:lineRule="auto"/>
      <w:ind w:left="2100" w:hanging="420"/>
      <w:outlineLvl w:val="3"/>
    </w:pPr>
    <w:rPr>
      <w:b/>
      <w:sz w:val="24"/>
    </w:rPr>
  </w:style>
  <w:style w:type="paragraph" w:customStyle="1" w:styleId="2292">
    <w:name w:val="正文001"/>
    <w:basedOn w:val="1"/>
    <w:autoRedefine/>
    <w:qFormat/>
    <w:uiPriority w:val="0"/>
    <w:pPr>
      <w:spacing w:before="60" w:line="420" w:lineRule="exact"/>
      <w:ind w:firstLine="482"/>
    </w:pPr>
    <w:rPr>
      <w:sz w:val="24"/>
      <w:szCs w:val="20"/>
    </w:rPr>
  </w:style>
  <w:style w:type="paragraph" w:customStyle="1" w:styleId="2293">
    <w:name w:val="黑体三号5"/>
    <w:basedOn w:val="418"/>
    <w:autoRedefine/>
    <w:qFormat/>
    <w:uiPriority w:val="0"/>
    <w:pPr>
      <w:jc w:val="center"/>
    </w:pPr>
    <w:rPr>
      <w:rFonts w:ascii="黑体" w:hAnsi="宋体" w:eastAsia="黑体" w:cs="宋体"/>
      <w:bCs/>
      <w:spacing w:val="0"/>
      <w:sz w:val="32"/>
    </w:rPr>
  </w:style>
  <w:style w:type="paragraph" w:customStyle="1" w:styleId="2294">
    <w:name w:val="日期4"/>
    <w:basedOn w:val="1"/>
    <w:next w:val="1"/>
    <w:autoRedefine/>
    <w:qFormat/>
    <w:uiPriority w:val="99"/>
    <w:rPr>
      <w:rFonts w:eastAsia="仿宋_GB2312"/>
      <w:sz w:val="30"/>
      <w:szCs w:val="20"/>
    </w:rPr>
  </w:style>
  <w:style w:type="paragraph" w:customStyle="1" w:styleId="2295">
    <w:name w:val="表内54133"/>
    <w:basedOn w:val="1"/>
    <w:autoRedefine/>
    <w:qFormat/>
    <w:uiPriority w:val="0"/>
    <w:pPr>
      <w:adjustRightInd w:val="0"/>
      <w:snapToGrid w:val="0"/>
      <w:spacing w:line="300" w:lineRule="auto"/>
      <w:jc w:val="center"/>
    </w:pPr>
    <w:rPr>
      <w:rFonts w:ascii="宋体" w:hAnsi="宋体" w:cs="宋体"/>
      <w:szCs w:val="20"/>
    </w:rPr>
  </w:style>
  <w:style w:type="paragraph" w:customStyle="1" w:styleId="2296">
    <w:name w:val="纯文本21"/>
    <w:basedOn w:val="1"/>
    <w:autoRedefine/>
    <w:qFormat/>
    <w:uiPriority w:val="34"/>
    <w:pPr>
      <w:adjustRightInd w:val="0"/>
    </w:pPr>
    <w:rPr>
      <w:rFonts w:ascii="宋体" w:hAnsi="Courier New"/>
      <w:szCs w:val="20"/>
    </w:rPr>
  </w:style>
  <w:style w:type="paragraph" w:customStyle="1" w:styleId="2297">
    <w:name w:val="正文格式＝22"/>
    <w:basedOn w:val="418"/>
    <w:next w:val="418"/>
    <w:autoRedefine/>
    <w:qFormat/>
    <w:uiPriority w:val="0"/>
    <w:rPr>
      <w:rFonts w:ascii="宋体" w:hAnsi="宋体"/>
      <w:b w:val="0"/>
      <w:spacing w:val="0"/>
      <w:sz w:val="24"/>
      <w:szCs w:val="24"/>
    </w:rPr>
  </w:style>
  <w:style w:type="paragraph" w:customStyle="1" w:styleId="2298">
    <w:name w:val="环评正文字体"/>
    <w:basedOn w:val="1"/>
    <w:autoRedefine/>
    <w:qFormat/>
    <w:uiPriority w:val="99"/>
    <w:pPr>
      <w:spacing w:line="360" w:lineRule="auto"/>
      <w:ind w:firstLine="480" w:firstLineChars="200"/>
    </w:pPr>
    <w:rPr>
      <w:sz w:val="24"/>
      <w:szCs w:val="20"/>
    </w:rPr>
  </w:style>
  <w:style w:type="paragraph" w:customStyle="1" w:styleId="2299">
    <w:name w:val="黑体三号411"/>
    <w:basedOn w:val="418"/>
    <w:autoRedefine/>
    <w:qFormat/>
    <w:uiPriority w:val="0"/>
    <w:pPr>
      <w:jc w:val="center"/>
    </w:pPr>
    <w:rPr>
      <w:rFonts w:ascii="黑体" w:hAnsi="宋体" w:eastAsia="黑体" w:cs="宋体"/>
      <w:bCs/>
      <w:spacing w:val="0"/>
      <w:sz w:val="32"/>
    </w:rPr>
  </w:style>
  <w:style w:type="paragraph" w:customStyle="1" w:styleId="2300">
    <w:name w:val="燕山正文42"/>
    <w:basedOn w:val="1"/>
    <w:autoRedefine/>
    <w:qFormat/>
    <w:uiPriority w:val="0"/>
    <w:pPr>
      <w:tabs>
        <w:tab w:val="left" w:pos="4680"/>
      </w:tabs>
      <w:adjustRightInd w:val="0"/>
      <w:snapToGrid w:val="0"/>
      <w:spacing w:line="480" w:lineRule="exact"/>
    </w:pPr>
    <w:rPr>
      <w:rFonts w:ascii="宋体" w:cs="宋体"/>
      <w:sz w:val="24"/>
    </w:rPr>
  </w:style>
  <w:style w:type="paragraph" w:customStyle="1" w:styleId="2301">
    <w:name w:val="标题001"/>
    <w:basedOn w:val="1"/>
    <w:autoRedefine/>
    <w:qFormat/>
    <w:uiPriority w:val="0"/>
    <w:pPr>
      <w:spacing w:before="60" w:line="480" w:lineRule="exact"/>
      <w:outlineLvl w:val="0"/>
    </w:pPr>
    <w:rPr>
      <w:b/>
      <w:sz w:val="32"/>
      <w:szCs w:val="20"/>
    </w:rPr>
  </w:style>
  <w:style w:type="paragraph" w:customStyle="1" w:styleId="2302">
    <w:name w:val="图题注11"/>
    <w:basedOn w:val="22"/>
    <w:autoRedefine/>
    <w:qFormat/>
    <w:uiPriority w:val="0"/>
    <w:pPr>
      <w:widowControl w:val="0"/>
      <w:spacing w:after="0" w:line="240" w:lineRule="auto"/>
      <w:ind w:left="0" w:right="0" w:firstLine="0"/>
      <w:jc w:val="center"/>
    </w:pPr>
    <w:rPr>
      <w:rFonts w:ascii="黑体" w:hAnsi="Arial" w:cs="宋体"/>
      <w:b/>
      <w:bCs/>
      <w:color w:val="auto"/>
      <w:sz w:val="24"/>
      <w:szCs w:val="24"/>
    </w:rPr>
  </w:style>
  <w:style w:type="paragraph" w:customStyle="1" w:styleId="2303">
    <w:name w:val="Char14"/>
    <w:basedOn w:val="1"/>
    <w:autoRedefine/>
    <w:qFormat/>
    <w:uiPriority w:val="0"/>
  </w:style>
  <w:style w:type="paragraph" w:customStyle="1" w:styleId="2304">
    <w:name w:val="标题21"/>
    <w:basedOn w:val="1"/>
    <w:autoRedefine/>
    <w:qFormat/>
    <w:uiPriority w:val="99"/>
    <w:pPr>
      <w:suppressLineNumbers/>
      <w:spacing w:line="360" w:lineRule="auto"/>
      <w:outlineLvl w:val="1"/>
    </w:pPr>
    <w:rPr>
      <w:rFonts w:eastAsia="黑体"/>
      <w:sz w:val="36"/>
      <w:szCs w:val="36"/>
    </w:rPr>
  </w:style>
  <w:style w:type="paragraph" w:customStyle="1" w:styleId="2305">
    <w:name w:val="Char Char Char1 Char Char Char Char1"/>
    <w:basedOn w:val="1"/>
    <w:autoRedefine/>
    <w:qFormat/>
    <w:uiPriority w:val="39"/>
  </w:style>
  <w:style w:type="paragraph" w:customStyle="1" w:styleId="2306">
    <w:name w:val="font6"/>
    <w:basedOn w:val="1"/>
    <w:autoRedefine/>
    <w:qFormat/>
    <w:uiPriority w:val="0"/>
    <w:pPr>
      <w:widowControl/>
      <w:spacing w:before="100" w:beforeAutospacing="1" w:after="100" w:afterAutospacing="1"/>
      <w:jc w:val="left"/>
    </w:pPr>
    <w:rPr>
      <w:rFonts w:ascii="宋体" w:hAnsi="宋体" w:cs="宋体"/>
      <w:color w:val="000000"/>
      <w:kern w:val="0"/>
      <w:szCs w:val="21"/>
    </w:rPr>
  </w:style>
  <w:style w:type="paragraph" w:customStyle="1" w:styleId="2307">
    <w:name w:val="样式 题注 + 首行缩进:  2 字符"/>
    <w:basedOn w:val="22"/>
    <w:autoRedefine/>
    <w:qFormat/>
    <w:uiPriority w:val="0"/>
    <w:pPr>
      <w:widowControl w:val="0"/>
      <w:spacing w:after="0" w:line="520" w:lineRule="exact"/>
      <w:ind w:left="0" w:right="0" w:firstLine="0"/>
      <w:jc w:val="center"/>
    </w:pPr>
    <w:rPr>
      <w:rFonts w:ascii="Arial" w:hAnsi="Arial"/>
      <w:color w:val="auto"/>
      <w:sz w:val="24"/>
    </w:rPr>
  </w:style>
  <w:style w:type="paragraph" w:customStyle="1" w:styleId="2308">
    <w:name w:val="Char Char2 Char Char Char Char Char Char3"/>
    <w:basedOn w:val="1"/>
    <w:autoRedefine/>
    <w:qFormat/>
    <w:uiPriority w:val="39"/>
    <w:pPr>
      <w:spacing w:line="480" w:lineRule="exact"/>
    </w:pPr>
    <w:rPr>
      <w:sz w:val="22"/>
    </w:rPr>
  </w:style>
  <w:style w:type="paragraph" w:customStyle="1" w:styleId="2309">
    <w:name w:val="默认段落字体 Para Char Char Char Char33"/>
    <w:basedOn w:val="1"/>
    <w:autoRedefine/>
    <w:qFormat/>
    <w:uiPriority w:val="0"/>
  </w:style>
  <w:style w:type="paragraph" w:customStyle="1" w:styleId="2310">
    <w:name w:val="样式 正文缩进正文缩进 Char正文缩进1 Char正文缩进1正文（首行缩进两字） Char正文缩进 Char Cha..."/>
    <w:basedOn w:val="9"/>
    <w:autoRedefine/>
    <w:qFormat/>
    <w:uiPriority w:val="0"/>
    <w:pPr>
      <w:spacing w:beforeLines="50" w:line="360" w:lineRule="auto"/>
      <w:ind w:firstLine="567" w:firstLineChars="0"/>
      <w:jc w:val="left"/>
    </w:pPr>
    <w:rPr>
      <w:kern w:val="0"/>
      <w:sz w:val="24"/>
      <w:szCs w:val="20"/>
      <w:lang w:val="en-US"/>
    </w:rPr>
  </w:style>
  <w:style w:type="paragraph" w:customStyle="1" w:styleId="2311">
    <w:name w:val="正文格式611"/>
    <w:basedOn w:val="1"/>
    <w:autoRedefine/>
    <w:qFormat/>
    <w:uiPriority w:val="0"/>
    <w:pPr>
      <w:spacing w:line="360" w:lineRule="auto"/>
      <w:ind w:firstLine="482"/>
    </w:pPr>
    <w:rPr>
      <w:rFonts w:ascii="宋体" w:hAnsi="宋体"/>
      <w:sz w:val="24"/>
    </w:rPr>
  </w:style>
  <w:style w:type="paragraph" w:customStyle="1" w:styleId="2312">
    <w:name w:val="font7"/>
    <w:basedOn w:val="1"/>
    <w:autoRedefine/>
    <w:qFormat/>
    <w:uiPriority w:val="0"/>
    <w:pPr>
      <w:widowControl/>
      <w:spacing w:before="100" w:beforeAutospacing="1" w:after="100" w:afterAutospacing="1"/>
      <w:jc w:val="left"/>
    </w:pPr>
    <w:rPr>
      <w:rFonts w:ascii="宋体" w:hAnsi="宋体" w:cs="宋体"/>
      <w:color w:val="000000"/>
      <w:kern w:val="0"/>
      <w:szCs w:val="21"/>
    </w:rPr>
  </w:style>
  <w:style w:type="paragraph" w:customStyle="1" w:styleId="2313">
    <w:name w:val="普通表格1"/>
    <w:basedOn w:val="45"/>
    <w:autoRedefine/>
    <w:qFormat/>
    <w:uiPriority w:val="0"/>
    <w:pPr>
      <w:snapToGrid w:val="0"/>
      <w:spacing w:line="380" w:lineRule="exact"/>
    </w:pPr>
    <w:rPr>
      <w:rFonts w:ascii="Times New Roman" w:hAnsi="Times New Roman"/>
      <w:sz w:val="24"/>
      <w:szCs w:val="20"/>
    </w:rPr>
  </w:style>
  <w:style w:type="paragraph" w:customStyle="1" w:styleId="2314">
    <w:name w:val="表格内字体53"/>
    <w:basedOn w:val="418"/>
    <w:next w:val="418"/>
    <w:autoRedefine/>
    <w:qFormat/>
    <w:uiPriority w:val="0"/>
    <w:pPr>
      <w:adjustRightInd w:val="0"/>
      <w:snapToGrid w:val="0"/>
      <w:spacing w:line="240" w:lineRule="auto"/>
      <w:ind w:firstLine="0"/>
    </w:pPr>
    <w:rPr>
      <w:rFonts w:ascii="宋体" w:hAnsi="宋体"/>
      <w:b w:val="0"/>
      <w:spacing w:val="0"/>
      <w:szCs w:val="24"/>
    </w:rPr>
  </w:style>
  <w:style w:type="paragraph" w:customStyle="1" w:styleId="2315">
    <w:name w:val="xl66"/>
    <w:basedOn w:val="1"/>
    <w:autoRedefine/>
    <w:qFormat/>
    <w:uiPriority w:val="0"/>
    <w:pPr>
      <w:widowControl/>
      <w:pBdr>
        <w:bottom w:val="single" w:color="auto" w:sz="8" w:space="0"/>
        <w:right w:val="single" w:color="auto" w:sz="8" w:space="0"/>
      </w:pBdr>
      <w:spacing w:before="100" w:beforeAutospacing="1" w:after="100" w:afterAutospacing="1"/>
      <w:jc w:val="center"/>
    </w:pPr>
    <w:rPr>
      <w:rFonts w:ascii="宋体" w:hAnsi="宋体" w:cs="宋体"/>
      <w:kern w:val="0"/>
      <w:szCs w:val="21"/>
    </w:rPr>
  </w:style>
  <w:style w:type="paragraph" w:customStyle="1" w:styleId="2316">
    <w:name w:val="标题002"/>
    <w:basedOn w:val="1"/>
    <w:autoRedefine/>
    <w:qFormat/>
    <w:uiPriority w:val="0"/>
    <w:pPr>
      <w:spacing w:before="160" w:line="480" w:lineRule="exact"/>
      <w:outlineLvl w:val="1"/>
    </w:pPr>
    <w:rPr>
      <w:b/>
      <w:sz w:val="28"/>
      <w:szCs w:val="20"/>
    </w:rPr>
  </w:style>
  <w:style w:type="paragraph" w:customStyle="1" w:styleId="2317">
    <w:name w:val="表格编号"/>
    <w:basedOn w:val="1"/>
    <w:next w:val="1"/>
    <w:autoRedefine/>
    <w:qFormat/>
    <w:uiPriority w:val="0"/>
    <w:pPr>
      <w:spacing w:before="300" w:after="200"/>
      <w:ind w:left="964" w:hanging="425"/>
      <w:jc w:val="center"/>
    </w:pPr>
    <w:rPr>
      <w:sz w:val="24"/>
      <w:szCs w:val="20"/>
    </w:rPr>
  </w:style>
  <w:style w:type="paragraph" w:customStyle="1" w:styleId="2318">
    <w:name w:val="图注"/>
    <w:basedOn w:val="1"/>
    <w:next w:val="1"/>
    <w:autoRedefine/>
    <w:qFormat/>
    <w:uiPriority w:val="0"/>
    <w:pPr>
      <w:spacing w:before="120" w:line="320" w:lineRule="atLeast"/>
      <w:ind w:left="7" w:leftChars="-27" w:hanging="72" w:hangingChars="30"/>
      <w:jc w:val="center"/>
    </w:pPr>
    <w:rPr>
      <w:rFonts w:ascii="宋体" w:hAnsi="宋体"/>
      <w:bCs/>
      <w:color w:val="000000"/>
      <w:kern w:val="0"/>
      <w:sz w:val="24"/>
    </w:rPr>
  </w:style>
  <w:style w:type="paragraph" w:customStyle="1" w:styleId="2319">
    <w:name w:val="样式 标题 3头 + (中文) 黑体 四号 段前: 0 磅 段后: 0 磅 行距: 1.5 倍行距3"/>
    <w:basedOn w:val="5"/>
    <w:autoRedefine/>
    <w:qFormat/>
    <w:uiPriority w:val="0"/>
    <w:pPr>
      <w:tabs>
        <w:tab w:val="left" w:pos="720"/>
      </w:tabs>
      <w:spacing w:before="0" w:after="0" w:line="360" w:lineRule="auto"/>
      <w:ind w:left="720" w:hanging="720"/>
    </w:pPr>
    <w:rPr>
      <w:rFonts w:ascii="仿宋_GB2312" w:eastAsia="仿宋_GB2312"/>
      <w:kern w:val="0"/>
      <w:lang w:val="en-US"/>
    </w:rPr>
  </w:style>
  <w:style w:type="paragraph" w:customStyle="1" w:styleId="2320">
    <w:name w:val="样式3.1"/>
    <w:basedOn w:val="2321"/>
    <w:autoRedefine/>
    <w:qFormat/>
    <w:uiPriority w:val="99"/>
    <w:pPr>
      <w:tabs>
        <w:tab w:val="left" w:pos="0"/>
      </w:tabs>
      <w:spacing w:before="50"/>
      <w:ind w:left="1260" w:hanging="420"/>
    </w:pPr>
  </w:style>
  <w:style w:type="paragraph" w:customStyle="1" w:styleId="2321">
    <w:name w:val="样式 样式 标题2 + 段前: 0.5 行"/>
    <w:basedOn w:val="2322"/>
    <w:autoRedefine/>
    <w:qFormat/>
    <w:uiPriority w:val="99"/>
    <w:pPr>
      <w:spacing w:beforeLines="0"/>
    </w:pPr>
    <w:rPr>
      <w:bCs/>
    </w:rPr>
  </w:style>
  <w:style w:type="paragraph" w:customStyle="1" w:styleId="2322">
    <w:name w:val="样式 标题2"/>
    <w:basedOn w:val="1"/>
    <w:autoRedefine/>
    <w:qFormat/>
    <w:uiPriority w:val="99"/>
    <w:pPr>
      <w:keepNext/>
      <w:keepLines/>
      <w:spacing w:beforeLines="50" w:line="360" w:lineRule="auto"/>
      <w:outlineLvl w:val="1"/>
    </w:pPr>
    <w:rPr>
      <w:rFonts w:cs="宋体"/>
      <w:b/>
      <w:sz w:val="30"/>
      <w:szCs w:val="20"/>
    </w:rPr>
  </w:style>
  <w:style w:type="paragraph" w:customStyle="1" w:styleId="2323">
    <w:name w:val="xl73"/>
    <w:basedOn w:val="1"/>
    <w:autoRedefine/>
    <w:qFormat/>
    <w:uiPriority w:val="0"/>
    <w:pPr>
      <w:widowControl/>
      <w:pBdr>
        <w:right w:val="single" w:color="auto" w:sz="8" w:space="0"/>
      </w:pBdr>
      <w:spacing w:before="100" w:beforeAutospacing="1" w:after="100" w:afterAutospacing="1"/>
      <w:jc w:val="center"/>
    </w:pPr>
    <w:rPr>
      <w:rFonts w:ascii="宋体" w:hAnsi="宋体" w:cs="宋体"/>
      <w:kern w:val="0"/>
      <w:szCs w:val="21"/>
    </w:rPr>
  </w:style>
  <w:style w:type="paragraph" w:customStyle="1" w:styleId="2324">
    <w:name w:val="Char132"/>
    <w:basedOn w:val="1"/>
    <w:autoRedefine/>
    <w:qFormat/>
    <w:uiPriority w:val="0"/>
    <w:pPr>
      <w:ind w:left="-48"/>
    </w:pPr>
  </w:style>
  <w:style w:type="paragraph" w:customStyle="1" w:styleId="2325">
    <w:name w:val="xl74"/>
    <w:basedOn w:val="1"/>
    <w:autoRedefine/>
    <w:qFormat/>
    <w:uiPriority w:val="0"/>
    <w:pPr>
      <w:widowControl/>
      <w:pBdr>
        <w:top w:val="single" w:color="auto" w:sz="8" w:space="0"/>
        <w:left w:val="single" w:color="auto" w:sz="8" w:space="0"/>
      </w:pBdr>
      <w:spacing w:before="100" w:beforeAutospacing="1" w:after="100" w:afterAutospacing="1"/>
      <w:jc w:val="center"/>
    </w:pPr>
    <w:rPr>
      <w:rFonts w:ascii="宋体" w:hAnsi="宋体" w:cs="宋体"/>
      <w:kern w:val="0"/>
      <w:szCs w:val="21"/>
    </w:rPr>
  </w:style>
  <w:style w:type="paragraph" w:customStyle="1" w:styleId="2326">
    <w:name w:val="Char22"/>
    <w:basedOn w:val="1"/>
    <w:autoRedefine/>
    <w:qFormat/>
    <w:uiPriority w:val="0"/>
    <w:rPr>
      <w:sz w:val="24"/>
    </w:rPr>
  </w:style>
  <w:style w:type="paragraph" w:customStyle="1" w:styleId="2327">
    <w:name w:val="xl75"/>
    <w:basedOn w:val="1"/>
    <w:autoRedefine/>
    <w:qFormat/>
    <w:uiPriority w:val="0"/>
    <w:pPr>
      <w:widowControl/>
      <w:pBdr>
        <w:left w:val="single" w:color="auto" w:sz="8" w:space="0"/>
        <w:bottom w:val="single" w:color="auto" w:sz="8" w:space="0"/>
      </w:pBdr>
      <w:spacing w:before="100" w:beforeAutospacing="1" w:after="100" w:afterAutospacing="1"/>
      <w:jc w:val="center"/>
    </w:pPr>
    <w:rPr>
      <w:rFonts w:ascii="宋体" w:hAnsi="宋体" w:cs="宋体"/>
      <w:kern w:val="0"/>
      <w:szCs w:val="21"/>
    </w:rPr>
  </w:style>
  <w:style w:type="paragraph" w:customStyle="1" w:styleId="2328">
    <w:name w:val="+列表1"/>
    <w:basedOn w:val="1"/>
    <w:autoRedefine/>
    <w:qFormat/>
    <w:uiPriority w:val="0"/>
    <w:pPr>
      <w:jc w:val="center"/>
    </w:pPr>
    <w:rPr>
      <w:sz w:val="24"/>
    </w:rPr>
  </w:style>
  <w:style w:type="paragraph" w:customStyle="1" w:styleId="2329">
    <w:name w:val="xl77"/>
    <w:basedOn w:val="1"/>
    <w:autoRedefine/>
    <w:qFormat/>
    <w:uiPriority w:val="0"/>
    <w:pPr>
      <w:widowControl/>
      <w:pBdr>
        <w:top w:val="single" w:color="auto" w:sz="8" w:space="0"/>
      </w:pBdr>
      <w:spacing w:before="100" w:beforeAutospacing="1" w:after="100" w:afterAutospacing="1"/>
      <w:jc w:val="center"/>
    </w:pPr>
    <w:rPr>
      <w:rFonts w:ascii="宋体" w:hAnsi="宋体" w:cs="宋体"/>
      <w:kern w:val="0"/>
      <w:szCs w:val="21"/>
    </w:rPr>
  </w:style>
  <w:style w:type="paragraph" w:customStyle="1" w:styleId="2330">
    <w:name w:val="样式 标题 2节 + Times New Roman 四号 行距: 1.5 倍行距1"/>
    <w:basedOn w:val="4"/>
    <w:autoRedefine/>
    <w:qFormat/>
    <w:uiPriority w:val="0"/>
    <w:pPr>
      <w:tabs>
        <w:tab w:val="left" w:pos="576"/>
      </w:tabs>
      <w:spacing w:before="0" w:after="0" w:line="360" w:lineRule="auto"/>
      <w:ind w:left="576" w:hanging="576"/>
    </w:pPr>
    <w:rPr>
      <w:rFonts w:ascii="仿宋_GB2312" w:hAnsi="Times New Roman" w:eastAsia="仿宋_GB2312"/>
      <w:sz w:val="36"/>
      <w:szCs w:val="36"/>
    </w:rPr>
  </w:style>
  <w:style w:type="paragraph" w:customStyle="1" w:styleId="2331">
    <w:name w:val="列出段落11"/>
    <w:basedOn w:val="1"/>
    <w:autoRedefine/>
    <w:qFormat/>
    <w:uiPriority w:val="99"/>
    <w:pPr>
      <w:ind w:firstLine="420" w:firstLineChars="200"/>
    </w:pPr>
    <w:rPr>
      <w:szCs w:val="22"/>
    </w:rPr>
  </w:style>
  <w:style w:type="paragraph" w:customStyle="1" w:styleId="2332">
    <w:name w:val="样式 标题 4四 + Times New Roman 段前: 0 磅 段后: 0 磅 行距: 1.5 倍行距2"/>
    <w:basedOn w:val="6"/>
    <w:autoRedefine/>
    <w:qFormat/>
    <w:uiPriority w:val="0"/>
    <w:pPr>
      <w:tabs>
        <w:tab w:val="left" w:pos="360"/>
        <w:tab w:val="left" w:pos="864"/>
      </w:tabs>
      <w:spacing w:before="0" w:after="0" w:line="360" w:lineRule="auto"/>
      <w:ind w:hanging="864"/>
    </w:pPr>
    <w:rPr>
      <w:rFonts w:ascii="仿宋_GB2312" w:hAnsi="Times New Roman" w:eastAsia="仿宋_GB2312"/>
      <w:sz w:val="30"/>
      <w:szCs w:val="36"/>
    </w:rPr>
  </w:style>
  <w:style w:type="paragraph" w:customStyle="1" w:styleId="2333">
    <w:name w:val="标准"/>
    <w:basedOn w:val="1"/>
    <w:autoRedefine/>
    <w:qFormat/>
    <w:uiPriority w:val="0"/>
    <w:pPr>
      <w:adjustRightInd w:val="0"/>
      <w:spacing w:line="312" w:lineRule="atLeast"/>
      <w:jc w:val="center"/>
      <w:textAlignment w:val="baseline"/>
    </w:pPr>
    <w:rPr>
      <w:kern w:val="0"/>
      <w:szCs w:val="21"/>
    </w:rPr>
  </w:style>
  <w:style w:type="paragraph" w:customStyle="1" w:styleId="2334">
    <w:name w:val="Char92"/>
    <w:basedOn w:val="1"/>
    <w:autoRedefine/>
    <w:qFormat/>
    <w:uiPriority w:val="0"/>
    <w:pPr>
      <w:ind w:left="-48"/>
    </w:pPr>
  </w:style>
  <w:style w:type="paragraph" w:customStyle="1" w:styleId="2335">
    <w:name w:val="正文修改111"/>
    <w:basedOn w:val="193"/>
    <w:autoRedefine/>
    <w:qFormat/>
    <w:uiPriority w:val="0"/>
    <w:rPr>
      <w:rFonts w:hAnsi="宋体"/>
      <w:color w:val="000000"/>
    </w:rPr>
  </w:style>
  <w:style w:type="paragraph" w:customStyle="1" w:styleId="2336">
    <w:name w:val="xl80"/>
    <w:basedOn w:val="1"/>
    <w:autoRedefine/>
    <w:qFormat/>
    <w:uiPriority w:val="0"/>
    <w:pPr>
      <w:widowControl/>
      <w:pBdr>
        <w:bottom w:val="single" w:color="auto" w:sz="8" w:space="0"/>
      </w:pBdr>
      <w:spacing w:before="100" w:beforeAutospacing="1" w:after="100" w:afterAutospacing="1"/>
      <w:jc w:val="center"/>
      <w:textAlignment w:val="bottom"/>
    </w:pPr>
    <w:rPr>
      <w:rFonts w:ascii="宋体" w:hAnsi="宋体" w:cs="宋体"/>
      <w:kern w:val="0"/>
      <w:szCs w:val="21"/>
    </w:rPr>
  </w:style>
  <w:style w:type="paragraph" w:customStyle="1" w:styleId="2337">
    <w:name w:val="样式 表格文字 + (西文) 宋体 (中文) 华文仿宋 小四 黑色"/>
    <w:basedOn w:val="149"/>
    <w:autoRedefine/>
    <w:qFormat/>
    <w:uiPriority w:val="0"/>
    <w:pPr>
      <w:widowControl w:val="0"/>
      <w:tabs>
        <w:tab w:val="left" w:pos="560"/>
      </w:tabs>
      <w:overflowPunct w:val="0"/>
      <w:adjustRightInd w:val="0"/>
      <w:snapToGrid w:val="0"/>
      <w:spacing w:line="400" w:lineRule="exact"/>
    </w:pPr>
    <w:rPr>
      <w:rFonts w:ascii="Times New Roman" w:hAnsi="宋体" w:eastAsia="宋体" w:cs="宋体"/>
      <w:snapToGrid w:val="0"/>
      <w:color w:val="000000"/>
      <w:kern w:val="0"/>
      <w:sz w:val="21"/>
      <w:lang w:val="en-US"/>
    </w:rPr>
  </w:style>
  <w:style w:type="paragraph" w:customStyle="1" w:styleId="2338">
    <w:name w:val="样式 表头样式1 + 首行缩进:  2 字符 段前: 0.5 行"/>
    <w:basedOn w:val="2264"/>
    <w:autoRedefine/>
    <w:qFormat/>
    <w:uiPriority w:val="0"/>
    <w:pPr>
      <w:snapToGrid/>
      <w:spacing w:afterLines="0" w:afterAutospacing="1"/>
    </w:pPr>
    <w:rPr>
      <w:rFonts w:ascii="Times New Roman" w:hAnsi="Times New Roman" w:cs="宋体"/>
      <w:bCs/>
      <w:color w:val="000000"/>
      <w:lang w:eastAsia="zh-TW"/>
    </w:rPr>
  </w:style>
  <w:style w:type="paragraph" w:customStyle="1" w:styleId="2339">
    <w:name w:val="正文+首行缩进"/>
    <w:basedOn w:val="1"/>
    <w:autoRedefine/>
    <w:qFormat/>
    <w:uiPriority w:val="0"/>
    <w:pPr>
      <w:overflowPunct w:val="0"/>
      <w:topLinePunct/>
      <w:adjustRightInd w:val="0"/>
      <w:spacing w:line="460" w:lineRule="atLeast"/>
      <w:ind w:firstLine="200" w:firstLineChars="200"/>
      <w:jc w:val="left"/>
      <w:textAlignment w:val="baseline"/>
    </w:pPr>
    <w:rPr>
      <w:kern w:val="0"/>
      <w:sz w:val="28"/>
      <w:szCs w:val="20"/>
    </w:rPr>
  </w:style>
  <w:style w:type="paragraph" w:customStyle="1" w:styleId="2340">
    <w:name w:val="xl82"/>
    <w:basedOn w:val="1"/>
    <w:autoRedefine/>
    <w:qFormat/>
    <w:uiPriority w:val="0"/>
    <w:pPr>
      <w:widowControl/>
      <w:pBdr>
        <w:top w:val="single" w:color="auto" w:sz="8" w:space="0"/>
        <w:bottom w:val="single" w:color="auto" w:sz="8" w:space="0"/>
        <w:right w:val="single" w:color="auto" w:sz="8" w:space="0"/>
      </w:pBdr>
      <w:spacing w:before="100" w:beforeAutospacing="1" w:after="100" w:afterAutospacing="1"/>
      <w:jc w:val="center"/>
      <w:textAlignment w:val="bottom"/>
    </w:pPr>
    <w:rPr>
      <w:rFonts w:ascii="宋体" w:hAnsi="宋体" w:cs="宋体"/>
      <w:kern w:val="0"/>
      <w:szCs w:val="21"/>
    </w:rPr>
  </w:style>
  <w:style w:type="paragraph" w:customStyle="1" w:styleId="2341">
    <w:name w:val="样式11.4"/>
    <w:basedOn w:val="1"/>
    <w:autoRedefine/>
    <w:qFormat/>
    <w:uiPriority w:val="99"/>
    <w:pPr>
      <w:tabs>
        <w:tab w:val="left" w:pos="0"/>
      </w:tabs>
      <w:spacing w:beforeLines="50" w:line="360" w:lineRule="auto"/>
      <w:outlineLvl w:val="2"/>
    </w:pPr>
    <w:rPr>
      <w:b/>
      <w:sz w:val="28"/>
      <w:szCs w:val="28"/>
    </w:rPr>
  </w:style>
  <w:style w:type="paragraph" w:customStyle="1" w:styleId="2342">
    <w:name w:val="样式9"/>
    <w:basedOn w:val="3"/>
    <w:autoRedefine/>
    <w:qFormat/>
    <w:uiPriority w:val="0"/>
    <w:pPr>
      <w:tabs>
        <w:tab w:val="left" w:pos="360"/>
      </w:tabs>
      <w:overflowPunct/>
      <w:snapToGrid/>
      <w:spacing w:before="0" w:after="0" w:line="240" w:lineRule="auto"/>
      <w:ind w:left="0" w:firstLine="0"/>
      <w:jc w:val="center"/>
    </w:pPr>
    <w:rPr>
      <w:rFonts w:ascii="Calibri" w:hAnsi="Calibri" w:eastAsia="楷体_GB2312"/>
      <w:b w:val="0"/>
      <w:bCs w:val="0"/>
      <w:color w:val="auto"/>
      <w:kern w:val="0"/>
      <w:sz w:val="28"/>
      <w:szCs w:val="20"/>
    </w:rPr>
  </w:style>
  <w:style w:type="paragraph" w:customStyle="1" w:styleId="2343">
    <w:name w:val="正文(1)"/>
    <w:basedOn w:val="1"/>
    <w:autoRedefine/>
    <w:qFormat/>
    <w:uiPriority w:val="0"/>
    <w:pPr>
      <w:adjustRightInd w:val="0"/>
      <w:snapToGrid w:val="0"/>
      <w:spacing w:before="120" w:line="300" w:lineRule="auto"/>
      <w:ind w:firstLine="480" w:firstLineChars="200"/>
    </w:pPr>
    <w:rPr>
      <w:rFonts w:ascii="黑体" w:hAnsi="宋体" w:eastAsia="黑体"/>
      <w:b/>
      <w:snapToGrid w:val="0"/>
      <w:color w:val="339966"/>
      <w:kern w:val="0"/>
      <w:sz w:val="24"/>
    </w:rPr>
  </w:style>
  <w:style w:type="paragraph" w:customStyle="1" w:styleId="2344">
    <w:name w:val="表内文字边1"/>
    <w:basedOn w:val="1"/>
    <w:autoRedefine/>
    <w:qFormat/>
    <w:uiPriority w:val="0"/>
    <w:pPr>
      <w:widowControl/>
      <w:adjustRightInd w:val="0"/>
      <w:snapToGrid w:val="0"/>
      <w:spacing w:line="240" w:lineRule="atLeast"/>
      <w:ind w:left="-21" w:leftChars="-10" w:right="-42" w:rightChars="-20"/>
    </w:pPr>
    <w:rPr>
      <w:rFonts w:ascii="宋体"/>
      <w:kern w:val="0"/>
      <w:szCs w:val="21"/>
    </w:rPr>
  </w:style>
  <w:style w:type="paragraph" w:customStyle="1" w:styleId="2345">
    <w:name w:val="样式5"/>
    <w:basedOn w:val="34"/>
    <w:autoRedefine/>
    <w:qFormat/>
    <w:uiPriority w:val="0"/>
    <w:pPr>
      <w:widowControl w:val="0"/>
      <w:snapToGrid/>
      <w:spacing w:before="0" w:after="0" w:line="240" w:lineRule="auto"/>
      <w:ind w:right="-105" w:rightChars="-50"/>
      <w:jc w:val="center"/>
    </w:pPr>
    <w:rPr>
      <w:rFonts w:ascii="宋体" w:cs="宋体"/>
      <w:sz w:val="20"/>
      <w:szCs w:val="21"/>
      <w:lang w:val="en-US"/>
    </w:rPr>
  </w:style>
  <w:style w:type="paragraph" w:customStyle="1" w:styleId="2346">
    <w:name w:val="我的样式5"/>
    <w:basedOn w:val="1"/>
    <w:next w:val="1"/>
    <w:autoRedefine/>
    <w:qFormat/>
    <w:uiPriority w:val="0"/>
    <w:pPr>
      <w:tabs>
        <w:tab w:val="left" w:pos="360"/>
        <w:tab w:val="left" w:pos="900"/>
      </w:tabs>
      <w:spacing w:line="520" w:lineRule="exact"/>
    </w:pPr>
    <w:rPr>
      <w:sz w:val="24"/>
    </w:rPr>
  </w:style>
  <w:style w:type="paragraph" w:customStyle="1" w:styleId="2347">
    <w:name w:val="环评0.01"/>
    <w:basedOn w:val="1"/>
    <w:next w:val="34"/>
    <w:autoRedefine/>
    <w:qFormat/>
    <w:uiPriority w:val="99"/>
    <w:pPr>
      <w:adjustRightInd w:val="0"/>
      <w:snapToGrid w:val="0"/>
      <w:spacing w:line="360" w:lineRule="auto"/>
    </w:pPr>
    <w:rPr>
      <w:rFonts w:eastAsia="华文中宋"/>
      <w:sz w:val="28"/>
      <w:szCs w:val="20"/>
    </w:rPr>
  </w:style>
  <w:style w:type="paragraph" w:customStyle="1" w:styleId="2348">
    <w:name w:val="样式 表格文字 + (中文) 仿宋_GB2312"/>
    <w:basedOn w:val="149"/>
    <w:autoRedefine/>
    <w:qFormat/>
    <w:uiPriority w:val="0"/>
    <w:pPr>
      <w:snapToGrid w:val="0"/>
      <w:jc w:val="left"/>
    </w:pPr>
    <w:rPr>
      <w:rFonts w:hAnsi="仿宋_GB2312"/>
      <w:color w:val="800080"/>
      <w:kern w:val="0"/>
      <w:szCs w:val="24"/>
    </w:rPr>
  </w:style>
  <w:style w:type="paragraph" w:customStyle="1" w:styleId="2349">
    <w:name w:val="样式 标题 4 + 黑体 小四 非加粗"/>
    <w:basedOn w:val="6"/>
    <w:autoRedefine/>
    <w:qFormat/>
    <w:uiPriority w:val="0"/>
  </w:style>
  <w:style w:type="paragraph" w:customStyle="1" w:styleId="2350">
    <w:name w:val="Char Char Char Char Char Char Char2"/>
    <w:basedOn w:val="1"/>
    <w:autoRedefine/>
    <w:qFormat/>
    <w:uiPriority w:val="0"/>
    <w:rPr>
      <w:szCs w:val="20"/>
    </w:rPr>
  </w:style>
  <w:style w:type="paragraph" w:customStyle="1" w:styleId="2351">
    <w:name w:val="样式 标题 2 + 四号"/>
    <w:basedOn w:val="4"/>
    <w:autoRedefine/>
    <w:qFormat/>
    <w:uiPriority w:val="0"/>
    <w:pPr>
      <w:tabs>
        <w:tab w:val="left" w:pos="576"/>
      </w:tabs>
      <w:spacing w:before="0"/>
      <w:ind w:left="576" w:hanging="576"/>
    </w:pPr>
    <w:rPr>
      <w:rFonts w:ascii="Times New Roman" w:hAnsi="宋体"/>
      <w:b w:val="0"/>
      <w:color w:val="000000"/>
      <w:sz w:val="28"/>
      <w:szCs w:val="28"/>
    </w:rPr>
  </w:style>
  <w:style w:type="paragraph" w:customStyle="1" w:styleId="2352">
    <w:name w:val="Char Char Char Char4"/>
    <w:basedOn w:val="1"/>
    <w:autoRedefine/>
    <w:qFormat/>
    <w:uiPriority w:val="99"/>
  </w:style>
  <w:style w:type="paragraph" w:customStyle="1" w:styleId="2353">
    <w:name w:val="批注文字 Char Char"/>
    <w:basedOn w:val="1"/>
    <w:autoRedefine/>
    <w:qFormat/>
    <w:uiPriority w:val="0"/>
    <w:pPr>
      <w:spacing w:line="351" w:lineRule="atLeast"/>
      <w:ind w:firstLine="419"/>
      <w:jc w:val="left"/>
    </w:pPr>
    <w:rPr>
      <w:rFonts w:hint="eastAsia"/>
      <w:szCs w:val="20"/>
    </w:rPr>
  </w:style>
  <w:style w:type="paragraph" w:customStyle="1" w:styleId="2354">
    <w:name w:val="样式 报告表格 + 小四"/>
    <w:basedOn w:val="1"/>
    <w:autoRedefine/>
    <w:qFormat/>
    <w:uiPriority w:val="0"/>
    <w:pPr>
      <w:autoSpaceDE w:val="0"/>
      <w:autoSpaceDN w:val="0"/>
      <w:adjustRightInd w:val="0"/>
      <w:spacing w:line="400" w:lineRule="exact"/>
      <w:jc w:val="center"/>
      <w:textAlignment w:val="bottom"/>
    </w:pPr>
    <w:rPr>
      <w:kern w:val="0"/>
      <w:szCs w:val="21"/>
    </w:rPr>
  </w:style>
  <w:style w:type="paragraph" w:customStyle="1" w:styleId="2355">
    <w:name w:val="Char Char Char5"/>
    <w:basedOn w:val="1"/>
    <w:autoRedefine/>
    <w:qFormat/>
    <w:uiPriority w:val="99"/>
    <w:rPr>
      <w:sz w:val="24"/>
    </w:rPr>
  </w:style>
  <w:style w:type="paragraph" w:customStyle="1" w:styleId="2356">
    <w:name w:val="表内文字小31212"/>
    <w:basedOn w:val="1"/>
    <w:autoRedefine/>
    <w:qFormat/>
    <w:uiPriority w:val="0"/>
    <w:pPr>
      <w:adjustRightInd w:val="0"/>
      <w:snapToGrid w:val="0"/>
      <w:jc w:val="center"/>
    </w:pPr>
    <w:rPr>
      <w:rFonts w:ascii="宋体" w:hAnsi="Times" w:cs="宋体"/>
      <w:bCs/>
      <w:color w:val="003366"/>
      <w:szCs w:val="20"/>
    </w:rPr>
  </w:style>
  <w:style w:type="paragraph" w:customStyle="1" w:styleId="2357">
    <w:name w:val="样式"/>
    <w:basedOn w:val="1"/>
    <w:next w:val="1"/>
    <w:autoRedefine/>
    <w:qFormat/>
    <w:uiPriority w:val="0"/>
    <w:pPr>
      <w:ind w:firstLine="420"/>
    </w:pPr>
    <w:rPr>
      <w:rFonts w:ascii="宋体" w:hAnsi="Arial Black" w:cs="宋体"/>
      <w:sz w:val="24"/>
    </w:rPr>
  </w:style>
  <w:style w:type="paragraph" w:customStyle="1" w:styleId="2358">
    <w:name w:val="样式 样式 报告书表格 + 字距调整二号 +"/>
    <w:basedOn w:val="564"/>
    <w:autoRedefine/>
    <w:qFormat/>
    <w:uiPriority w:val="0"/>
  </w:style>
  <w:style w:type="paragraph" w:customStyle="1" w:styleId="2359">
    <w:name w:val="样式6"/>
    <w:basedOn w:val="1"/>
    <w:next w:val="1"/>
    <w:autoRedefine/>
    <w:qFormat/>
    <w:uiPriority w:val="0"/>
    <w:pPr>
      <w:spacing w:line="360" w:lineRule="auto"/>
      <w:ind w:firstLine="560"/>
    </w:pPr>
    <w:rPr>
      <w:rFonts w:ascii="宋体" w:hAnsi="宋体" w:cs="宋体"/>
      <w:sz w:val="24"/>
    </w:rPr>
  </w:style>
  <w:style w:type="paragraph" w:customStyle="1" w:styleId="2360">
    <w:name w:val="项目编号"/>
    <w:basedOn w:val="1"/>
    <w:next w:val="1"/>
    <w:autoRedefine/>
    <w:qFormat/>
    <w:uiPriority w:val="0"/>
    <w:pPr>
      <w:tabs>
        <w:tab w:val="left" w:pos="360"/>
      </w:tabs>
      <w:spacing w:before="120" w:after="120" w:line="360" w:lineRule="auto"/>
      <w:ind w:hanging="200" w:hangingChars="200"/>
    </w:pPr>
    <w:rPr>
      <w:sz w:val="24"/>
      <w:szCs w:val="20"/>
    </w:rPr>
  </w:style>
  <w:style w:type="paragraph" w:customStyle="1" w:styleId="2361">
    <w:name w:val="图编号"/>
    <w:basedOn w:val="149"/>
    <w:autoRedefine/>
    <w:qFormat/>
    <w:uiPriority w:val="0"/>
    <w:pPr>
      <w:widowControl w:val="0"/>
      <w:tabs>
        <w:tab w:val="left" w:pos="763"/>
        <w:tab w:val="left" w:pos="1440"/>
      </w:tabs>
      <w:spacing w:before="300" w:after="300" w:line="360" w:lineRule="auto"/>
      <w:ind w:left="400" w:leftChars="400" w:hanging="200" w:hangingChars="200"/>
    </w:pPr>
    <w:rPr>
      <w:rFonts w:ascii="Times New Roman" w:hAnsi="Times New Roman" w:eastAsia="宋体"/>
      <w:kern w:val="2"/>
      <w:lang w:val="en-US"/>
    </w:rPr>
  </w:style>
  <w:style w:type="paragraph" w:customStyle="1" w:styleId="2362">
    <w:name w:val="5 Char"/>
    <w:basedOn w:val="1"/>
    <w:autoRedefine/>
    <w:qFormat/>
    <w:uiPriority w:val="99"/>
    <w:rPr>
      <w:sz w:val="24"/>
    </w:rPr>
  </w:style>
  <w:style w:type="paragraph" w:customStyle="1" w:styleId="2363">
    <w:name w:val="font0"/>
    <w:basedOn w:val="1"/>
    <w:autoRedefine/>
    <w:qFormat/>
    <w:uiPriority w:val="0"/>
    <w:pPr>
      <w:widowControl/>
      <w:spacing w:before="100" w:beforeAutospacing="1" w:after="100" w:afterAutospacing="1"/>
      <w:jc w:val="left"/>
    </w:pPr>
    <w:rPr>
      <w:rFonts w:hint="eastAsia" w:ascii="宋体" w:hAnsi="宋体"/>
      <w:kern w:val="0"/>
    </w:rPr>
  </w:style>
  <w:style w:type="paragraph" w:customStyle="1" w:styleId="2364">
    <w:name w:val="目录 8 Char Char"/>
    <w:basedOn w:val="1"/>
    <w:next w:val="1"/>
    <w:autoRedefine/>
    <w:qFormat/>
    <w:uiPriority w:val="0"/>
    <w:pPr>
      <w:spacing w:line="351" w:lineRule="atLeast"/>
      <w:ind w:left="1468" w:firstLine="419"/>
      <w:jc w:val="left"/>
    </w:pPr>
    <w:rPr>
      <w:rFonts w:hint="eastAsia"/>
      <w:szCs w:val="20"/>
    </w:rPr>
  </w:style>
  <w:style w:type="paragraph" w:customStyle="1" w:styleId="2365">
    <w:name w:val="正文图五"/>
    <w:basedOn w:val="1"/>
    <w:autoRedefine/>
    <w:qFormat/>
    <w:uiPriority w:val="0"/>
    <w:pPr>
      <w:adjustRightInd w:val="0"/>
      <w:snapToGrid w:val="0"/>
      <w:spacing w:line="220" w:lineRule="exact"/>
      <w:jc w:val="center"/>
    </w:pPr>
    <w:rPr>
      <w:rFonts w:ascii="Arial" w:hAnsi="Arial" w:eastAsia="仿宋_GB2312"/>
      <w:snapToGrid w:val="0"/>
      <w:spacing w:val="6"/>
      <w:szCs w:val="21"/>
    </w:rPr>
  </w:style>
  <w:style w:type="paragraph" w:customStyle="1" w:styleId="2366">
    <w:name w:val="xl161"/>
    <w:basedOn w:val="1"/>
    <w:autoRedefine/>
    <w:qFormat/>
    <w:uiPriority w:val="99"/>
    <w:pPr>
      <w:widowControl/>
      <w:spacing w:before="100" w:beforeAutospacing="1" w:after="100" w:afterAutospacing="1"/>
      <w:jc w:val="center"/>
      <w:textAlignment w:val="center"/>
    </w:pPr>
    <w:rPr>
      <w:rFonts w:ascii="Arial Unicode MS" w:hAnsi="Arial Unicode MS"/>
      <w:kern w:val="0"/>
    </w:rPr>
  </w:style>
  <w:style w:type="paragraph" w:customStyle="1" w:styleId="2367">
    <w:name w:val="目录 5 Char Char"/>
    <w:basedOn w:val="1"/>
    <w:next w:val="1"/>
    <w:autoRedefine/>
    <w:qFormat/>
    <w:uiPriority w:val="0"/>
    <w:pPr>
      <w:spacing w:line="351" w:lineRule="atLeast"/>
      <w:ind w:left="839" w:firstLine="419"/>
      <w:jc w:val="left"/>
    </w:pPr>
    <w:rPr>
      <w:rFonts w:hint="eastAsia"/>
      <w:szCs w:val="20"/>
    </w:rPr>
  </w:style>
  <w:style w:type="paragraph" w:customStyle="1" w:styleId="2368">
    <w:name w:val="三级目录"/>
    <w:basedOn w:val="5"/>
    <w:autoRedefine/>
    <w:qFormat/>
    <w:uiPriority w:val="0"/>
    <w:pPr>
      <w:spacing w:before="0" w:after="0" w:line="360" w:lineRule="auto"/>
      <w:ind w:firstLine="200" w:firstLineChars="200"/>
    </w:pPr>
    <w:rPr>
      <w:rFonts w:ascii="宋体" w:hAnsi="宋体" w:cs="宋体"/>
      <w:kern w:val="0"/>
      <w:sz w:val="28"/>
      <w:szCs w:val="28"/>
      <w:lang w:val="en-US"/>
    </w:rPr>
  </w:style>
  <w:style w:type="paragraph" w:customStyle="1" w:styleId="2369">
    <w:name w:val="xl162"/>
    <w:basedOn w:val="1"/>
    <w:autoRedefine/>
    <w:qFormat/>
    <w:uiPriority w:val="99"/>
    <w:pPr>
      <w:widowControl/>
      <w:pBdr>
        <w:bottom w:val="single" w:color="auto" w:sz="12" w:space="0"/>
        <w:right w:val="single" w:color="auto" w:sz="12" w:space="0"/>
      </w:pBdr>
      <w:spacing w:before="100" w:beforeAutospacing="1" w:after="100" w:afterAutospacing="1"/>
      <w:jc w:val="center"/>
      <w:textAlignment w:val="center"/>
    </w:pPr>
    <w:rPr>
      <w:rFonts w:ascii="Arial Unicode MS" w:hAnsi="Arial Unicode MS"/>
      <w:kern w:val="0"/>
    </w:rPr>
  </w:style>
  <w:style w:type="paragraph" w:customStyle="1" w:styleId="2370">
    <w:name w:val="图题22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371">
    <w:name w:val="xl164"/>
    <w:basedOn w:val="1"/>
    <w:autoRedefine/>
    <w:qFormat/>
    <w:uiPriority w:val="99"/>
    <w:pPr>
      <w:widowControl/>
      <w:pBdr>
        <w:left w:val="single" w:color="auto" w:sz="12" w:space="0"/>
        <w:bottom w:val="single" w:color="auto" w:sz="12" w:space="0"/>
      </w:pBdr>
      <w:spacing w:before="100" w:beforeAutospacing="1" w:after="100" w:afterAutospacing="1"/>
      <w:jc w:val="center"/>
    </w:pPr>
    <w:rPr>
      <w:rFonts w:ascii="Arial Unicode MS" w:hAnsi="Arial Unicode MS"/>
      <w:kern w:val="0"/>
    </w:rPr>
  </w:style>
  <w:style w:type="paragraph" w:customStyle="1" w:styleId="2372">
    <w:name w:val="表内54151"/>
    <w:basedOn w:val="1"/>
    <w:autoRedefine/>
    <w:qFormat/>
    <w:uiPriority w:val="0"/>
    <w:pPr>
      <w:adjustRightInd w:val="0"/>
      <w:snapToGrid w:val="0"/>
      <w:spacing w:line="300" w:lineRule="auto"/>
      <w:jc w:val="center"/>
    </w:pPr>
    <w:rPr>
      <w:rFonts w:ascii="宋体" w:hAnsi="宋体" w:cs="宋体"/>
      <w:szCs w:val="20"/>
    </w:rPr>
  </w:style>
  <w:style w:type="paragraph" w:customStyle="1" w:styleId="2373">
    <w:name w:val="样式 正文文字 + 楷体_GB2312 四号 首行缩进:  0.93 厘米"/>
    <w:basedOn w:val="34"/>
    <w:autoRedefine/>
    <w:qFormat/>
    <w:uiPriority w:val="39"/>
    <w:pPr>
      <w:tabs>
        <w:tab w:val="left" w:pos="3360"/>
      </w:tabs>
      <w:snapToGrid/>
      <w:spacing w:before="0" w:after="0" w:line="600" w:lineRule="exact"/>
      <w:ind w:right="0" w:firstLine="570"/>
    </w:pPr>
    <w:rPr>
      <w:rFonts w:ascii="宋体" w:hAnsi="宋体"/>
      <w:color w:val="000000"/>
      <w:spacing w:val="-2"/>
      <w:sz w:val="28"/>
      <w:lang w:val="en-US"/>
    </w:rPr>
  </w:style>
  <w:style w:type="paragraph" w:customStyle="1" w:styleId="2374">
    <w:name w:val="xl165"/>
    <w:basedOn w:val="1"/>
    <w:autoRedefine/>
    <w:qFormat/>
    <w:uiPriority w:val="99"/>
    <w:pPr>
      <w:widowControl/>
      <w:pBdr>
        <w:top w:val="single" w:color="auto" w:sz="12" w:space="0"/>
        <w:right w:val="single" w:color="auto" w:sz="4" w:space="0"/>
      </w:pBdr>
      <w:spacing w:before="100" w:beforeAutospacing="1" w:after="100" w:afterAutospacing="1"/>
      <w:jc w:val="center"/>
      <w:textAlignment w:val="center"/>
    </w:pPr>
    <w:rPr>
      <w:rFonts w:ascii="Arial Unicode MS" w:hAnsi="Arial Unicode MS"/>
      <w:kern w:val="0"/>
    </w:rPr>
  </w:style>
  <w:style w:type="paragraph" w:customStyle="1" w:styleId="2375">
    <w:name w:val="Char Char1 Char Char Char Char Char Char Char Char Char Char Char Char Char Char Char Char Char Char Char Char1 Char1"/>
    <w:basedOn w:val="1"/>
    <w:autoRedefine/>
    <w:qFormat/>
    <w:uiPriority w:val="99"/>
    <w:pPr>
      <w:spacing w:line="360" w:lineRule="auto"/>
      <w:ind w:firstLine="200" w:firstLineChars="200"/>
    </w:pPr>
    <w:rPr>
      <w:sz w:val="24"/>
    </w:rPr>
  </w:style>
  <w:style w:type="paragraph" w:customStyle="1" w:styleId="2376">
    <w:name w:val="xl168"/>
    <w:basedOn w:val="1"/>
    <w:autoRedefine/>
    <w:qFormat/>
    <w:uiPriority w:val="99"/>
    <w:pPr>
      <w:widowControl/>
      <w:pBdr>
        <w:bottom w:val="single" w:color="auto" w:sz="12" w:space="0"/>
        <w:right w:val="single" w:color="auto" w:sz="4" w:space="0"/>
      </w:pBdr>
      <w:spacing w:before="100" w:beforeAutospacing="1" w:after="100" w:afterAutospacing="1"/>
      <w:jc w:val="center"/>
      <w:textAlignment w:val="center"/>
    </w:pPr>
    <w:rPr>
      <w:rFonts w:ascii="Arial Unicode MS" w:hAnsi="Arial Unicode MS"/>
      <w:kern w:val="0"/>
    </w:rPr>
  </w:style>
  <w:style w:type="paragraph" w:customStyle="1" w:styleId="2377">
    <w:name w:val="xl169"/>
    <w:basedOn w:val="1"/>
    <w:autoRedefine/>
    <w:qFormat/>
    <w:uiPriority w:val="99"/>
    <w:pPr>
      <w:widowControl/>
      <w:pBdr>
        <w:right w:val="single" w:color="auto" w:sz="4" w:space="0"/>
      </w:pBdr>
      <w:spacing w:before="100" w:beforeAutospacing="1" w:after="100" w:afterAutospacing="1"/>
      <w:jc w:val="center"/>
      <w:textAlignment w:val="center"/>
    </w:pPr>
    <w:rPr>
      <w:rFonts w:ascii="Arial Unicode MS" w:hAnsi="Arial Unicode MS"/>
      <w:kern w:val="0"/>
    </w:rPr>
  </w:style>
  <w:style w:type="paragraph" w:customStyle="1" w:styleId="2378">
    <w:name w:val="Char2111"/>
    <w:basedOn w:val="1"/>
    <w:autoRedefine/>
    <w:qFormat/>
    <w:uiPriority w:val="0"/>
    <w:pPr>
      <w:ind w:left="-48"/>
    </w:pPr>
  </w:style>
  <w:style w:type="paragraph" w:customStyle="1" w:styleId="2379">
    <w:name w:val="样式 标题 2 + 首行缩进:  2 字符"/>
    <w:basedOn w:val="3"/>
    <w:autoRedefine/>
    <w:qFormat/>
    <w:uiPriority w:val="0"/>
    <w:pPr>
      <w:tabs>
        <w:tab w:val="left" w:pos="360"/>
      </w:tabs>
      <w:overflowPunct/>
      <w:snapToGrid/>
      <w:spacing w:before="0" w:after="0" w:line="240" w:lineRule="auto"/>
      <w:ind w:left="0" w:firstLine="0"/>
      <w:jc w:val="center"/>
    </w:pPr>
    <w:rPr>
      <w:rFonts w:ascii="Calibri" w:hAnsi="Calibri" w:eastAsia="楷体_GB2312"/>
      <w:b w:val="0"/>
      <w:bCs w:val="0"/>
      <w:color w:val="auto"/>
      <w:kern w:val="0"/>
      <w:sz w:val="28"/>
      <w:szCs w:val="20"/>
    </w:rPr>
  </w:style>
  <w:style w:type="paragraph" w:customStyle="1" w:styleId="2380">
    <w:name w:val="样式 标题 2 + 首行缩进:  2 字符1"/>
    <w:basedOn w:val="4"/>
    <w:autoRedefine/>
    <w:qFormat/>
    <w:uiPriority w:val="39"/>
  </w:style>
  <w:style w:type="paragraph" w:customStyle="1" w:styleId="2381">
    <w:name w:val="xl173"/>
    <w:basedOn w:val="1"/>
    <w:autoRedefine/>
    <w:qFormat/>
    <w:uiPriority w:val="99"/>
    <w:pPr>
      <w:widowControl/>
      <w:spacing w:before="100" w:beforeAutospacing="1" w:after="100" w:afterAutospacing="1"/>
      <w:jc w:val="center"/>
      <w:textAlignment w:val="center"/>
    </w:pPr>
    <w:rPr>
      <w:rFonts w:ascii="Arial Unicode MS" w:hAnsi="Arial Unicode MS"/>
      <w:kern w:val="0"/>
    </w:rPr>
  </w:style>
  <w:style w:type="paragraph" w:customStyle="1" w:styleId="2382">
    <w:name w:val="layer2"/>
    <w:basedOn w:val="1"/>
    <w:next w:val="9"/>
    <w:autoRedefine/>
    <w:qFormat/>
    <w:uiPriority w:val="99"/>
    <w:pPr>
      <w:tabs>
        <w:tab w:val="left" w:pos="720"/>
      </w:tabs>
      <w:spacing w:before="120" w:after="120" w:line="300" w:lineRule="auto"/>
      <w:ind w:left="567" w:hanging="567"/>
    </w:pPr>
    <w:rPr>
      <w:rFonts w:eastAsia="黑体"/>
      <w:sz w:val="36"/>
      <w:szCs w:val="20"/>
    </w:rPr>
  </w:style>
  <w:style w:type="paragraph" w:customStyle="1" w:styleId="2383">
    <w:name w:val="5"/>
    <w:basedOn w:val="1"/>
    <w:next w:val="51"/>
    <w:autoRedefine/>
    <w:qFormat/>
    <w:uiPriority w:val="0"/>
    <w:pPr>
      <w:widowControl/>
      <w:ind w:left="278" w:firstLine="598"/>
    </w:pPr>
    <w:rPr>
      <w:rFonts w:ascii="宋体"/>
      <w:kern w:val="0"/>
      <w:sz w:val="28"/>
      <w:szCs w:val="20"/>
    </w:rPr>
  </w:style>
  <w:style w:type="paragraph" w:customStyle="1" w:styleId="2384">
    <w:name w:val="正文修改43"/>
    <w:basedOn w:val="193"/>
    <w:autoRedefine/>
    <w:qFormat/>
    <w:uiPriority w:val="0"/>
    <w:rPr>
      <w:rFonts w:hAnsi="宋体"/>
      <w:color w:val="000000"/>
    </w:rPr>
  </w:style>
  <w:style w:type="paragraph" w:customStyle="1" w:styleId="2385">
    <w:name w:val="图文字"/>
    <w:basedOn w:val="1"/>
    <w:autoRedefine/>
    <w:qFormat/>
    <w:uiPriority w:val="0"/>
    <w:pPr>
      <w:spacing w:line="400" w:lineRule="exact"/>
      <w:jc w:val="center"/>
    </w:pPr>
    <w:rPr>
      <w:rFonts w:ascii="宋体" w:hAnsi="宋体"/>
      <w:kern w:val="44"/>
      <w:sz w:val="24"/>
    </w:rPr>
  </w:style>
  <w:style w:type="paragraph" w:customStyle="1" w:styleId="2386">
    <w:name w:val="文本框12"/>
    <w:basedOn w:val="1"/>
    <w:autoRedefine/>
    <w:qFormat/>
    <w:uiPriority w:val="0"/>
    <w:pPr>
      <w:adjustRightInd w:val="0"/>
      <w:snapToGrid w:val="0"/>
      <w:spacing w:after="6"/>
      <w:jc w:val="center"/>
    </w:pPr>
    <w:rPr>
      <w:rFonts w:eastAsia="仿宋_GB2312"/>
    </w:rPr>
  </w:style>
  <w:style w:type="paragraph" w:customStyle="1" w:styleId="2387">
    <w:name w:val="表格03"/>
    <w:basedOn w:val="1"/>
    <w:autoRedefine/>
    <w:qFormat/>
    <w:uiPriority w:val="0"/>
    <w:pPr>
      <w:spacing w:line="400" w:lineRule="exact"/>
      <w:jc w:val="center"/>
    </w:pPr>
    <w:rPr>
      <w:color w:val="000000"/>
      <w:sz w:val="24"/>
      <w:szCs w:val="21"/>
    </w:rPr>
  </w:style>
  <w:style w:type="paragraph" w:customStyle="1" w:styleId="2388">
    <w:name w:val="燕山正文2"/>
    <w:basedOn w:val="1"/>
    <w:autoRedefine/>
    <w:qFormat/>
    <w:uiPriority w:val="0"/>
    <w:pPr>
      <w:tabs>
        <w:tab w:val="left" w:pos="4680"/>
      </w:tabs>
      <w:adjustRightInd w:val="0"/>
      <w:snapToGrid w:val="0"/>
      <w:spacing w:line="480" w:lineRule="exact"/>
    </w:pPr>
    <w:rPr>
      <w:rFonts w:ascii="宋体" w:cs="宋体"/>
      <w:sz w:val="24"/>
    </w:rPr>
  </w:style>
  <w:style w:type="paragraph" w:customStyle="1" w:styleId="2389">
    <w:name w:val="样式 样式 首行缩进:  2 字符 + 首行缩进:  2 字符2"/>
    <w:basedOn w:val="1"/>
    <w:autoRedefine/>
    <w:qFormat/>
    <w:uiPriority w:val="0"/>
    <w:pPr>
      <w:spacing w:line="440" w:lineRule="exact"/>
      <w:ind w:firstLine="584" w:firstLineChars="200"/>
    </w:pPr>
    <w:rPr>
      <w:rFonts w:eastAsia="楷体_GB2312" w:cs="宋体"/>
      <w:spacing w:val="6"/>
      <w:kern w:val="0"/>
      <w:sz w:val="28"/>
      <w:szCs w:val="20"/>
    </w:rPr>
  </w:style>
  <w:style w:type="paragraph" w:customStyle="1" w:styleId="2390">
    <w:name w:val="图题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391">
    <w:name w:val="Char Char Char Char Char Char2"/>
    <w:basedOn w:val="1"/>
    <w:autoRedefine/>
    <w:qFormat/>
    <w:uiPriority w:val="39"/>
    <w:rPr>
      <w:rFonts w:ascii="宋体" w:hAnsi="宋体"/>
      <w:sz w:val="24"/>
    </w:rPr>
  </w:style>
  <w:style w:type="paragraph" w:customStyle="1" w:styleId="2392">
    <w:name w:val="Char Char1 Char Char Char Char Char Char Char Char Char Char Char Char Char Char Char Char Char Char Char Char1 Char"/>
    <w:basedOn w:val="1"/>
    <w:autoRedefine/>
    <w:qFormat/>
    <w:uiPriority w:val="0"/>
    <w:pPr>
      <w:spacing w:before="60" w:line="360" w:lineRule="auto"/>
      <w:ind w:firstLine="200" w:firstLineChars="200"/>
    </w:pPr>
    <w:rPr>
      <w:rFonts w:ascii="宋体" w:hAnsi="宋体" w:cs="宋体"/>
      <w:sz w:val="24"/>
    </w:rPr>
  </w:style>
  <w:style w:type="paragraph" w:customStyle="1" w:styleId="2393">
    <w:name w:val="表文字524"/>
    <w:basedOn w:val="1"/>
    <w:autoRedefine/>
    <w:qFormat/>
    <w:uiPriority w:val="0"/>
    <w:pPr>
      <w:adjustRightInd w:val="0"/>
      <w:jc w:val="left"/>
      <w:textAlignment w:val="baseline"/>
    </w:pPr>
    <w:rPr>
      <w:rFonts w:ascii="宋体"/>
      <w:kern w:val="0"/>
      <w:szCs w:val="20"/>
    </w:rPr>
  </w:style>
  <w:style w:type="paragraph" w:customStyle="1" w:styleId="2394">
    <w:name w:val="Chapter"/>
    <w:basedOn w:val="3"/>
    <w:autoRedefine/>
    <w:qFormat/>
    <w:uiPriority w:val="0"/>
    <w:pPr>
      <w:tabs>
        <w:tab w:val="left" w:pos="360"/>
      </w:tabs>
      <w:overflowPunct/>
      <w:snapToGrid/>
      <w:spacing w:before="0" w:after="0" w:line="240" w:lineRule="auto"/>
      <w:ind w:left="0" w:firstLine="0"/>
      <w:jc w:val="center"/>
    </w:pPr>
    <w:rPr>
      <w:rFonts w:ascii="Calibri" w:hAnsi="Calibri" w:eastAsia="楷体_GB2312"/>
      <w:b w:val="0"/>
      <w:bCs w:val="0"/>
      <w:color w:val="auto"/>
      <w:kern w:val="0"/>
      <w:sz w:val="28"/>
      <w:szCs w:val="20"/>
    </w:rPr>
  </w:style>
  <w:style w:type="paragraph" w:customStyle="1" w:styleId="2395">
    <w:name w:val="正文2"/>
    <w:autoRedefine/>
    <w:qFormat/>
    <w:uiPriority w:val="0"/>
    <w:pPr>
      <w:widowControl w:val="0"/>
      <w:tabs>
        <w:tab w:val="left" w:pos="567"/>
      </w:tabs>
      <w:adjustRightInd w:val="0"/>
      <w:spacing w:line="360" w:lineRule="atLeast"/>
      <w:jc w:val="both"/>
      <w:textAlignment w:val="baseline"/>
    </w:pPr>
    <w:rPr>
      <w:rFonts w:ascii="Times New Roman" w:hAnsi="Courier" w:eastAsia="PMingLiU" w:cs="Times New Roman"/>
      <w:sz w:val="24"/>
      <w:lang w:val="en-US" w:eastAsia="zh-TW" w:bidi="ar-SA"/>
    </w:rPr>
  </w:style>
  <w:style w:type="paragraph" w:customStyle="1" w:styleId="2396">
    <w:name w:val="正文格式＝2"/>
    <w:basedOn w:val="418"/>
    <w:next w:val="418"/>
    <w:autoRedefine/>
    <w:qFormat/>
    <w:uiPriority w:val="0"/>
    <w:rPr>
      <w:rFonts w:ascii="宋体" w:hAnsi="宋体"/>
      <w:b w:val="0"/>
      <w:spacing w:val="0"/>
      <w:sz w:val="24"/>
      <w:szCs w:val="24"/>
    </w:rPr>
  </w:style>
  <w:style w:type="paragraph" w:customStyle="1" w:styleId="2397">
    <w:name w:val="项目编号文字"/>
    <w:basedOn w:val="1"/>
    <w:next w:val="9"/>
    <w:autoRedefine/>
    <w:qFormat/>
    <w:uiPriority w:val="0"/>
    <w:pPr>
      <w:spacing w:before="120" w:after="120" w:line="360" w:lineRule="auto"/>
      <w:ind w:left="1077"/>
    </w:pPr>
    <w:rPr>
      <w:sz w:val="24"/>
      <w:szCs w:val="20"/>
    </w:rPr>
  </w:style>
  <w:style w:type="paragraph" w:customStyle="1" w:styleId="2398">
    <w:name w:val="样式 行距: 最小值 25 磅"/>
    <w:basedOn w:val="1"/>
    <w:autoRedefine/>
    <w:qFormat/>
    <w:uiPriority w:val="0"/>
    <w:pPr>
      <w:tabs>
        <w:tab w:val="left" w:pos="425"/>
      </w:tabs>
      <w:spacing w:line="500" w:lineRule="atLeast"/>
      <w:ind w:left="425" w:hanging="425"/>
    </w:pPr>
    <w:rPr>
      <w:rFonts w:cs="宋体"/>
      <w:sz w:val="28"/>
      <w:szCs w:val="20"/>
    </w:rPr>
  </w:style>
  <w:style w:type="paragraph" w:customStyle="1" w:styleId="2399">
    <w:name w:val="表格内字体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400">
    <w:name w:val="正文文本缩进 21"/>
    <w:basedOn w:val="1"/>
    <w:autoRedefine/>
    <w:qFormat/>
    <w:uiPriority w:val="0"/>
    <w:pPr>
      <w:adjustRightInd w:val="0"/>
      <w:spacing w:line="480" w:lineRule="atLeast"/>
      <w:ind w:firstLine="630"/>
      <w:textAlignment w:val="baseline"/>
    </w:pPr>
    <w:rPr>
      <w:rFonts w:ascii="宋体"/>
      <w:sz w:val="28"/>
      <w:szCs w:val="20"/>
    </w:rPr>
  </w:style>
  <w:style w:type="paragraph" w:customStyle="1" w:styleId="2401">
    <w:name w:val="默认段落字体 Para Char Char Char Char2"/>
    <w:basedOn w:val="1"/>
    <w:autoRedefine/>
    <w:qFormat/>
    <w:uiPriority w:val="0"/>
  </w:style>
  <w:style w:type="paragraph" w:customStyle="1" w:styleId="2402">
    <w:name w:val="节标题"/>
    <w:basedOn w:val="1"/>
    <w:next w:val="2403"/>
    <w:autoRedefine/>
    <w:qFormat/>
    <w:uiPriority w:val="0"/>
    <w:pPr>
      <w:widowControl/>
      <w:spacing w:line="289" w:lineRule="atLeast"/>
      <w:jc w:val="center"/>
      <w:textAlignment w:val="baseline"/>
    </w:pPr>
    <w:rPr>
      <w:color w:val="000000"/>
      <w:kern w:val="0"/>
      <w:sz w:val="28"/>
      <w:szCs w:val="20"/>
      <w:u w:color="000000"/>
    </w:rPr>
  </w:style>
  <w:style w:type="paragraph" w:customStyle="1" w:styleId="2403">
    <w:name w:val="小节标题"/>
    <w:basedOn w:val="1"/>
    <w:next w:val="1"/>
    <w:autoRedefine/>
    <w:qFormat/>
    <w:uiPriority w:val="99"/>
    <w:pPr>
      <w:widowControl/>
      <w:spacing w:before="175" w:after="102" w:line="351" w:lineRule="atLeast"/>
      <w:textAlignment w:val="baseline"/>
    </w:pPr>
    <w:rPr>
      <w:rFonts w:eastAsia="黑体"/>
      <w:color w:val="000000"/>
      <w:kern w:val="0"/>
      <w:szCs w:val="20"/>
      <w:u w:color="000000"/>
    </w:rPr>
  </w:style>
  <w:style w:type="paragraph" w:customStyle="1" w:styleId="2404">
    <w:name w:val="福建正文缩进2"/>
    <w:basedOn w:val="9"/>
    <w:autoRedefine/>
    <w:qFormat/>
    <w:uiPriority w:val="0"/>
    <w:pPr>
      <w:widowControl/>
      <w:tabs>
        <w:tab w:val="left" w:pos="5837"/>
      </w:tabs>
      <w:adjustRightInd w:val="0"/>
      <w:snapToGrid w:val="0"/>
      <w:spacing w:line="480" w:lineRule="exact"/>
      <w:ind w:firstLine="0" w:firstLineChars="0"/>
    </w:pPr>
    <w:rPr>
      <w:rFonts w:ascii="宋体" w:hAnsi="宋体" w:cs="宋体"/>
      <w:color w:val="000000"/>
      <w:kern w:val="0"/>
      <w:sz w:val="24"/>
      <w:lang w:val="en-US"/>
    </w:rPr>
  </w:style>
  <w:style w:type="paragraph" w:customStyle="1" w:styleId="2405">
    <w:name w:val="book1_1_1_1"/>
    <w:basedOn w:val="6"/>
    <w:autoRedefine/>
    <w:qFormat/>
    <w:uiPriority w:val="0"/>
  </w:style>
  <w:style w:type="paragraph" w:customStyle="1" w:styleId="2406">
    <w:name w:val="正文表标题"/>
    <w:next w:val="1"/>
    <w:autoRedefine/>
    <w:qFormat/>
    <w:uiPriority w:val="99"/>
    <w:pPr>
      <w:tabs>
        <w:tab w:val="left" w:pos="180"/>
      </w:tabs>
      <w:ind w:left="180" w:hanging="180"/>
      <w:jc w:val="center"/>
    </w:pPr>
    <w:rPr>
      <w:rFonts w:ascii="黑体" w:hAnsi="Times New Roman" w:eastAsia="黑体" w:cs="Times New Roman"/>
      <w:sz w:val="21"/>
      <w:lang w:val="en-US" w:eastAsia="zh-CN" w:bidi="ar-SA"/>
    </w:rPr>
  </w:style>
  <w:style w:type="paragraph" w:customStyle="1" w:styleId="2407">
    <w:name w:val="表内531"/>
    <w:basedOn w:val="1"/>
    <w:autoRedefine/>
    <w:qFormat/>
    <w:uiPriority w:val="0"/>
    <w:pPr>
      <w:adjustRightInd w:val="0"/>
      <w:snapToGrid w:val="0"/>
      <w:spacing w:line="300" w:lineRule="auto"/>
      <w:jc w:val="left"/>
    </w:pPr>
    <w:rPr>
      <w:rFonts w:ascii="宋体"/>
      <w:szCs w:val="20"/>
    </w:rPr>
  </w:style>
  <w:style w:type="paragraph" w:customStyle="1" w:styleId="2408">
    <w:name w:val="表格2"/>
    <w:basedOn w:val="1"/>
    <w:autoRedefine/>
    <w:qFormat/>
    <w:uiPriority w:val="0"/>
    <w:pPr>
      <w:adjustRightInd w:val="0"/>
      <w:snapToGrid w:val="0"/>
      <w:outlineLvl w:val="0"/>
    </w:pPr>
    <w:rPr>
      <w:kern w:val="10"/>
      <w:sz w:val="24"/>
      <w:szCs w:val="20"/>
    </w:rPr>
  </w:style>
  <w:style w:type="paragraph" w:customStyle="1" w:styleId="2409">
    <w:name w:val="正文图标题"/>
    <w:next w:val="1"/>
    <w:autoRedefine/>
    <w:qFormat/>
    <w:uiPriority w:val="39"/>
    <w:pPr>
      <w:tabs>
        <w:tab w:val="left" w:pos="270"/>
      </w:tabs>
      <w:ind w:left="270" w:hanging="270"/>
      <w:jc w:val="center"/>
    </w:pPr>
    <w:rPr>
      <w:rFonts w:ascii="黑体" w:hAnsi="Times New Roman" w:eastAsia="黑体" w:cs="Times New Roman"/>
      <w:sz w:val="21"/>
      <w:lang w:val="en-US" w:eastAsia="zh-CN" w:bidi="ar-SA"/>
    </w:rPr>
  </w:style>
  <w:style w:type="paragraph" w:customStyle="1" w:styleId="2410">
    <w:name w:val="样式 标题 3条标题1.1.1h3H3level_3PIM 3Level 3 HeadHeading 3 - ol..."/>
    <w:basedOn w:val="5"/>
    <w:autoRedefine/>
    <w:qFormat/>
    <w:uiPriority w:val="99"/>
    <w:pPr>
      <w:tabs>
        <w:tab w:val="left" w:pos="720"/>
      </w:tabs>
      <w:spacing w:beforeLines="50" w:after="0" w:line="360" w:lineRule="auto"/>
      <w:ind w:left="720" w:hanging="720"/>
      <w:jc w:val="left"/>
    </w:pPr>
    <w:rPr>
      <w:rFonts w:ascii="宋体"/>
      <w:kern w:val="24"/>
      <w:sz w:val="28"/>
      <w:lang w:val="en-US"/>
    </w:rPr>
  </w:style>
  <w:style w:type="paragraph" w:customStyle="1" w:styleId="2411">
    <w:name w:val="注："/>
    <w:next w:val="1"/>
    <w:autoRedefine/>
    <w:qFormat/>
    <w:uiPriority w:val="39"/>
    <w:pPr>
      <w:widowControl w:val="0"/>
      <w:autoSpaceDE w:val="0"/>
      <w:autoSpaceDN w:val="0"/>
      <w:ind w:left="1134" w:hanging="567"/>
      <w:jc w:val="both"/>
    </w:pPr>
    <w:rPr>
      <w:rFonts w:ascii="宋体" w:hAnsi="Times New Roman" w:eastAsia="宋体" w:cs="Times New Roman"/>
      <w:sz w:val="18"/>
      <w:lang w:val="en-US" w:eastAsia="zh-CN" w:bidi="ar-SA"/>
    </w:rPr>
  </w:style>
  <w:style w:type="paragraph" w:customStyle="1" w:styleId="2412">
    <w:name w:val="默认段落字体 Para Char2"/>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2413">
    <w:name w:val="样式 标题 2"/>
    <w:basedOn w:val="5"/>
    <w:autoRedefine/>
    <w:qFormat/>
    <w:uiPriority w:val="0"/>
    <w:pPr>
      <w:ind w:left="720" w:hanging="432"/>
    </w:pPr>
    <w:rPr>
      <w:kern w:val="0"/>
      <w:lang w:val="en-US"/>
    </w:rPr>
  </w:style>
  <w:style w:type="paragraph" w:customStyle="1" w:styleId="2414">
    <w:name w:val="燕山正文3"/>
    <w:basedOn w:val="1"/>
    <w:autoRedefine/>
    <w:qFormat/>
    <w:uiPriority w:val="0"/>
    <w:pPr>
      <w:tabs>
        <w:tab w:val="left" w:pos="4680"/>
      </w:tabs>
      <w:adjustRightInd w:val="0"/>
      <w:snapToGrid w:val="0"/>
      <w:spacing w:line="480" w:lineRule="exact"/>
    </w:pPr>
    <w:rPr>
      <w:rFonts w:ascii="宋体" w:cs="宋体"/>
      <w:sz w:val="24"/>
    </w:rPr>
  </w:style>
  <w:style w:type="paragraph" w:customStyle="1" w:styleId="2415">
    <w:name w:val="p2"/>
    <w:basedOn w:val="1"/>
    <w:autoRedefine/>
    <w:qFormat/>
    <w:uiPriority w:val="99"/>
    <w:pPr>
      <w:widowControl/>
      <w:autoSpaceDE w:val="0"/>
      <w:autoSpaceDN w:val="0"/>
      <w:spacing w:line="540" w:lineRule="atLeast"/>
      <w:ind w:firstLine="596"/>
    </w:pPr>
    <w:rPr>
      <w:rFonts w:hint="eastAsia" w:ascii="華康中楷體" w:eastAsia="華康中楷體"/>
      <w:spacing w:val="20"/>
      <w:kern w:val="0"/>
      <w:sz w:val="28"/>
      <w:szCs w:val="28"/>
      <w:lang w:eastAsia="zh-TW"/>
    </w:rPr>
  </w:style>
  <w:style w:type="paragraph" w:customStyle="1" w:styleId="2416">
    <w:name w:val="Char610"/>
    <w:basedOn w:val="1"/>
    <w:autoRedefine/>
    <w:qFormat/>
    <w:uiPriority w:val="0"/>
    <w:pPr>
      <w:adjustRightInd w:val="0"/>
      <w:snapToGrid w:val="0"/>
      <w:spacing w:beforeLines="50" w:line="360" w:lineRule="auto"/>
    </w:pPr>
    <w:rPr>
      <w:rFonts w:ascii="黑体" w:eastAsia="黑体"/>
      <w:sz w:val="32"/>
      <w:szCs w:val="32"/>
    </w:rPr>
  </w:style>
  <w:style w:type="paragraph" w:customStyle="1" w:styleId="2417">
    <w:name w:val="条1"/>
    <w:basedOn w:val="1"/>
    <w:next w:val="949"/>
    <w:autoRedefine/>
    <w:qFormat/>
    <w:uiPriority w:val="99"/>
    <w:pPr>
      <w:outlineLvl w:val="1"/>
    </w:pPr>
    <w:rPr>
      <w:rFonts w:ascii="黑体" w:eastAsia="黑体"/>
      <w:kern w:val="21"/>
      <w:szCs w:val="20"/>
    </w:rPr>
  </w:style>
  <w:style w:type="paragraph" w:customStyle="1" w:styleId="2418">
    <w:name w:val="样式 标题 3 + 左侧:  0 毫米 首行缩进:  0 毫米 行距: 最小值 25 磅2"/>
    <w:basedOn w:val="5"/>
    <w:autoRedefine/>
    <w:qFormat/>
    <w:uiPriority w:val="0"/>
    <w:pPr>
      <w:ind w:left="720" w:hanging="432"/>
    </w:pPr>
    <w:rPr>
      <w:kern w:val="0"/>
      <w:lang w:val="en-US"/>
    </w:rPr>
  </w:style>
  <w:style w:type="paragraph" w:customStyle="1" w:styleId="2419">
    <w:name w:val="正文格式5"/>
    <w:basedOn w:val="1"/>
    <w:autoRedefine/>
    <w:qFormat/>
    <w:uiPriority w:val="0"/>
    <w:pPr>
      <w:spacing w:line="360" w:lineRule="auto"/>
      <w:ind w:firstLine="482"/>
    </w:pPr>
    <w:rPr>
      <w:rFonts w:ascii="宋体" w:hAnsi="宋体"/>
      <w:sz w:val="24"/>
    </w:rPr>
  </w:style>
  <w:style w:type="paragraph" w:customStyle="1" w:styleId="2420">
    <w:name w:val="样式 标题 3 + 字距调整二号 行距: 最小值 25 磅"/>
    <w:basedOn w:val="5"/>
    <w:autoRedefine/>
    <w:qFormat/>
    <w:uiPriority w:val="0"/>
    <w:pPr>
      <w:ind w:left="720" w:hanging="432"/>
    </w:pPr>
    <w:rPr>
      <w:kern w:val="0"/>
      <w:lang w:val="en-US"/>
    </w:rPr>
  </w:style>
  <w:style w:type="paragraph" w:customStyle="1" w:styleId="2421">
    <w:name w:val="小表格"/>
    <w:basedOn w:val="1"/>
    <w:autoRedefine/>
    <w:qFormat/>
    <w:uiPriority w:val="39"/>
    <w:pPr>
      <w:autoSpaceDE w:val="0"/>
      <w:autoSpaceDN w:val="0"/>
      <w:adjustRightInd w:val="0"/>
      <w:snapToGrid w:val="0"/>
      <w:jc w:val="center"/>
    </w:pPr>
    <w:rPr>
      <w:rFonts w:ascii="仿宋_GB2312"/>
      <w:kern w:val="0"/>
      <w:szCs w:val="20"/>
    </w:rPr>
  </w:style>
  <w:style w:type="paragraph" w:customStyle="1" w:styleId="2422">
    <w:name w:val="样式 样式 宋体 + 首行缩进:  2 字符1"/>
    <w:basedOn w:val="1"/>
    <w:autoRedefine/>
    <w:qFormat/>
    <w:uiPriority w:val="0"/>
    <w:pPr>
      <w:spacing w:line="360" w:lineRule="auto"/>
      <w:ind w:firstLine="480" w:firstLineChars="200"/>
      <w:jc w:val="left"/>
    </w:pPr>
    <w:rPr>
      <w:rFonts w:ascii="宋体" w:cs="宋体"/>
      <w:sz w:val="24"/>
    </w:rPr>
  </w:style>
  <w:style w:type="paragraph" w:customStyle="1" w:styleId="2423">
    <w:name w:val="正文小四 标准"/>
    <w:basedOn w:val="1"/>
    <w:autoRedefine/>
    <w:qFormat/>
    <w:uiPriority w:val="99"/>
    <w:pPr>
      <w:spacing w:beforeLines="50" w:afterLines="50" w:line="360" w:lineRule="auto"/>
      <w:ind w:firstLine="480" w:firstLineChars="200"/>
    </w:pPr>
    <w:rPr>
      <w:sz w:val="24"/>
      <w:szCs w:val="20"/>
    </w:rPr>
  </w:style>
  <w:style w:type="paragraph" w:customStyle="1" w:styleId="2424">
    <w:name w:val="表格下方正文"/>
    <w:basedOn w:val="1"/>
    <w:autoRedefine/>
    <w:qFormat/>
    <w:uiPriority w:val="0"/>
    <w:pPr>
      <w:spacing w:before="260" w:line="440" w:lineRule="exact"/>
      <w:ind w:firstLine="200" w:firstLineChars="200"/>
    </w:pPr>
    <w:rPr>
      <w:kern w:val="0"/>
      <w:sz w:val="24"/>
      <w:szCs w:val="20"/>
    </w:rPr>
  </w:style>
  <w:style w:type="paragraph" w:customStyle="1" w:styleId="2425">
    <w:name w:val="word"/>
    <w:basedOn w:val="1"/>
    <w:autoRedefine/>
    <w:qFormat/>
    <w:uiPriority w:val="99"/>
    <w:pPr>
      <w:spacing w:line="360" w:lineRule="auto"/>
      <w:ind w:firstLine="480" w:firstLineChars="200"/>
    </w:pPr>
    <w:rPr>
      <w:rFonts w:ascii="宋体" w:hAnsi="宋体"/>
      <w:color w:val="000000"/>
      <w:sz w:val="24"/>
    </w:rPr>
  </w:style>
  <w:style w:type="paragraph" w:customStyle="1" w:styleId="2426">
    <w:name w:val="Char Char Char Char Char Char Char Char Char Char2"/>
    <w:basedOn w:val="1"/>
    <w:autoRedefine/>
    <w:qFormat/>
    <w:uiPriority w:val="99"/>
    <w:rPr>
      <w:sz w:val="24"/>
    </w:rPr>
  </w:style>
  <w:style w:type="paragraph" w:customStyle="1" w:styleId="2427">
    <w:name w:val="Char Char Char Char Char Char Char Char Char Char Char1 Char Char Char Char Char Char Char Char Char Char Char Char Char Char Char Char2"/>
    <w:basedOn w:val="1"/>
    <w:autoRedefine/>
    <w:qFormat/>
    <w:uiPriority w:val="99"/>
    <w:rPr>
      <w:sz w:val="24"/>
    </w:rPr>
  </w:style>
  <w:style w:type="paragraph" w:customStyle="1" w:styleId="2428">
    <w:name w:val="燕山正文33"/>
    <w:basedOn w:val="1"/>
    <w:autoRedefine/>
    <w:qFormat/>
    <w:uiPriority w:val="0"/>
    <w:pPr>
      <w:tabs>
        <w:tab w:val="left" w:pos="4680"/>
      </w:tabs>
      <w:adjustRightInd w:val="0"/>
      <w:snapToGrid w:val="0"/>
      <w:spacing w:line="480" w:lineRule="exact"/>
    </w:pPr>
    <w:rPr>
      <w:rFonts w:ascii="宋体" w:cs="宋体"/>
      <w:sz w:val="24"/>
    </w:rPr>
  </w:style>
  <w:style w:type="paragraph" w:customStyle="1" w:styleId="2429">
    <w:name w:val="Char Char Char Char Char Char Char Char Char Char Char1 Char Char Char Char Char Char1 Char Char Char Char Char Char Char Char Char Char Char Char"/>
    <w:basedOn w:val="1"/>
    <w:autoRedefine/>
    <w:qFormat/>
    <w:uiPriority w:val="39"/>
    <w:rPr>
      <w:sz w:val="24"/>
    </w:rPr>
  </w:style>
  <w:style w:type="paragraph" w:customStyle="1" w:styleId="2430">
    <w:name w:val="样式 标题 2节 + 段前: 1 行 段后: 0.5 行1"/>
    <w:basedOn w:val="1"/>
    <w:autoRedefine/>
    <w:qFormat/>
    <w:uiPriority w:val="39"/>
    <w:pPr>
      <w:tabs>
        <w:tab w:val="left" w:pos="720"/>
      </w:tabs>
    </w:pPr>
  </w:style>
  <w:style w:type="paragraph" w:customStyle="1" w:styleId="2431">
    <w:name w:val="3xi1"/>
    <w:basedOn w:val="1"/>
    <w:autoRedefine/>
    <w:qFormat/>
    <w:uiPriority w:val="39"/>
    <w:pPr>
      <w:widowControl/>
      <w:spacing w:before="100" w:beforeAutospacing="1" w:after="100" w:afterAutospacing="1"/>
      <w:jc w:val="left"/>
    </w:pPr>
    <w:rPr>
      <w:rFonts w:ascii="宋体" w:hAnsi="宋体" w:cs="宋体"/>
      <w:kern w:val="0"/>
      <w:sz w:val="24"/>
    </w:rPr>
  </w:style>
  <w:style w:type="paragraph" w:customStyle="1" w:styleId="2432">
    <w:name w:val="默认段落字体 Para Char Char Char Char Char Char Char Char Char Char Char Char"/>
    <w:basedOn w:val="1"/>
    <w:autoRedefine/>
    <w:qFormat/>
    <w:uiPriority w:val="39"/>
    <w:rPr>
      <w:sz w:val="24"/>
    </w:rPr>
  </w:style>
  <w:style w:type="paragraph" w:customStyle="1" w:styleId="2433">
    <w:name w:val="Body Text 22"/>
    <w:basedOn w:val="1"/>
    <w:autoRedefine/>
    <w:qFormat/>
    <w:uiPriority w:val="39"/>
    <w:pPr>
      <w:adjustRightInd w:val="0"/>
      <w:spacing w:after="120"/>
      <w:ind w:left="420"/>
      <w:textAlignment w:val="baseline"/>
    </w:pPr>
    <w:rPr>
      <w:rFonts w:hint="eastAsia" w:ascii="宋体" w:hAnsi="宋体"/>
      <w:sz w:val="24"/>
      <w:szCs w:val="20"/>
    </w:rPr>
  </w:style>
  <w:style w:type="paragraph" w:customStyle="1" w:styleId="2434">
    <w:name w:val="样式 标题 1 + 段前: 1 行 段后: 1.5 行"/>
    <w:basedOn w:val="3"/>
    <w:autoRedefine/>
    <w:qFormat/>
    <w:uiPriority w:val="39"/>
    <w:pPr>
      <w:tabs>
        <w:tab w:val="left" w:pos="360"/>
      </w:tabs>
      <w:overflowPunct/>
      <w:snapToGrid/>
      <w:spacing w:before="0" w:after="0" w:line="240" w:lineRule="auto"/>
      <w:ind w:left="0" w:firstLine="0"/>
      <w:jc w:val="center"/>
    </w:pPr>
    <w:rPr>
      <w:rFonts w:ascii="Calibri" w:hAnsi="Calibri" w:eastAsia="楷体_GB2312"/>
      <w:b w:val="0"/>
      <w:bCs w:val="0"/>
      <w:color w:val="auto"/>
      <w:kern w:val="0"/>
      <w:sz w:val="28"/>
      <w:szCs w:val="20"/>
    </w:rPr>
  </w:style>
  <w:style w:type="paragraph" w:customStyle="1" w:styleId="2435">
    <w:name w:val="6表(图)头(治)"/>
    <w:next w:val="1"/>
    <w:autoRedefine/>
    <w:qFormat/>
    <w:uiPriority w:val="99"/>
    <w:pPr>
      <w:widowControl w:val="0"/>
      <w:spacing w:line="500" w:lineRule="atLeast"/>
      <w:ind w:firstLine="560" w:firstLineChars="200"/>
      <w:jc w:val="center"/>
    </w:pPr>
    <w:rPr>
      <w:rFonts w:hint="eastAsia" w:ascii="宋体" w:hAnsi="宋体" w:eastAsia="宋体" w:cs="Times New Roman"/>
      <w:sz w:val="28"/>
      <w:lang w:val="en-US" w:eastAsia="zh-CN" w:bidi="ar-SA"/>
    </w:rPr>
  </w:style>
  <w:style w:type="paragraph" w:customStyle="1" w:styleId="2436">
    <w:name w:val="Char Char Char Char Char Char Char Char Char Char Char Char Char"/>
    <w:basedOn w:val="1"/>
    <w:autoRedefine/>
    <w:qFormat/>
    <w:uiPriority w:val="0"/>
    <w:rPr>
      <w:sz w:val="24"/>
    </w:rPr>
  </w:style>
  <w:style w:type="paragraph" w:customStyle="1" w:styleId="2437">
    <w:name w:val="Char Char Char Char Char Char Char Char Char Char Char Char Char Char Char Char Char Char Char Char Char Char Char Char Char Char Char Char Char Char"/>
    <w:basedOn w:val="1"/>
    <w:autoRedefine/>
    <w:qFormat/>
    <w:uiPriority w:val="99"/>
    <w:rPr>
      <w:sz w:val="24"/>
    </w:rPr>
  </w:style>
  <w:style w:type="paragraph" w:customStyle="1" w:styleId="2438">
    <w:name w:val="Char Char Char Char Char Char Char Char Char Char Char1 Char Char Char Char"/>
    <w:basedOn w:val="1"/>
    <w:autoRedefine/>
    <w:qFormat/>
    <w:uiPriority w:val="39"/>
    <w:rPr>
      <w:sz w:val="24"/>
    </w:rPr>
  </w:style>
  <w:style w:type="paragraph" w:customStyle="1" w:styleId="2439">
    <w:name w:val="Char Char Char Char Char Char Char Char Char Char Char Char Char Char Char Char Char"/>
    <w:basedOn w:val="1"/>
    <w:autoRedefine/>
    <w:qFormat/>
    <w:uiPriority w:val="39"/>
    <w:rPr>
      <w:sz w:val="24"/>
    </w:rPr>
  </w:style>
  <w:style w:type="paragraph" w:customStyle="1" w:styleId="2440">
    <w:name w:val="Char Char Char Char Char Char Char Char Char Char Char1 Char Char Char Char Char Char1 Char"/>
    <w:basedOn w:val="1"/>
    <w:autoRedefine/>
    <w:qFormat/>
    <w:uiPriority w:val="39"/>
    <w:rPr>
      <w:sz w:val="24"/>
    </w:rPr>
  </w:style>
  <w:style w:type="paragraph" w:customStyle="1" w:styleId="2441">
    <w:name w:val="Char Char Char Char Char Char Char Char Char Char Char Char Char Char Char Char Char Char Char Char Char Char Char Char Char Char Char Char Char Char Char Char Char1 Char Char Char Char Char Char"/>
    <w:basedOn w:val="1"/>
    <w:autoRedefine/>
    <w:qFormat/>
    <w:uiPriority w:val="39"/>
    <w:rPr>
      <w:sz w:val="24"/>
    </w:rPr>
  </w:style>
  <w:style w:type="paragraph" w:customStyle="1" w:styleId="2442">
    <w:name w:val="TY"/>
    <w:basedOn w:val="1"/>
    <w:autoRedefine/>
    <w:qFormat/>
    <w:uiPriority w:val="99"/>
    <w:pPr>
      <w:adjustRightInd w:val="0"/>
      <w:snapToGrid w:val="0"/>
      <w:spacing w:before="40" w:after="40"/>
    </w:pPr>
    <w:rPr>
      <w:szCs w:val="20"/>
    </w:rPr>
  </w:style>
  <w:style w:type="paragraph" w:customStyle="1" w:styleId="2443">
    <w:name w:val="Char Char Char Char Char Char Char Char1 Char Char Char Char Char Char Char Char Char Char Char Char1 Char2"/>
    <w:basedOn w:val="1"/>
    <w:autoRedefine/>
    <w:qFormat/>
    <w:uiPriority w:val="99"/>
    <w:rPr>
      <w:sz w:val="24"/>
    </w:rPr>
  </w:style>
  <w:style w:type="paragraph" w:customStyle="1" w:styleId="2444">
    <w:name w:val="默认段落字体 Para Char Char Char"/>
    <w:basedOn w:val="1"/>
    <w:autoRedefine/>
    <w:qFormat/>
    <w:uiPriority w:val="99"/>
    <w:rPr>
      <w:sz w:val="24"/>
    </w:rPr>
  </w:style>
  <w:style w:type="paragraph" w:customStyle="1" w:styleId="2445">
    <w:name w:val="默认段落字体 Para Char Char Char1 Char1"/>
    <w:basedOn w:val="1"/>
    <w:autoRedefine/>
    <w:qFormat/>
    <w:uiPriority w:val="99"/>
    <w:rPr>
      <w:sz w:val="24"/>
    </w:rPr>
  </w:style>
  <w:style w:type="paragraph" w:customStyle="1" w:styleId="2446">
    <w:name w:val="默认段落字体 Para Char Char Char1 Char Char"/>
    <w:basedOn w:val="1"/>
    <w:autoRedefine/>
    <w:qFormat/>
    <w:uiPriority w:val="39"/>
    <w:rPr>
      <w:sz w:val="24"/>
    </w:rPr>
  </w:style>
  <w:style w:type="paragraph" w:customStyle="1" w:styleId="2447">
    <w:name w:val="Char Char Char Char Char Char Char Char Char Char Char Char Char Char Char Char Char Char Char Char Char Char Char Char Char"/>
    <w:basedOn w:val="1"/>
    <w:autoRedefine/>
    <w:qFormat/>
    <w:uiPriority w:val="0"/>
    <w:rPr>
      <w:sz w:val="24"/>
    </w:rPr>
  </w:style>
  <w:style w:type="paragraph" w:customStyle="1" w:styleId="2448">
    <w:name w:val="Body Text 23"/>
    <w:basedOn w:val="1"/>
    <w:autoRedefine/>
    <w:qFormat/>
    <w:uiPriority w:val="99"/>
    <w:pPr>
      <w:adjustRightInd w:val="0"/>
      <w:spacing w:after="120"/>
      <w:ind w:left="420"/>
      <w:textAlignment w:val="baseline"/>
    </w:pPr>
    <w:rPr>
      <w:rFonts w:hint="eastAsia" w:ascii="宋体" w:hAnsi="宋体"/>
      <w:sz w:val="24"/>
      <w:szCs w:val="20"/>
    </w:rPr>
  </w:style>
  <w:style w:type="paragraph" w:customStyle="1" w:styleId="2449">
    <w:name w:val="Char Char Char Char Char Char Char Char Char Char Char Char Char Char Char Char Char1 Char"/>
    <w:basedOn w:val="1"/>
    <w:autoRedefine/>
    <w:qFormat/>
    <w:uiPriority w:val="99"/>
    <w:rPr>
      <w:sz w:val="24"/>
    </w:rPr>
  </w:style>
  <w:style w:type="paragraph" w:customStyle="1" w:styleId="2450">
    <w:name w:val="样式 标题 1 + (中文) 宋体 小三 行距: 多倍行距 1.35 字行"/>
    <w:basedOn w:val="3"/>
    <w:autoRedefine/>
    <w:qFormat/>
    <w:uiPriority w:val="0"/>
    <w:pPr>
      <w:tabs>
        <w:tab w:val="left" w:pos="360"/>
      </w:tabs>
      <w:overflowPunct/>
      <w:snapToGrid/>
      <w:spacing w:before="0" w:after="0" w:line="240" w:lineRule="auto"/>
      <w:ind w:left="0" w:firstLine="0"/>
      <w:jc w:val="center"/>
    </w:pPr>
    <w:rPr>
      <w:rFonts w:ascii="Calibri" w:hAnsi="Calibri" w:eastAsia="楷体_GB2312"/>
      <w:b w:val="0"/>
      <w:bCs w:val="0"/>
      <w:color w:val="auto"/>
      <w:kern w:val="0"/>
      <w:sz w:val="28"/>
      <w:szCs w:val="20"/>
    </w:rPr>
  </w:style>
  <w:style w:type="paragraph" w:customStyle="1" w:styleId="2451">
    <w:name w:val="页脚 Char Char"/>
    <w:basedOn w:val="1"/>
    <w:autoRedefine/>
    <w:qFormat/>
    <w:uiPriority w:val="0"/>
    <w:pPr>
      <w:tabs>
        <w:tab w:val="left" w:pos="4149"/>
        <w:tab w:val="left" w:pos="8016"/>
      </w:tabs>
      <w:spacing w:line="351" w:lineRule="atLeast"/>
      <w:ind w:firstLine="419"/>
      <w:jc w:val="left"/>
    </w:pPr>
    <w:rPr>
      <w:rFonts w:hint="eastAsia"/>
      <w:sz w:val="18"/>
      <w:szCs w:val="20"/>
    </w:rPr>
  </w:style>
  <w:style w:type="paragraph" w:customStyle="1" w:styleId="2452">
    <w:name w:val="样式 列表"/>
    <w:basedOn w:val="66"/>
    <w:autoRedefine/>
    <w:qFormat/>
    <w:uiPriority w:val="39"/>
    <w:pPr>
      <w:spacing w:line="280" w:lineRule="exact"/>
      <w:ind w:left="0" w:right="0" w:rightChars="0"/>
    </w:pPr>
    <w:rPr>
      <w:rFonts w:ascii="Times New Roman" w:eastAsia="方正仿宋_GBK" w:cs="宋体"/>
      <w:szCs w:val="20"/>
    </w:rPr>
  </w:style>
  <w:style w:type="paragraph" w:customStyle="1" w:styleId="2453">
    <w:name w:val="小四左齐"/>
    <w:basedOn w:val="1"/>
    <w:autoRedefine/>
    <w:qFormat/>
    <w:uiPriority w:val="39"/>
    <w:pPr>
      <w:overflowPunct w:val="0"/>
      <w:adjustRightInd w:val="0"/>
      <w:snapToGrid w:val="0"/>
      <w:jc w:val="left"/>
      <w:textAlignment w:val="top"/>
    </w:pPr>
    <w:rPr>
      <w:rFonts w:eastAsia="仿宋_GB2312"/>
      <w:snapToGrid w:val="0"/>
      <w:kern w:val="0"/>
      <w:sz w:val="24"/>
    </w:rPr>
  </w:style>
  <w:style w:type="paragraph" w:customStyle="1" w:styleId="2454">
    <w:name w:val="目录 7 Char Char"/>
    <w:basedOn w:val="1"/>
    <w:next w:val="1"/>
    <w:autoRedefine/>
    <w:qFormat/>
    <w:uiPriority w:val="0"/>
    <w:pPr>
      <w:spacing w:line="351" w:lineRule="atLeast"/>
      <w:ind w:left="1258" w:firstLine="419"/>
      <w:jc w:val="left"/>
    </w:pPr>
    <w:rPr>
      <w:rFonts w:hint="eastAsia"/>
      <w:szCs w:val="20"/>
    </w:rPr>
  </w:style>
  <w:style w:type="paragraph" w:customStyle="1" w:styleId="2455">
    <w:name w:val="Char40"/>
    <w:basedOn w:val="1"/>
    <w:autoRedefine/>
    <w:qFormat/>
    <w:uiPriority w:val="0"/>
    <w:pPr>
      <w:ind w:left="-48"/>
    </w:pPr>
  </w:style>
  <w:style w:type="paragraph" w:customStyle="1" w:styleId="2456">
    <w:name w:val="环标3"/>
    <w:basedOn w:val="5"/>
    <w:autoRedefine/>
    <w:qFormat/>
    <w:uiPriority w:val="0"/>
    <w:pPr>
      <w:ind w:left="720" w:hanging="432"/>
    </w:pPr>
    <w:rPr>
      <w:kern w:val="0"/>
      <w:lang w:val="en-US"/>
    </w:rPr>
  </w:style>
  <w:style w:type="paragraph" w:customStyle="1" w:styleId="2457">
    <w:name w:val="TabHead"/>
    <w:basedOn w:val="1"/>
    <w:autoRedefine/>
    <w:qFormat/>
    <w:uiPriority w:val="99"/>
    <w:pPr>
      <w:spacing w:line="360" w:lineRule="auto"/>
      <w:ind w:firstLine="480" w:firstLineChars="200"/>
      <w:jc w:val="center"/>
    </w:pPr>
    <w:rPr>
      <w:sz w:val="24"/>
      <w:szCs w:val="20"/>
    </w:rPr>
  </w:style>
  <w:style w:type="paragraph" w:customStyle="1" w:styleId="2458">
    <w:name w:val="环评表样式1"/>
    <w:basedOn w:val="84"/>
    <w:autoRedefine/>
    <w:qFormat/>
    <w:uiPriority w:val="99"/>
    <w:pPr>
      <w:widowControl w:val="0"/>
      <w:adjustRightInd w:val="0"/>
      <w:spacing w:before="360" w:after="360" w:line="160" w:lineRule="atLeast"/>
      <w:ind w:left="0" w:right="0" w:firstLine="0"/>
      <w:textAlignment w:val="baseline"/>
    </w:pPr>
    <w:rPr>
      <w:rFonts w:ascii="黑体" w:hAnsi="Arial" w:eastAsia="黑体"/>
      <w:bCs w:val="0"/>
      <w:color w:val="auto"/>
      <w:sz w:val="48"/>
      <w:szCs w:val="20"/>
    </w:rPr>
  </w:style>
  <w:style w:type="paragraph" w:customStyle="1" w:styleId="2459">
    <w:name w:val="宏福正文"/>
    <w:basedOn w:val="34"/>
    <w:autoRedefine/>
    <w:qFormat/>
    <w:uiPriority w:val="99"/>
    <w:pPr>
      <w:widowControl w:val="0"/>
      <w:adjustRightInd w:val="0"/>
      <w:spacing w:before="240" w:after="0" w:line="400" w:lineRule="atLeast"/>
      <w:ind w:right="0" w:firstLine="624"/>
      <w:jc w:val="center"/>
    </w:pPr>
    <w:rPr>
      <w:snapToGrid w:val="0"/>
      <w:color w:val="000000"/>
      <w:spacing w:val="12"/>
      <w:kern w:val="28"/>
      <w:sz w:val="28"/>
      <w:lang w:val="en-US"/>
    </w:rPr>
  </w:style>
  <w:style w:type="paragraph" w:customStyle="1" w:styleId="2460">
    <w:name w:val="药标2"/>
    <w:basedOn w:val="4"/>
    <w:autoRedefine/>
    <w:qFormat/>
    <w:uiPriority w:val="39"/>
  </w:style>
  <w:style w:type="paragraph" w:customStyle="1" w:styleId="2461">
    <w:name w:val="普通 (Web)17"/>
    <w:basedOn w:val="1"/>
    <w:autoRedefine/>
    <w:qFormat/>
    <w:uiPriority w:val="39"/>
    <w:pPr>
      <w:widowControl/>
      <w:spacing w:before="100" w:beforeAutospacing="1" w:after="100" w:afterAutospacing="1"/>
      <w:jc w:val="left"/>
    </w:pPr>
    <w:rPr>
      <w:rFonts w:ascii="Arial Unicode MS" w:hAnsi="Arial Unicode MS" w:eastAsia="Times New Roman"/>
      <w:kern w:val="0"/>
      <w:sz w:val="18"/>
      <w:szCs w:val="18"/>
    </w:rPr>
  </w:style>
  <w:style w:type="paragraph" w:customStyle="1" w:styleId="2462">
    <w:name w:val="宋体"/>
    <w:basedOn w:val="1"/>
    <w:autoRedefine/>
    <w:qFormat/>
    <w:uiPriority w:val="39"/>
    <w:rPr>
      <w:rFonts w:ascii="宋体" w:hAnsi="宋体"/>
      <w:szCs w:val="21"/>
    </w:rPr>
  </w:style>
  <w:style w:type="paragraph" w:customStyle="1" w:styleId="2463">
    <w:name w:val="b"/>
    <w:basedOn w:val="1"/>
    <w:autoRedefine/>
    <w:qFormat/>
    <w:uiPriority w:val="39"/>
    <w:pPr>
      <w:widowControl/>
      <w:spacing w:before="100" w:beforeAutospacing="1" w:after="100" w:afterAutospacing="1"/>
      <w:jc w:val="left"/>
    </w:pPr>
    <w:rPr>
      <w:rFonts w:ascii="宋体" w:hAnsi="宋体"/>
      <w:b/>
      <w:bCs/>
      <w:kern w:val="0"/>
      <w:sz w:val="27"/>
      <w:szCs w:val="27"/>
    </w:rPr>
  </w:style>
  <w:style w:type="paragraph" w:customStyle="1" w:styleId="2464">
    <w:name w:val="Body Text Indent1"/>
    <w:basedOn w:val="1"/>
    <w:autoRedefine/>
    <w:qFormat/>
    <w:uiPriority w:val="39"/>
    <w:pPr>
      <w:spacing w:after="120" w:line="360" w:lineRule="auto"/>
      <w:ind w:left="420" w:leftChars="200" w:firstLine="200" w:firstLineChars="200"/>
    </w:pPr>
    <w:rPr>
      <w:sz w:val="24"/>
    </w:rPr>
  </w:style>
  <w:style w:type="paragraph" w:customStyle="1" w:styleId="2465">
    <w:name w:val="InstÀÀll5"/>
    <w:autoRedefine/>
    <w:qFormat/>
    <w:uiPriority w:val="39"/>
    <w:pPr>
      <w:tabs>
        <w:tab w:val="left" w:pos="-720"/>
      </w:tabs>
      <w:suppressAutoHyphens/>
      <w:jc w:val="both"/>
    </w:pPr>
    <w:rPr>
      <w:rFonts w:ascii="Courier" w:hAnsi="Courier" w:eastAsia="宋体" w:cs="Times New Roman"/>
      <w:spacing w:val="-3"/>
      <w:sz w:val="24"/>
      <w:lang w:val="en-US" w:eastAsia="sv-SE" w:bidi="ar-SA"/>
    </w:rPr>
  </w:style>
  <w:style w:type="paragraph" w:customStyle="1" w:styleId="2466">
    <w:name w:val="表后文"/>
    <w:basedOn w:val="1"/>
    <w:autoRedefine/>
    <w:qFormat/>
    <w:uiPriority w:val="0"/>
    <w:pPr>
      <w:adjustRightInd w:val="0"/>
      <w:spacing w:before="120" w:line="360" w:lineRule="auto"/>
      <w:ind w:firstLine="493"/>
      <w:textAlignment w:val="baseline"/>
    </w:pPr>
    <w:rPr>
      <w:rFonts w:ascii="宋体" w:hAnsi="宋体"/>
      <w:spacing w:val="-2"/>
      <w:kern w:val="0"/>
      <w:sz w:val="24"/>
      <w:szCs w:val="20"/>
    </w:rPr>
  </w:style>
  <w:style w:type="paragraph" w:customStyle="1" w:styleId="2467">
    <w:name w:val="原料"/>
    <w:basedOn w:val="1"/>
    <w:autoRedefine/>
    <w:qFormat/>
    <w:uiPriority w:val="39"/>
    <w:pPr>
      <w:adjustRightInd w:val="0"/>
      <w:spacing w:line="315" w:lineRule="atLeast"/>
      <w:jc w:val="left"/>
      <w:textAlignment w:val="baseline"/>
    </w:pPr>
    <w:rPr>
      <w:rFonts w:ascii="宋体" w:hAnsi="宋体"/>
      <w:spacing w:val="-2"/>
      <w:kern w:val="0"/>
      <w:sz w:val="28"/>
      <w:szCs w:val="20"/>
    </w:rPr>
  </w:style>
  <w:style w:type="paragraph" w:customStyle="1" w:styleId="2468">
    <w:name w:val="文章总标题"/>
    <w:basedOn w:val="1"/>
    <w:next w:val="2206"/>
    <w:autoRedefine/>
    <w:qFormat/>
    <w:uiPriority w:val="99"/>
    <w:pPr>
      <w:widowControl/>
      <w:spacing w:before="566" w:after="544" w:line="566" w:lineRule="atLeast"/>
      <w:jc w:val="center"/>
      <w:textAlignment w:val="baseline"/>
    </w:pPr>
    <w:rPr>
      <w:rFonts w:ascii="Arial" w:eastAsia="黑体"/>
      <w:color w:val="000000"/>
      <w:kern w:val="0"/>
      <w:sz w:val="54"/>
      <w:szCs w:val="20"/>
      <w:u w:color="000000"/>
    </w:rPr>
  </w:style>
  <w:style w:type="paragraph" w:customStyle="1" w:styleId="2469">
    <w:name w:val="样式1）"/>
    <w:basedOn w:val="7"/>
    <w:autoRedefine/>
    <w:qFormat/>
    <w:uiPriority w:val="0"/>
  </w:style>
  <w:style w:type="paragraph" w:customStyle="1" w:styleId="2470">
    <w:name w:val="Char Char1 Char Char Char Char Char Char"/>
    <w:basedOn w:val="1"/>
    <w:autoRedefine/>
    <w:qFormat/>
    <w:uiPriority w:val="0"/>
  </w:style>
  <w:style w:type="paragraph" w:customStyle="1" w:styleId="2471">
    <w:name w:val="样式 标题 3 + 左侧:  0 毫米 首行缩进:  0 毫米 行距: 最小值 25 磅1"/>
    <w:basedOn w:val="5"/>
    <w:autoRedefine/>
    <w:qFormat/>
    <w:uiPriority w:val="0"/>
    <w:pPr>
      <w:ind w:left="720" w:hanging="432"/>
    </w:pPr>
    <w:rPr>
      <w:kern w:val="0"/>
      <w:lang w:val="en-US"/>
    </w:rPr>
  </w:style>
  <w:style w:type="paragraph" w:customStyle="1" w:styleId="2472">
    <w:name w:val="样式 标题 4 + 行距: 最小值 25 磅"/>
    <w:basedOn w:val="6"/>
    <w:autoRedefine/>
    <w:qFormat/>
    <w:uiPriority w:val="0"/>
  </w:style>
  <w:style w:type="paragraph" w:customStyle="1" w:styleId="2473">
    <w:name w:val="Char4"/>
    <w:basedOn w:val="1"/>
    <w:autoRedefine/>
    <w:qFormat/>
    <w:uiPriority w:val="0"/>
    <w:rPr>
      <w:sz w:val="24"/>
    </w:rPr>
  </w:style>
  <w:style w:type="paragraph" w:customStyle="1" w:styleId="2474">
    <w:name w:val="Char Char Char Char Char Char Char Char Char1 Char Char Char Char Char Char1 Char"/>
    <w:basedOn w:val="1"/>
    <w:autoRedefine/>
    <w:qFormat/>
    <w:uiPriority w:val="0"/>
    <w:rPr>
      <w:szCs w:val="21"/>
    </w:rPr>
  </w:style>
  <w:style w:type="paragraph" w:customStyle="1" w:styleId="2475">
    <w:name w:val="样式 (西文) 仿宋_GB2312 (中文) 仿宋_GB2312 四号 首行缩进:  0.98 厘米 行距: 固定值 2..."/>
    <w:basedOn w:val="26"/>
    <w:next w:val="26"/>
    <w:autoRedefine/>
    <w:qFormat/>
    <w:uiPriority w:val="0"/>
    <w:pPr>
      <w:shd w:val="clear" w:color="auto" w:fill="auto"/>
      <w:spacing w:line="480" w:lineRule="exact"/>
      <w:ind w:firstLine="555"/>
    </w:pPr>
    <w:rPr>
      <w:rFonts w:ascii="仿宋_GB2312" w:eastAsia="仿宋_GB2312" w:cs="宋体"/>
      <w:sz w:val="44"/>
      <w:szCs w:val="20"/>
    </w:rPr>
  </w:style>
  <w:style w:type="paragraph" w:customStyle="1" w:styleId="2476">
    <w:name w:val="条题"/>
    <w:basedOn w:val="9"/>
    <w:next w:val="9"/>
    <w:autoRedefine/>
    <w:qFormat/>
    <w:uiPriority w:val="0"/>
    <w:pPr>
      <w:tabs>
        <w:tab w:val="left" w:pos="0"/>
        <w:tab w:val="left" w:pos="425"/>
      </w:tabs>
      <w:spacing w:line="360" w:lineRule="auto"/>
      <w:ind w:left="425" w:firstLine="0" w:firstLineChars="0"/>
    </w:pPr>
    <w:rPr>
      <w:bCs/>
      <w:kern w:val="0"/>
      <w:sz w:val="24"/>
      <w:szCs w:val="20"/>
      <w:lang w:val="en-US"/>
    </w:rPr>
  </w:style>
  <w:style w:type="paragraph" w:customStyle="1" w:styleId="2477">
    <w:name w:val="正文.112"/>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2478">
    <w:name w:val="Char Char Char1 Char Char Char1 Char Char Char1 Char"/>
    <w:basedOn w:val="1"/>
    <w:autoRedefine/>
    <w:qFormat/>
    <w:uiPriority w:val="0"/>
    <w:pPr>
      <w:spacing w:line="400" w:lineRule="exact"/>
      <w:ind w:firstLine="200" w:firstLineChars="200"/>
    </w:pPr>
    <w:rPr>
      <w:sz w:val="28"/>
      <w:szCs w:val="28"/>
    </w:rPr>
  </w:style>
  <w:style w:type="paragraph" w:customStyle="1" w:styleId="2479">
    <w:name w:val="广西炼油"/>
    <w:basedOn w:val="1"/>
    <w:autoRedefine/>
    <w:qFormat/>
    <w:uiPriority w:val="0"/>
    <w:pPr>
      <w:spacing w:beforeLines="5" w:line="360" w:lineRule="auto"/>
      <w:ind w:firstLine="480"/>
    </w:pPr>
    <w:rPr>
      <w:rFonts w:ascii="宋体" w:hAnsi="宋体"/>
      <w:sz w:val="24"/>
      <w:szCs w:val="20"/>
    </w:rPr>
  </w:style>
  <w:style w:type="paragraph" w:customStyle="1" w:styleId="2480">
    <w:name w:val="三标题"/>
    <w:basedOn w:val="5"/>
    <w:autoRedefine/>
    <w:qFormat/>
    <w:uiPriority w:val="99"/>
    <w:pPr>
      <w:spacing w:before="0" w:after="0" w:line="360" w:lineRule="auto"/>
    </w:pPr>
    <w:rPr>
      <w:rFonts w:ascii="宋体" w:hAnsi="宋体"/>
      <w:kern w:val="0"/>
      <w:sz w:val="28"/>
      <w:lang w:val="en-US"/>
    </w:rPr>
  </w:style>
  <w:style w:type="paragraph" w:customStyle="1" w:styleId="2481">
    <w:name w:val="样式 标题 31.1.1标题 3 + Times New Roman 自动设置 段前: 0.2 行 段后: 0.2 行"/>
    <w:basedOn w:val="5"/>
    <w:autoRedefine/>
    <w:qFormat/>
    <w:uiPriority w:val="0"/>
    <w:pPr>
      <w:ind w:left="720" w:hanging="432"/>
    </w:pPr>
    <w:rPr>
      <w:kern w:val="0"/>
      <w:lang w:val="en-US"/>
    </w:rPr>
  </w:style>
  <w:style w:type="paragraph" w:customStyle="1" w:styleId="2482">
    <w:name w:val="表样式1.1"/>
    <w:basedOn w:val="1"/>
    <w:autoRedefine/>
    <w:qFormat/>
    <w:uiPriority w:val="0"/>
    <w:pPr>
      <w:autoSpaceDE w:val="0"/>
      <w:autoSpaceDN w:val="0"/>
      <w:adjustRightInd w:val="0"/>
      <w:snapToGrid w:val="0"/>
      <w:spacing w:line="374" w:lineRule="exact"/>
      <w:jc w:val="center"/>
    </w:pPr>
    <w:rPr>
      <w:rFonts w:ascii="宋体" w:hAnsi="宋体"/>
      <w:color w:val="000000"/>
      <w:kern w:val="0"/>
      <w:szCs w:val="20"/>
    </w:rPr>
  </w:style>
  <w:style w:type="paragraph" w:customStyle="1" w:styleId="2483">
    <w:name w:val="中表格"/>
    <w:basedOn w:val="1"/>
    <w:autoRedefine/>
    <w:qFormat/>
    <w:uiPriority w:val="0"/>
    <w:pPr>
      <w:spacing w:line="420" w:lineRule="exact"/>
      <w:jc w:val="center"/>
    </w:pPr>
    <w:rPr>
      <w:rFonts w:ascii="宋体" w:hAnsi="Arial"/>
      <w:sz w:val="24"/>
      <w:szCs w:val="20"/>
    </w:rPr>
  </w:style>
  <w:style w:type="paragraph" w:customStyle="1" w:styleId="2484">
    <w:name w:val="正文（行首缩进2字）"/>
    <w:basedOn w:val="1"/>
    <w:autoRedefine/>
    <w:qFormat/>
    <w:uiPriority w:val="0"/>
    <w:pPr>
      <w:spacing w:line="360" w:lineRule="auto"/>
      <w:ind w:firstLine="200" w:firstLineChars="200"/>
    </w:pPr>
    <w:rPr>
      <w:sz w:val="28"/>
      <w:szCs w:val="20"/>
    </w:rPr>
  </w:style>
  <w:style w:type="paragraph" w:customStyle="1" w:styleId="2485">
    <w:name w:val="样式 标题 2节第一章 标题 2Heading 2 HiddenHeading 2 CCBSheading 2H2...1"/>
    <w:basedOn w:val="4"/>
    <w:autoRedefine/>
    <w:qFormat/>
    <w:uiPriority w:val="0"/>
  </w:style>
  <w:style w:type="paragraph" w:customStyle="1" w:styleId="2486">
    <w:name w:val="样式16"/>
    <w:basedOn w:val="1"/>
    <w:autoRedefine/>
    <w:qFormat/>
    <w:uiPriority w:val="0"/>
    <w:pPr>
      <w:tabs>
        <w:tab w:val="left" w:pos="0"/>
        <w:tab w:val="left" w:pos="432"/>
      </w:tabs>
      <w:spacing w:line="360" w:lineRule="auto"/>
      <w:ind w:left="825" w:firstLine="200" w:firstLineChars="200"/>
    </w:pPr>
    <w:rPr>
      <w:rFonts w:ascii="宋体" w:hAnsi="宋体"/>
      <w:color w:val="000000"/>
      <w:sz w:val="24"/>
      <w:szCs w:val="21"/>
    </w:rPr>
  </w:style>
  <w:style w:type="paragraph" w:customStyle="1" w:styleId="2487">
    <w:name w:val="标题004"/>
    <w:basedOn w:val="2292"/>
    <w:autoRedefine/>
    <w:qFormat/>
    <w:uiPriority w:val="0"/>
    <w:pPr>
      <w:ind w:firstLine="0"/>
      <w:outlineLvl w:val="3"/>
    </w:pPr>
    <w:rPr>
      <w:b/>
    </w:rPr>
  </w:style>
  <w:style w:type="paragraph" w:customStyle="1" w:styleId="2488">
    <w:name w:val="样式 图表"/>
    <w:basedOn w:val="1"/>
    <w:autoRedefine/>
    <w:qFormat/>
    <w:uiPriority w:val="0"/>
    <w:pPr>
      <w:adjustRightInd w:val="0"/>
      <w:spacing w:line="360" w:lineRule="auto"/>
      <w:jc w:val="center"/>
      <w:textAlignment w:val="baseline"/>
    </w:pPr>
    <w:rPr>
      <w:b/>
      <w:kern w:val="0"/>
      <w:sz w:val="24"/>
      <w:szCs w:val="20"/>
    </w:rPr>
  </w:style>
  <w:style w:type="paragraph" w:customStyle="1" w:styleId="2489">
    <w:name w:val="我的正文 Char Char"/>
    <w:basedOn w:val="1"/>
    <w:autoRedefine/>
    <w:qFormat/>
    <w:uiPriority w:val="0"/>
    <w:pPr>
      <w:spacing w:line="480" w:lineRule="exact"/>
      <w:ind w:firstLine="200" w:firstLineChars="200"/>
    </w:pPr>
    <w:rPr>
      <w:sz w:val="24"/>
    </w:rPr>
  </w:style>
  <w:style w:type="paragraph" w:customStyle="1" w:styleId="2490">
    <w:name w:val="xl241"/>
    <w:basedOn w:val="1"/>
    <w:autoRedefine/>
    <w:qFormat/>
    <w:uiPriority w:val="0"/>
    <w:pPr>
      <w:widowControl/>
      <w:pBdr>
        <w:bottom w:val="single" w:color="auto" w:sz="4" w:space="0"/>
        <w:right w:val="single" w:color="auto" w:sz="4" w:space="0"/>
      </w:pBdr>
      <w:spacing w:before="100" w:beforeAutospacing="1" w:after="100" w:afterAutospacing="1"/>
      <w:jc w:val="center"/>
    </w:pPr>
    <w:rPr>
      <w:kern w:val="0"/>
      <w:szCs w:val="21"/>
    </w:rPr>
  </w:style>
  <w:style w:type="paragraph" w:customStyle="1" w:styleId="2491">
    <w:name w:val="表样式1"/>
    <w:basedOn w:val="1"/>
    <w:autoRedefine/>
    <w:qFormat/>
    <w:uiPriority w:val="0"/>
    <w:pPr>
      <w:spacing w:line="360" w:lineRule="auto"/>
      <w:jc w:val="center"/>
    </w:pPr>
    <w:rPr>
      <w:rFonts w:ascii="宋体" w:hAnsi="宋体"/>
      <w:color w:val="000000"/>
      <w:szCs w:val="20"/>
    </w:rPr>
  </w:style>
  <w:style w:type="paragraph" w:customStyle="1" w:styleId="2492">
    <w:name w:val="自正文1"/>
    <w:basedOn w:val="1"/>
    <w:autoRedefine/>
    <w:qFormat/>
    <w:uiPriority w:val="0"/>
    <w:pPr>
      <w:tabs>
        <w:tab w:val="left" w:pos="5670"/>
      </w:tabs>
      <w:textAlignment w:val="baseline"/>
    </w:pPr>
    <w:rPr>
      <w:rFonts w:ascii="宋体" w:hAnsi="宋体"/>
      <w:kern w:val="24"/>
      <w:sz w:val="30"/>
      <w:szCs w:val="20"/>
    </w:rPr>
  </w:style>
  <w:style w:type="paragraph" w:customStyle="1" w:styleId="2493">
    <w:name w:val="样式 标题 3条标题1.1.1条标题1.1.11条标题1.1.12条标题1.1.13条标题1.1.111条标题1.1..."/>
    <w:basedOn w:val="5"/>
    <w:autoRedefine/>
    <w:qFormat/>
    <w:uiPriority w:val="0"/>
    <w:pPr>
      <w:ind w:left="720" w:hanging="432"/>
    </w:pPr>
    <w:rPr>
      <w:kern w:val="0"/>
      <w:lang w:val="en-US"/>
    </w:rPr>
  </w:style>
  <w:style w:type="paragraph" w:customStyle="1" w:styleId="2494">
    <w:name w:val="正文文本缩进 311"/>
    <w:basedOn w:val="1"/>
    <w:autoRedefine/>
    <w:qFormat/>
    <w:uiPriority w:val="99"/>
    <w:pPr>
      <w:spacing w:after="120"/>
      <w:ind w:left="420" w:leftChars="200"/>
    </w:pPr>
    <w:rPr>
      <w:rFonts w:eastAsia="仿宋_GB2312"/>
      <w:sz w:val="16"/>
      <w:szCs w:val="16"/>
    </w:rPr>
  </w:style>
  <w:style w:type="paragraph" w:customStyle="1" w:styleId="2495">
    <w:name w:val="Char Char Char Char Char Char Char Char Char Char1 Char Char"/>
    <w:basedOn w:val="1"/>
    <w:autoRedefine/>
    <w:qFormat/>
    <w:uiPriority w:val="0"/>
    <w:pPr>
      <w:spacing w:line="240" w:lineRule="exact"/>
      <w:ind w:firstLine="200" w:firstLineChars="200"/>
    </w:pPr>
    <w:rPr>
      <w:sz w:val="28"/>
      <w:szCs w:val="28"/>
    </w:rPr>
  </w:style>
  <w:style w:type="paragraph" w:customStyle="1" w:styleId="2496">
    <w:name w:val="样式 报告书表格 + 小五 底端: (单实线 自动设置  0.75 磅 行宽)"/>
    <w:basedOn w:val="1"/>
    <w:autoRedefine/>
    <w:qFormat/>
    <w:uiPriority w:val="0"/>
    <w:pPr>
      <w:adjustRightInd w:val="0"/>
      <w:spacing w:line="400" w:lineRule="exact"/>
      <w:jc w:val="center"/>
      <w:textAlignment w:val="baseline"/>
    </w:pPr>
    <w:rPr>
      <w:rFonts w:eastAsia="仿宋_GB2312" w:cs="宋体"/>
      <w:kern w:val="0"/>
      <w:sz w:val="18"/>
      <w:szCs w:val="18"/>
    </w:rPr>
  </w:style>
  <w:style w:type="paragraph" w:customStyle="1" w:styleId="2497">
    <w:name w:val="表格文字五"/>
    <w:basedOn w:val="1"/>
    <w:autoRedefine/>
    <w:qFormat/>
    <w:uiPriority w:val="0"/>
    <w:pPr>
      <w:adjustRightInd w:val="0"/>
      <w:snapToGrid w:val="0"/>
      <w:spacing w:beforeLines="20" w:afterLines="20"/>
      <w:jc w:val="center"/>
    </w:pPr>
    <w:rPr>
      <w:rFonts w:eastAsia="仿宋_GB2312"/>
      <w:snapToGrid w:val="0"/>
      <w:szCs w:val="21"/>
    </w:rPr>
  </w:style>
  <w:style w:type="paragraph" w:customStyle="1" w:styleId="2498">
    <w:name w:val="正文-标准"/>
    <w:basedOn w:val="1"/>
    <w:autoRedefine/>
    <w:qFormat/>
    <w:uiPriority w:val="0"/>
    <w:pPr>
      <w:spacing w:line="500" w:lineRule="exact"/>
      <w:ind w:firstLine="200" w:firstLineChars="200"/>
    </w:pPr>
    <w:rPr>
      <w:sz w:val="24"/>
    </w:rPr>
  </w:style>
  <w:style w:type="paragraph" w:customStyle="1" w:styleId="2499">
    <w:name w:val="表格结尾"/>
    <w:basedOn w:val="1"/>
    <w:autoRedefine/>
    <w:qFormat/>
    <w:uiPriority w:val="0"/>
    <w:pPr>
      <w:snapToGrid w:val="0"/>
      <w:spacing w:line="0" w:lineRule="atLeast"/>
    </w:pPr>
    <w:rPr>
      <w:kern w:val="0"/>
      <w:sz w:val="10"/>
    </w:rPr>
  </w:style>
  <w:style w:type="paragraph" w:customStyle="1" w:styleId="2500">
    <w:name w:val="样式 标题 4 + 段前: 7.8 磅"/>
    <w:basedOn w:val="6"/>
    <w:autoRedefine/>
    <w:qFormat/>
    <w:uiPriority w:val="0"/>
  </w:style>
  <w:style w:type="paragraph" w:customStyle="1" w:styleId="2501">
    <w:name w:val="日期11"/>
    <w:basedOn w:val="1"/>
    <w:next w:val="1"/>
    <w:autoRedefine/>
    <w:qFormat/>
    <w:uiPriority w:val="99"/>
    <w:rPr>
      <w:rFonts w:eastAsia="仿宋_GB2312"/>
      <w:sz w:val="30"/>
      <w:szCs w:val="20"/>
    </w:rPr>
  </w:style>
  <w:style w:type="paragraph" w:customStyle="1" w:styleId="2502">
    <w:name w:val="样式 标题 3 + (西文)粗体"/>
    <w:basedOn w:val="5"/>
    <w:autoRedefine/>
    <w:qFormat/>
    <w:uiPriority w:val="0"/>
    <w:pPr>
      <w:ind w:left="720" w:hanging="432"/>
    </w:pPr>
    <w:rPr>
      <w:kern w:val="0"/>
      <w:lang w:val="en-US"/>
    </w:rPr>
  </w:style>
  <w:style w:type="paragraph" w:customStyle="1" w:styleId="2503">
    <w:name w:val="页眉 Char Char"/>
    <w:basedOn w:val="1"/>
    <w:autoRedefine/>
    <w:qFormat/>
    <w:uiPriority w:val="0"/>
    <w:pPr>
      <w:tabs>
        <w:tab w:val="left" w:pos="4149"/>
        <w:tab w:val="left" w:pos="8016"/>
      </w:tabs>
      <w:spacing w:line="351" w:lineRule="atLeast"/>
      <w:ind w:firstLine="419"/>
      <w:jc w:val="center"/>
    </w:pPr>
    <w:rPr>
      <w:rFonts w:hint="eastAsia"/>
      <w:sz w:val="18"/>
      <w:szCs w:val="20"/>
    </w:rPr>
  </w:style>
  <w:style w:type="paragraph" w:customStyle="1" w:styleId="2504">
    <w:name w:val="tian"/>
    <w:basedOn w:val="1"/>
    <w:autoRedefine/>
    <w:qFormat/>
    <w:uiPriority w:val="0"/>
    <w:rPr>
      <w:sz w:val="24"/>
      <w:szCs w:val="20"/>
    </w:rPr>
  </w:style>
  <w:style w:type="paragraph" w:customStyle="1" w:styleId="2505">
    <w:name w:val="日期 Char Char"/>
    <w:basedOn w:val="1"/>
    <w:next w:val="1"/>
    <w:autoRedefine/>
    <w:qFormat/>
    <w:uiPriority w:val="0"/>
    <w:pPr>
      <w:spacing w:line="351" w:lineRule="atLeast"/>
      <w:ind w:firstLine="419"/>
    </w:pPr>
    <w:rPr>
      <w:rFonts w:hint="eastAsia" w:eastAsia="仿宋_GB2312"/>
      <w:sz w:val="31"/>
      <w:szCs w:val="20"/>
    </w:rPr>
  </w:style>
  <w:style w:type="paragraph" w:customStyle="1" w:styleId="2506">
    <w:name w:val="正文表头"/>
    <w:basedOn w:val="1"/>
    <w:next w:val="1725"/>
    <w:autoRedefine/>
    <w:qFormat/>
    <w:uiPriority w:val="0"/>
    <w:pPr>
      <w:keepNext/>
      <w:tabs>
        <w:tab w:val="center" w:pos="4253"/>
        <w:tab w:val="right" w:pos="8505"/>
      </w:tabs>
      <w:overflowPunct w:val="0"/>
      <w:adjustRightInd w:val="0"/>
      <w:spacing w:before="120" w:line="360" w:lineRule="auto"/>
      <w:jc w:val="center"/>
      <w:textAlignment w:val="baseline"/>
    </w:pPr>
    <w:rPr>
      <w:rFonts w:eastAsia="黑体"/>
      <w:kern w:val="0"/>
      <w:sz w:val="28"/>
      <w:szCs w:val="20"/>
    </w:rPr>
  </w:style>
  <w:style w:type="paragraph" w:customStyle="1" w:styleId="2507">
    <w:name w:val="正文首行缩进 Char Char"/>
    <w:basedOn w:val="1"/>
    <w:autoRedefine/>
    <w:qFormat/>
    <w:uiPriority w:val="0"/>
    <w:pPr>
      <w:spacing w:line="606" w:lineRule="atLeast"/>
      <w:ind w:firstLine="538"/>
    </w:pPr>
    <w:rPr>
      <w:rFonts w:hint="eastAsia"/>
      <w:sz w:val="24"/>
      <w:szCs w:val="20"/>
    </w:rPr>
  </w:style>
  <w:style w:type="paragraph" w:customStyle="1" w:styleId="2508">
    <w:name w:val="目录 6 Char Char"/>
    <w:basedOn w:val="1"/>
    <w:next w:val="1"/>
    <w:autoRedefine/>
    <w:qFormat/>
    <w:uiPriority w:val="0"/>
    <w:pPr>
      <w:spacing w:line="351" w:lineRule="atLeast"/>
      <w:ind w:left="1048" w:firstLine="419"/>
      <w:jc w:val="left"/>
    </w:pPr>
    <w:rPr>
      <w:rFonts w:hint="eastAsia"/>
      <w:szCs w:val="20"/>
    </w:rPr>
  </w:style>
  <w:style w:type="paragraph" w:customStyle="1" w:styleId="2509">
    <w:name w:val="目录fuxi"/>
    <w:basedOn w:val="1"/>
    <w:autoRedefine/>
    <w:qFormat/>
    <w:uiPriority w:val="0"/>
    <w:pPr>
      <w:snapToGrid w:val="0"/>
      <w:spacing w:before="60" w:after="60"/>
      <w:jc w:val="center"/>
    </w:pPr>
    <w:rPr>
      <w:rFonts w:hint="eastAsia" w:ascii="宋体"/>
      <w:outline/>
      <w:color w:val="000000"/>
      <w:szCs w:val="20"/>
      <w14:textOutline w14:w="9525" w14:cap="flat" w14:cmpd="sng" w14:algn="ctr">
        <w14:solidFill>
          <w14:srgbClr w14:val="000000"/>
        </w14:solidFill>
        <w14:prstDash w14:val="solid"/>
        <w14:round/>
      </w14:textOutline>
      <w14:textFill>
        <w14:noFill/>
      </w14:textFill>
    </w:rPr>
  </w:style>
  <w:style w:type="paragraph" w:customStyle="1" w:styleId="2510">
    <w:name w:val="标准12"/>
    <w:basedOn w:val="1"/>
    <w:autoRedefine/>
    <w:qFormat/>
    <w:uiPriority w:val="0"/>
    <w:pPr>
      <w:adjustRightInd w:val="0"/>
      <w:spacing w:before="120" w:line="336" w:lineRule="auto"/>
      <w:jc w:val="center"/>
      <w:textAlignment w:val="baseline"/>
    </w:pPr>
    <w:rPr>
      <w:rFonts w:ascii="黑体" w:eastAsia="黑体"/>
      <w:szCs w:val="20"/>
    </w:rPr>
  </w:style>
  <w:style w:type="paragraph" w:customStyle="1" w:styleId="2511">
    <w:name w:val="gy"/>
    <w:basedOn w:val="1"/>
    <w:autoRedefine/>
    <w:qFormat/>
    <w:uiPriority w:val="0"/>
    <w:pPr>
      <w:widowControl/>
      <w:spacing w:before="100" w:beforeAutospacing="1" w:after="100" w:afterAutospacing="1" w:line="360" w:lineRule="auto"/>
      <w:ind w:left="150" w:right="150" w:firstLine="520"/>
      <w:jc w:val="left"/>
    </w:pPr>
    <w:rPr>
      <w:rFonts w:ascii="Arial Unicode MS" w:hAnsi="Arial Unicode MS" w:eastAsia="Arial Unicode MS"/>
      <w:kern w:val="0"/>
      <w:sz w:val="18"/>
      <w:szCs w:val="20"/>
    </w:rPr>
  </w:style>
  <w:style w:type="paragraph" w:customStyle="1" w:styleId="2512">
    <w:name w:val="居中"/>
    <w:basedOn w:val="1"/>
    <w:autoRedefine/>
    <w:qFormat/>
    <w:uiPriority w:val="0"/>
    <w:pPr>
      <w:spacing w:line="440" w:lineRule="exact"/>
      <w:jc w:val="center"/>
    </w:pPr>
    <w:rPr>
      <w:sz w:val="24"/>
      <w:szCs w:val="20"/>
    </w:rPr>
  </w:style>
  <w:style w:type="paragraph" w:customStyle="1" w:styleId="2513">
    <w:name w:val="Char4 Char Char Char Char Char Char Char Char Char Char Char Char Char Char Char Char Char1 Char Char Char Char Char Char1 Char Char Char Char Char Char Char Char Char Char Char Char Char Char Char Char"/>
    <w:basedOn w:val="1"/>
    <w:autoRedefine/>
    <w:qFormat/>
    <w:uiPriority w:val="0"/>
    <w:pPr>
      <w:spacing w:line="240" w:lineRule="exact"/>
      <w:ind w:firstLine="200" w:firstLineChars="200"/>
    </w:pPr>
    <w:rPr>
      <w:sz w:val="28"/>
      <w:szCs w:val="28"/>
    </w:rPr>
  </w:style>
  <w:style w:type="paragraph" w:customStyle="1" w:styleId="2514">
    <w:name w:val="样式 正文缩进 + 宋体 黑色12"/>
    <w:basedOn w:val="9"/>
    <w:autoRedefine/>
    <w:qFormat/>
    <w:uiPriority w:val="0"/>
    <w:pPr>
      <w:spacing w:line="360" w:lineRule="auto"/>
      <w:ind w:firstLine="200"/>
      <w:jc w:val="left"/>
    </w:pPr>
    <w:rPr>
      <w:rFonts w:ascii="宋体" w:hAnsi="宋体"/>
      <w:color w:val="000000"/>
      <w:kern w:val="0"/>
      <w:sz w:val="24"/>
      <w:lang w:val="en-US"/>
    </w:rPr>
  </w:style>
  <w:style w:type="paragraph" w:customStyle="1" w:styleId="2515">
    <w:name w:val="字元2"/>
    <w:basedOn w:val="1"/>
    <w:autoRedefine/>
    <w:qFormat/>
    <w:uiPriority w:val="0"/>
    <w:rPr>
      <w:sz w:val="24"/>
    </w:rPr>
  </w:style>
  <w:style w:type="paragraph" w:customStyle="1" w:styleId="2516">
    <w:name w:val="9 Char Char Char6 Char"/>
    <w:basedOn w:val="1"/>
    <w:autoRedefine/>
    <w:qFormat/>
    <w:uiPriority w:val="0"/>
    <w:pPr>
      <w:spacing w:line="240" w:lineRule="exact"/>
      <w:ind w:firstLine="200" w:firstLineChars="200"/>
    </w:pPr>
    <w:rPr>
      <w:sz w:val="28"/>
      <w:szCs w:val="28"/>
    </w:rPr>
  </w:style>
  <w:style w:type="paragraph" w:customStyle="1" w:styleId="2517">
    <w:name w:val="表格文本"/>
    <w:basedOn w:val="1"/>
    <w:next w:val="1"/>
    <w:autoRedefine/>
    <w:qFormat/>
    <w:uiPriority w:val="0"/>
    <w:pPr>
      <w:spacing w:before="60" w:after="60" w:line="312" w:lineRule="auto"/>
      <w:jc w:val="center"/>
    </w:pPr>
    <w:rPr>
      <w:rFonts w:ascii="Arial" w:hAnsi="Arial"/>
      <w:kern w:val="0"/>
    </w:rPr>
  </w:style>
  <w:style w:type="paragraph" w:customStyle="1" w:styleId="2518">
    <w:name w:val="Char102"/>
    <w:basedOn w:val="1"/>
    <w:autoRedefine/>
    <w:qFormat/>
    <w:uiPriority w:val="0"/>
    <w:pPr>
      <w:adjustRightInd w:val="0"/>
      <w:snapToGrid w:val="0"/>
      <w:spacing w:line="360" w:lineRule="auto"/>
    </w:pPr>
  </w:style>
  <w:style w:type="paragraph" w:customStyle="1" w:styleId="2519">
    <w:name w:val="表内文字小1"/>
    <w:basedOn w:val="1"/>
    <w:autoRedefine/>
    <w:qFormat/>
    <w:uiPriority w:val="0"/>
    <w:pPr>
      <w:adjustRightInd w:val="0"/>
      <w:snapToGrid w:val="0"/>
      <w:jc w:val="center"/>
    </w:pPr>
    <w:rPr>
      <w:rFonts w:ascii="宋体" w:hAnsi="Times"/>
      <w:szCs w:val="20"/>
    </w:rPr>
  </w:style>
  <w:style w:type="paragraph" w:customStyle="1" w:styleId="2520">
    <w:name w:val="黑体三号41"/>
    <w:basedOn w:val="418"/>
    <w:autoRedefine/>
    <w:qFormat/>
    <w:uiPriority w:val="0"/>
    <w:pPr>
      <w:jc w:val="center"/>
    </w:pPr>
    <w:rPr>
      <w:rFonts w:ascii="黑体" w:hAnsi="宋体" w:eastAsia="黑体" w:cs="宋体"/>
      <w:bCs/>
      <w:spacing w:val="0"/>
      <w:sz w:val="32"/>
    </w:rPr>
  </w:style>
  <w:style w:type="paragraph" w:customStyle="1" w:styleId="2521">
    <w:name w:val="表文字512"/>
    <w:basedOn w:val="1"/>
    <w:autoRedefine/>
    <w:qFormat/>
    <w:uiPriority w:val="0"/>
    <w:pPr>
      <w:adjustRightInd w:val="0"/>
      <w:jc w:val="left"/>
      <w:textAlignment w:val="baseline"/>
    </w:pPr>
    <w:rPr>
      <w:rFonts w:ascii="宋体"/>
      <w:kern w:val="0"/>
      <w:szCs w:val="20"/>
    </w:rPr>
  </w:style>
  <w:style w:type="paragraph" w:customStyle="1" w:styleId="2522">
    <w:name w:val="小五"/>
    <w:autoRedefine/>
    <w:qFormat/>
    <w:uiPriority w:val="0"/>
    <w:pPr>
      <w:autoSpaceDE w:val="0"/>
      <w:autoSpaceDN w:val="0"/>
      <w:adjustRightInd w:val="0"/>
      <w:snapToGrid w:val="0"/>
      <w:spacing w:line="360" w:lineRule="auto"/>
      <w:jc w:val="both"/>
    </w:pPr>
    <w:rPr>
      <w:rFonts w:ascii="Times New Roman" w:hAnsi="Times New Roman" w:eastAsia="仿宋_GB2312" w:cs="Times New Roman"/>
      <w:sz w:val="21"/>
      <w:szCs w:val="21"/>
      <w:lang w:val="en-US" w:eastAsia="zh-CN" w:bidi="ar-SA"/>
    </w:rPr>
  </w:style>
  <w:style w:type="paragraph" w:customStyle="1" w:styleId="2523">
    <w:name w:val="正文格式＝4"/>
    <w:basedOn w:val="418"/>
    <w:next w:val="418"/>
    <w:autoRedefine/>
    <w:qFormat/>
    <w:uiPriority w:val="0"/>
    <w:rPr>
      <w:rFonts w:ascii="宋体" w:hAnsi="宋体"/>
      <w:b w:val="0"/>
      <w:spacing w:val="0"/>
      <w:sz w:val="24"/>
      <w:szCs w:val="24"/>
    </w:rPr>
  </w:style>
  <w:style w:type="paragraph" w:customStyle="1" w:styleId="2524">
    <w:name w:val="xl6312"/>
    <w:basedOn w:val="1"/>
    <w:autoRedefine/>
    <w:qFormat/>
    <w:uiPriority w:val="0"/>
    <w:pPr>
      <w:widowControl/>
      <w:spacing w:before="100" w:beforeAutospacing="1" w:after="100" w:afterAutospacing="1"/>
      <w:jc w:val="center"/>
      <w:textAlignment w:val="center"/>
    </w:pPr>
    <w:rPr>
      <w:rFonts w:hint="eastAsia" w:ascii="黑体" w:hAnsi="宋体" w:eastAsia="黑体"/>
      <w:kern w:val="0"/>
      <w:sz w:val="24"/>
    </w:rPr>
  </w:style>
  <w:style w:type="paragraph" w:customStyle="1" w:styleId="2525">
    <w:name w:val="表内文字小213"/>
    <w:basedOn w:val="1"/>
    <w:autoRedefine/>
    <w:qFormat/>
    <w:uiPriority w:val="0"/>
    <w:pPr>
      <w:adjustRightInd w:val="0"/>
      <w:snapToGrid w:val="0"/>
      <w:jc w:val="center"/>
      <w:textAlignment w:val="baseline"/>
    </w:pPr>
    <w:rPr>
      <w:rFonts w:ascii="宋体" w:hAnsi="Times"/>
      <w:bCs/>
      <w:color w:val="000000"/>
      <w:szCs w:val="20"/>
    </w:rPr>
  </w:style>
  <w:style w:type="paragraph" w:customStyle="1" w:styleId="2526">
    <w:name w:val="Char Char Char1 Char Char Char Char Char Char Char Char Char Char Char Char Char Char Char1 Char Char Char Char Char Char Char Char Char Char Char Char"/>
    <w:basedOn w:val="1"/>
    <w:autoRedefine/>
    <w:qFormat/>
    <w:uiPriority w:val="0"/>
    <w:rPr>
      <w:szCs w:val="21"/>
    </w:rPr>
  </w:style>
  <w:style w:type="paragraph" w:customStyle="1" w:styleId="2527">
    <w:name w:val="日期41"/>
    <w:basedOn w:val="1"/>
    <w:next w:val="1"/>
    <w:autoRedefine/>
    <w:qFormat/>
    <w:uiPriority w:val="39"/>
    <w:rPr>
      <w:rFonts w:eastAsia="仿宋_GB2312"/>
      <w:sz w:val="30"/>
      <w:szCs w:val="20"/>
    </w:rPr>
  </w:style>
  <w:style w:type="paragraph" w:customStyle="1" w:styleId="2528">
    <w:name w:val="9 Char Char Char1"/>
    <w:basedOn w:val="1"/>
    <w:autoRedefine/>
    <w:qFormat/>
    <w:uiPriority w:val="0"/>
    <w:pPr>
      <w:spacing w:line="240" w:lineRule="exact"/>
      <w:ind w:firstLine="200" w:firstLineChars="200"/>
    </w:pPr>
    <w:rPr>
      <w:sz w:val="28"/>
      <w:szCs w:val="28"/>
    </w:rPr>
  </w:style>
  <w:style w:type="paragraph" w:customStyle="1" w:styleId="2529">
    <w:name w:val="燕山正文12"/>
    <w:basedOn w:val="1"/>
    <w:autoRedefine/>
    <w:qFormat/>
    <w:uiPriority w:val="0"/>
    <w:pPr>
      <w:tabs>
        <w:tab w:val="left" w:pos="4680"/>
      </w:tabs>
      <w:adjustRightInd w:val="0"/>
      <w:snapToGrid w:val="0"/>
      <w:spacing w:line="480" w:lineRule="exact"/>
    </w:pPr>
    <w:rPr>
      <w:rFonts w:ascii="宋体" w:cs="宋体"/>
      <w:sz w:val="24"/>
    </w:rPr>
  </w:style>
  <w:style w:type="paragraph" w:customStyle="1" w:styleId="2530">
    <w:name w:val="图题注12"/>
    <w:basedOn w:val="22"/>
    <w:autoRedefine/>
    <w:qFormat/>
    <w:uiPriority w:val="0"/>
    <w:pPr>
      <w:widowControl w:val="0"/>
      <w:spacing w:after="0" w:line="240" w:lineRule="auto"/>
      <w:ind w:left="0" w:right="0" w:firstLine="0"/>
      <w:jc w:val="center"/>
    </w:pPr>
    <w:rPr>
      <w:rFonts w:ascii="黑体" w:hAnsi="Arial" w:cs="宋体"/>
      <w:b/>
      <w:bCs/>
      <w:color w:val="auto"/>
      <w:sz w:val="24"/>
      <w:szCs w:val="24"/>
    </w:rPr>
  </w:style>
  <w:style w:type="paragraph" w:customStyle="1" w:styleId="2531">
    <w:name w:val="zheng"/>
    <w:basedOn w:val="1"/>
    <w:autoRedefine/>
    <w:qFormat/>
    <w:uiPriority w:val="0"/>
    <w:pPr>
      <w:spacing w:line="440" w:lineRule="exact"/>
      <w:ind w:firstLine="480" w:firstLineChars="200"/>
    </w:pPr>
    <w:rPr>
      <w:sz w:val="24"/>
    </w:rPr>
  </w:style>
  <w:style w:type="paragraph" w:customStyle="1" w:styleId="2532">
    <w:name w:val="表格内字体23"/>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533">
    <w:name w:val="a3"/>
    <w:basedOn w:val="1"/>
    <w:autoRedefine/>
    <w:qFormat/>
    <w:uiPriority w:val="0"/>
    <w:pPr>
      <w:widowControl/>
      <w:spacing w:before="100" w:beforeAutospacing="1" w:after="100" w:afterAutospacing="1"/>
      <w:jc w:val="left"/>
    </w:pPr>
    <w:rPr>
      <w:rFonts w:ascii="宋体" w:hAnsi="宋体"/>
      <w:color w:val="000000"/>
      <w:kern w:val="0"/>
      <w:sz w:val="24"/>
    </w:rPr>
  </w:style>
  <w:style w:type="paragraph" w:customStyle="1" w:styleId="2534">
    <w:name w:val="正文图"/>
    <w:basedOn w:val="1"/>
    <w:autoRedefine/>
    <w:qFormat/>
    <w:uiPriority w:val="0"/>
    <w:pPr>
      <w:adjustRightInd w:val="0"/>
      <w:snapToGrid w:val="0"/>
      <w:jc w:val="center"/>
      <w:textAlignment w:val="baseline"/>
    </w:pPr>
    <w:rPr>
      <w:rFonts w:ascii="宋体"/>
      <w:kern w:val="0"/>
      <w:sz w:val="24"/>
      <w:szCs w:val="20"/>
    </w:rPr>
  </w:style>
  <w:style w:type="paragraph" w:customStyle="1" w:styleId="2535">
    <w:name w:val="默认段落字体 Para Char Char Char Char21"/>
    <w:basedOn w:val="1"/>
    <w:autoRedefine/>
    <w:qFormat/>
    <w:uiPriority w:val="0"/>
  </w:style>
  <w:style w:type="paragraph" w:customStyle="1" w:styleId="2536">
    <w:name w:val="样式 表格内字体1 +"/>
    <w:basedOn w:val="2537"/>
    <w:next w:val="417"/>
    <w:autoRedefine/>
    <w:qFormat/>
    <w:uiPriority w:val="0"/>
    <w:rPr>
      <w:rFonts w:hAnsi="Times New Roman" w:cs="宋体"/>
      <w:szCs w:val="20"/>
    </w:rPr>
  </w:style>
  <w:style w:type="paragraph" w:customStyle="1" w:styleId="2537">
    <w:name w:val="表格内字体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538">
    <w:name w:val="Char1 Char Char Char Char Char Char Char Char"/>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2539">
    <w:name w:val="大纲封面"/>
    <w:basedOn w:val="1"/>
    <w:autoRedefine/>
    <w:qFormat/>
    <w:uiPriority w:val="0"/>
    <w:pPr>
      <w:spacing w:line="360" w:lineRule="auto"/>
      <w:jc w:val="center"/>
    </w:pPr>
    <w:rPr>
      <w:rFonts w:ascii="宋体" w:eastAsia="楷体_GB2312"/>
      <w:b/>
      <w:spacing w:val="100"/>
      <w:sz w:val="72"/>
    </w:rPr>
  </w:style>
  <w:style w:type="paragraph" w:customStyle="1" w:styleId="2540">
    <w:name w:val="Char Char6 Char Char Char Char Char Char Char Char Char Char Char Char Char Char Char Char Char Char Char Char"/>
    <w:basedOn w:val="1"/>
    <w:autoRedefine/>
    <w:qFormat/>
    <w:uiPriority w:val="0"/>
    <w:rPr>
      <w:szCs w:val="21"/>
    </w:rPr>
  </w:style>
  <w:style w:type="paragraph" w:customStyle="1" w:styleId="2541">
    <w:name w:val="黑体三号21"/>
    <w:basedOn w:val="418"/>
    <w:autoRedefine/>
    <w:qFormat/>
    <w:uiPriority w:val="0"/>
    <w:pPr>
      <w:jc w:val="center"/>
    </w:pPr>
    <w:rPr>
      <w:rFonts w:ascii="黑体" w:hAnsi="宋体" w:eastAsia="黑体" w:cs="宋体"/>
      <w:bCs/>
      <w:spacing w:val="0"/>
      <w:sz w:val="32"/>
    </w:rPr>
  </w:style>
  <w:style w:type="paragraph" w:customStyle="1" w:styleId="2542">
    <w:name w:val="正文格式912"/>
    <w:basedOn w:val="1"/>
    <w:autoRedefine/>
    <w:qFormat/>
    <w:uiPriority w:val="0"/>
    <w:pPr>
      <w:spacing w:line="360" w:lineRule="auto"/>
      <w:ind w:firstLine="482"/>
    </w:pPr>
    <w:rPr>
      <w:rFonts w:ascii="宋体" w:hAnsi="宋体"/>
      <w:sz w:val="24"/>
    </w:rPr>
  </w:style>
  <w:style w:type="paragraph" w:customStyle="1" w:styleId="2543">
    <w:name w:val="正文格式＝612"/>
    <w:basedOn w:val="418"/>
    <w:next w:val="418"/>
    <w:autoRedefine/>
    <w:qFormat/>
    <w:uiPriority w:val="0"/>
    <w:rPr>
      <w:rFonts w:ascii="宋体" w:hAnsi="宋体"/>
      <w:b w:val="0"/>
      <w:spacing w:val="0"/>
      <w:sz w:val="24"/>
      <w:szCs w:val="24"/>
    </w:rPr>
  </w:style>
  <w:style w:type="paragraph" w:customStyle="1" w:styleId="2544">
    <w:name w:val="封面单位"/>
    <w:basedOn w:val="1"/>
    <w:autoRedefine/>
    <w:qFormat/>
    <w:uiPriority w:val="0"/>
    <w:pPr>
      <w:tabs>
        <w:tab w:val="right" w:leader="middleDot" w:pos="8222"/>
      </w:tabs>
      <w:spacing w:line="360" w:lineRule="auto"/>
      <w:jc w:val="center"/>
    </w:pPr>
    <w:rPr>
      <w:rFonts w:ascii="楷体_GB2312" w:eastAsia="楷体_GB2312"/>
      <w:b/>
      <w:sz w:val="36"/>
    </w:rPr>
  </w:style>
  <w:style w:type="paragraph" w:customStyle="1" w:styleId="2545">
    <w:name w:val="谏壁标题4(chen)"/>
    <w:basedOn w:val="1"/>
    <w:autoRedefine/>
    <w:qFormat/>
    <w:uiPriority w:val="0"/>
    <w:pPr>
      <w:snapToGrid w:val="0"/>
      <w:spacing w:beforeLines="50" w:line="360" w:lineRule="auto"/>
      <w:outlineLvl w:val="3"/>
    </w:pPr>
    <w:rPr>
      <w:rFonts w:eastAsia="楷体_GB2312"/>
      <w:sz w:val="28"/>
    </w:rPr>
  </w:style>
  <w:style w:type="paragraph" w:customStyle="1" w:styleId="2546">
    <w:name w:val="Char221"/>
    <w:basedOn w:val="1"/>
    <w:autoRedefine/>
    <w:qFormat/>
    <w:uiPriority w:val="0"/>
    <w:pPr>
      <w:adjustRightInd w:val="0"/>
      <w:snapToGrid w:val="0"/>
      <w:spacing w:beforeLines="50" w:line="360" w:lineRule="auto"/>
    </w:pPr>
    <w:rPr>
      <w:rFonts w:ascii="黑体" w:eastAsia="黑体"/>
      <w:sz w:val="32"/>
      <w:szCs w:val="32"/>
    </w:rPr>
  </w:style>
  <w:style w:type="paragraph" w:customStyle="1" w:styleId="2547">
    <w:name w:val="9 Char"/>
    <w:basedOn w:val="1"/>
    <w:autoRedefine/>
    <w:qFormat/>
    <w:uiPriority w:val="0"/>
    <w:pPr>
      <w:spacing w:line="240" w:lineRule="exact"/>
      <w:ind w:firstLine="200" w:firstLineChars="200"/>
    </w:pPr>
    <w:rPr>
      <w:sz w:val="28"/>
      <w:szCs w:val="28"/>
    </w:rPr>
  </w:style>
  <w:style w:type="paragraph" w:customStyle="1" w:styleId="2548">
    <w:name w:val="黑体三号11"/>
    <w:basedOn w:val="418"/>
    <w:autoRedefine/>
    <w:qFormat/>
    <w:uiPriority w:val="0"/>
    <w:pPr>
      <w:jc w:val="center"/>
    </w:pPr>
    <w:rPr>
      <w:rFonts w:ascii="黑体" w:hAnsi="宋体" w:eastAsia="黑体" w:cs="宋体"/>
      <w:bCs/>
      <w:spacing w:val="0"/>
      <w:sz w:val="32"/>
    </w:rPr>
  </w:style>
  <w:style w:type="paragraph" w:customStyle="1" w:styleId="2549">
    <w:name w:val="表3"/>
    <w:basedOn w:val="1"/>
    <w:autoRedefine/>
    <w:qFormat/>
    <w:uiPriority w:val="0"/>
    <w:pPr>
      <w:adjustRightInd w:val="0"/>
      <w:snapToGrid w:val="0"/>
      <w:jc w:val="center"/>
    </w:pPr>
    <w:rPr>
      <w:rFonts w:eastAsia="仿宋_GB2312"/>
      <w:sz w:val="24"/>
    </w:rPr>
  </w:style>
  <w:style w:type="paragraph" w:customStyle="1" w:styleId="2550">
    <w:name w:val="Char3 Char Char"/>
    <w:basedOn w:val="1"/>
    <w:autoRedefine/>
    <w:qFormat/>
    <w:uiPriority w:val="0"/>
    <w:pPr>
      <w:spacing w:line="360" w:lineRule="auto"/>
      <w:ind w:firstLine="200" w:firstLineChars="200"/>
    </w:pPr>
    <w:rPr>
      <w:rFonts w:ascii="宋体" w:hAnsi="宋体" w:cs="宋体"/>
      <w:sz w:val="24"/>
    </w:rPr>
  </w:style>
  <w:style w:type="paragraph" w:customStyle="1" w:styleId="2551">
    <w:name w:val="我的样式（正文） Char"/>
    <w:basedOn w:val="1"/>
    <w:autoRedefine/>
    <w:qFormat/>
    <w:uiPriority w:val="0"/>
    <w:pPr>
      <w:spacing w:line="440" w:lineRule="exact"/>
    </w:pPr>
    <w:rPr>
      <w:rFonts w:ascii="宋体" w:hAnsi="华文楷体"/>
      <w:sz w:val="28"/>
    </w:rPr>
  </w:style>
  <w:style w:type="paragraph" w:customStyle="1" w:styleId="2552">
    <w:name w:val="表格内字体3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553">
    <w:name w:val="文档正文"/>
    <w:basedOn w:val="1"/>
    <w:autoRedefine/>
    <w:qFormat/>
    <w:uiPriority w:val="0"/>
    <w:pPr>
      <w:adjustRightInd w:val="0"/>
      <w:spacing w:line="480" w:lineRule="atLeast"/>
      <w:ind w:firstLine="567"/>
      <w:textAlignment w:val="baseline"/>
    </w:pPr>
    <w:rPr>
      <w:rFonts w:ascii="宋体"/>
      <w:kern w:val="0"/>
      <w:sz w:val="24"/>
      <w:szCs w:val="20"/>
    </w:rPr>
  </w:style>
  <w:style w:type="paragraph" w:customStyle="1" w:styleId="2554">
    <w:name w:val="正文缩1"/>
    <w:basedOn w:val="1"/>
    <w:autoRedefine/>
    <w:qFormat/>
    <w:uiPriority w:val="0"/>
    <w:pPr>
      <w:adjustRightInd w:val="0"/>
      <w:snapToGrid w:val="0"/>
      <w:spacing w:line="480" w:lineRule="atLeast"/>
      <w:ind w:firstLine="567"/>
      <w:textAlignment w:val="baseline"/>
    </w:pPr>
    <w:rPr>
      <w:rFonts w:ascii="宋体"/>
      <w:color w:val="000080"/>
      <w:spacing w:val="6"/>
      <w:kern w:val="0"/>
      <w:sz w:val="28"/>
      <w:szCs w:val="20"/>
    </w:rPr>
  </w:style>
  <w:style w:type="paragraph" w:customStyle="1" w:styleId="2555">
    <w:name w:val="样式 文本123 + 段前: 0.2 行"/>
    <w:basedOn w:val="2556"/>
    <w:autoRedefine/>
    <w:qFormat/>
    <w:uiPriority w:val="0"/>
    <w:pPr>
      <w:tabs>
        <w:tab w:val="left" w:pos="958"/>
      </w:tabs>
      <w:adjustRightInd w:val="0"/>
      <w:snapToGrid w:val="0"/>
      <w:spacing w:beforeLines="20" w:line="480" w:lineRule="exact"/>
      <w:ind w:left="2009"/>
    </w:pPr>
    <w:rPr>
      <w:szCs w:val="24"/>
    </w:rPr>
  </w:style>
  <w:style w:type="paragraph" w:customStyle="1" w:styleId="2556">
    <w:name w:val="文本123"/>
    <w:basedOn w:val="9"/>
    <w:autoRedefine/>
    <w:qFormat/>
    <w:uiPriority w:val="0"/>
    <w:pPr>
      <w:tabs>
        <w:tab w:val="left" w:pos="958"/>
      </w:tabs>
      <w:spacing w:line="460" w:lineRule="exact"/>
      <w:ind w:left="958" w:hanging="420" w:firstLineChars="0"/>
      <w:outlineLvl w:val="7"/>
    </w:pPr>
    <w:rPr>
      <w:kern w:val="0"/>
      <w:sz w:val="24"/>
      <w:szCs w:val="20"/>
      <w:lang w:val="en-US"/>
    </w:rPr>
  </w:style>
  <w:style w:type="paragraph" w:customStyle="1" w:styleId="2557">
    <w:name w:val="9 Char Char Char7"/>
    <w:basedOn w:val="1"/>
    <w:autoRedefine/>
    <w:qFormat/>
    <w:uiPriority w:val="0"/>
    <w:pPr>
      <w:spacing w:line="240" w:lineRule="exact"/>
      <w:ind w:firstLine="200" w:firstLineChars="200"/>
    </w:pPr>
    <w:rPr>
      <w:sz w:val="28"/>
      <w:szCs w:val="28"/>
    </w:rPr>
  </w:style>
  <w:style w:type="paragraph" w:customStyle="1" w:styleId="2558">
    <w:name w:val="框图-1"/>
    <w:basedOn w:val="1"/>
    <w:autoRedefine/>
    <w:qFormat/>
    <w:uiPriority w:val="0"/>
    <w:pPr>
      <w:jc w:val="center"/>
    </w:pPr>
    <w:rPr>
      <w:rFonts w:eastAsia="仿宋_GB2312" w:cs="宋体"/>
      <w:snapToGrid w:val="0"/>
      <w:kern w:val="0"/>
      <w:szCs w:val="20"/>
    </w:rPr>
  </w:style>
  <w:style w:type="paragraph" w:customStyle="1" w:styleId="2559">
    <w:name w:val="Char Char Char Char Char Char Char211"/>
    <w:basedOn w:val="1"/>
    <w:autoRedefine/>
    <w:qFormat/>
    <w:uiPriority w:val="0"/>
  </w:style>
  <w:style w:type="paragraph" w:customStyle="1" w:styleId="2560">
    <w:name w:val="Char812"/>
    <w:basedOn w:val="1"/>
    <w:autoRedefine/>
    <w:qFormat/>
    <w:uiPriority w:val="0"/>
    <w:pPr>
      <w:ind w:left="-48"/>
    </w:pPr>
  </w:style>
  <w:style w:type="paragraph" w:customStyle="1" w:styleId="2561">
    <w:name w:val="黑体三号4"/>
    <w:basedOn w:val="418"/>
    <w:autoRedefine/>
    <w:qFormat/>
    <w:uiPriority w:val="0"/>
    <w:pPr>
      <w:jc w:val="center"/>
    </w:pPr>
    <w:rPr>
      <w:rFonts w:ascii="黑体" w:hAnsi="宋体" w:eastAsia="黑体" w:cs="宋体"/>
      <w:bCs/>
      <w:spacing w:val="0"/>
      <w:sz w:val="32"/>
    </w:rPr>
  </w:style>
  <w:style w:type="paragraph" w:customStyle="1" w:styleId="2562">
    <w:name w:val="b4"/>
    <w:basedOn w:val="1"/>
    <w:next w:val="1"/>
    <w:autoRedefine/>
    <w:qFormat/>
    <w:uiPriority w:val="0"/>
    <w:pPr>
      <w:spacing w:line="440" w:lineRule="exact"/>
      <w:outlineLvl w:val="3"/>
    </w:pPr>
    <w:rPr>
      <w:b/>
      <w:sz w:val="24"/>
    </w:rPr>
  </w:style>
  <w:style w:type="paragraph" w:customStyle="1" w:styleId="2563">
    <w:name w:val="Char Char Char Char Char Char Char Char Char Char Char Char Char Char Char Char Char1 Char Char Char Char Char Char Char Char"/>
    <w:basedOn w:val="1"/>
    <w:autoRedefine/>
    <w:qFormat/>
    <w:uiPriority w:val="0"/>
    <w:rPr>
      <w:szCs w:val="21"/>
    </w:rPr>
  </w:style>
  <w:style w:type="paragraph" w:customStyle="1" w:styleId="2564">
    <w:name w:val="表 头"/>
    <w:basedOn w:val="1"/>
    <w:autoRedefine/>
    <w:qFormat/>
    <w:uiPriority w:val="0"/>
    <w:pPr>
      <w:adjustRightInd w:val="0"/>
      <w:spacing w:before="120" w:after="120" w:line="360" w:lineRule="atLeast"/>
      <w:jc w:val="center"/>
    </w:pPr>
    <w:rPr>
      <w:rFonts w:eastAsia="黑体"/>
      <w:spacing w:val="10"/>
      <w:kern w:val="0"/>
      <w:sz w:val="24"/>
      <w:szCs w:val="20"/>
    </w:rPr>
  </w:style>
  <w:style w:type="paragraph" w:customStyle="1" w:styleId="2565">
    <w:name w:val="Char Char7 Char Char1 Char Char Char1 Char Char Char Char Char Char Char Char"/>
    <w:basedOn w:val="1"/>
    <w:autoRedefine/>
    <w:qFormat/>
    <w:uiPriority w:val="0"/>
    <w:pPr>
      <w:spacing w:line="240" w:lineRule="exact"/>
      <w:ind w:firstLine="200" w:firstLineChars="200"/>
    </w:pPr>
    <w:rPr>
      <w:sz w:val="28"/>
      <w:szCs w:val="28"/>
    </w:rPr>
  </w:style>
  <w:style w:type="paragraph" w:customStyle="1" w:styleId="2566">
    <w:name w:val="Char211"/>
    <w:basedOn w:val="1"/>
    <w:autoRedefine/>
    <w:qFormat/>
    <w:uiPriority w:val="0"/>
    <w:pPr>
      <w:ind w:left="-48"/>
    </w:pPr>
  </w:style>
  <w:style w:type="paragraph" w:customStyle="1" w:styleId="2567">
    <w:name w:val="默认段落字体 Para Char Char Char Char Char1"/>
    <w:basedOn w:val="1"/>
    <w:autoRedefine/>
    <w:qFormat/>
    <w:uiPriority w:val="0"/>
  </w:style>
  <w:style w:type="paragraph" w:customStyle="1" w:styleId="2568">
    <w:name w:val="Char510"/>
    <w:basedOn w:val="1"/>
    <w:autoRedefine/>
    <w:qFormat/>
    <w:uiPriority w:val="0"/>
    <w:pPr>
      <w:adjustRightInd w:val="0"/>
      <w:snapToGrid w:val="0"/>
      <w:ind w:left="-45"/>
    </w:pPr>
  </w:style>
  <w:style w:type="paragraph" w:customStyle="1" w:styleId="2569">
    <w:name w:val="正文首行缩进 2 + Times New Roman"/>
    <w:basedOn w:val="1"/>
    <w:autoRedefine/>
    <w:qFormat/>
    <w:uiPriority w:val="0"/>
    <w:pPr>
      <w:tabs>
        <w:tab w:val="left" w:pos="0"/>
        <w:tab w:val="left" w:pos="870"/>
        <w:tab w:val="left" w:pos="3150"/>
      </w:tabs>
      <w:autoSpaceDE w:val="0"/>
      <w:autoSpaceDN w:val="0"/>
      <w:spacing w:line="360" w:lineRule="auto"/>
      <w:ind w:firstLine="480" w:firstLineChars="200"/>
    </w:pPr>
    <w:rPr>
      <w:rFonts w:hAnsi="宋体"/>
      <w:kern w:val="0"/>
      <w:sz w:val="24"/>
    </w:rPr>
  </w:style>
  <w:style w:type="paragraph" w:customStyle="1" w:styleId="2570">
    <w:name w:val="默认段落字体 Para Char Char Char Char512"/>
    <w:basedOn w:val="1"/>
    <w:autoRedefine/>
    <w:qFormat/>
    <w:uiPriority w:val="0"/>
  </w:style>
  <w:style w:type="paragraph" w:customStyle="1" w:styleId="2571">
    <w:name w:val="表内文字小11"/>
    <w:basedOn w:val="1"/>
    <w:autoRedefine/>
    <w:qFormat/>
    <w:uiPriority w:val="0"/>
    <w:pPr>
      <w:adjustRightInd w:val="0"/>
      <w:snapToGrid w:val="0"/>
    </w:pPr>
    <w:rPr>
      <w:rFonts w:ascii="宋体" w:hAnsi="Times" w:cs="宋体"/>
      <w:szCs w:val="20"/>
    </w:rPr>
  </w:style>
  <w:style w:type="paragraph" w:customStyle="1" w:styleId="2572">
    <w:name w:val="Char4 Char Char Char Char Char Char Char Char Char Char Char Char Char Char Char Char Char1 Char Char Char Char Char Char"/>
    <w:basedOn w:val="1"/>
    <w:autoRedefine/>
    <w:qFormat/>
    <w:uiPriority w:val="0"/>
    <w:pPr>
      <w:spacing w:line="240" w:lineRule="exact"/>
      <w:ind w:firstLine="200" w:firstLineChars="200"/>
    </w:pPr>
    <w:rPr>
      <w:sz w:val="28"/>
      <w:szCs w:val="28"/>
    </w:rPr>
  </w:style>
  <w:style w:type="paragraph" w:customStyle="1" w:styleId="2573">
    <w:name w:val="条目"/>
    <w:basedOn w:val="45"/>
    <w:next w:val="34"/>
    <w:autoRedefine/>
    <w:qFormat/>
    <w:uiPriority w:val="0"/>
    <w:pPr>
      <w:ind w:firstLine="567"/>
      <w:outlineLvl w:val="4"/>
    </w:pPr>
    <w:rPr>
      <w:sz w:val="24"/>
      <w:szCs w:val="20"/>
    </w:rPr>
  </w:style>
  <w:style w:type="paragraph" w:customStyle="1" w:styleId="2574">
    <w:name w:val="样式 表格内字体1 +12"/>
    <w:basedOn w:val="2537"/>
    <w:next w:val="417"/>
    <w:autoRedefine/>
    <w:qFormat/>
    <w:uiPriority w:val="0"/>
    <w:rPr>
      <w:rFonts w:hAnsi="Times New Roman" w:cs="宋体"/>
      <w:szCs w:val="20"/>
    </w:rPr>
  </w:style>
  <w:style w:type="paragraph" w:customStyle="1" w:styleId="2575">
    <w:name w:val="标题43121"/>
    <w:basedOn w:val="1"/>
    <w:autoRedefine/>
    <w:qFormat/>
    <w:uiPriority w:val="0"/>
    <w:pPr>
      <w:adjustRightInd w:val="0"/>
      <w:snapToGrid w:val="0"/>
      <w:spacing w:line="480" w:lineRule="exact"/>
      <w:jc w:val="center"/>
    </w:pPr>
    <w:rPr>
      <w:rFonts w:ascii="宋体" w:hAnsi="宋体" w:cs="宋体"/>
      <w:sz w:val="24"/>
    </w:rPr>
  </w:style>
  <w:style w:type="paragraph" w:customStyle="1" w:styleId="2576">
    <w:name w:val="Char7"/>
    <w:basedOn w:val="1"/>
    <w:autoRedefine/>
    <w:qFormat/>
    <w:uiPriority w:val="0"/>
    <w:pPr>
      <w:ind w:left="-48"/>
    </w:pPr>
  </w:style>
  <w:style w:type="paragraph" w:customStyle="1" w:styleId="2577">
    <w:name w:val="Char Char7 Char Char1"/>
    <w:basedOn w:val="1"/>
    <w:autoRedefine/>
    <w:qFormat/>
    <w:uiPriority w:val="0"/>
    <w:pPr>
      <w:spacing w:line="240" w:lineRule="exact"/>
      <w:ind w:firstLine="200" w:firstLineChars="200"/>
    </w:pPr>
    <w:rPr>
      <w:sz w:val="28"/>
      <w:szCs w:val="28"/>
    </w:rPr>
  </w:style>
  <w:style w:type="paragraph" w:customStyle="1" w:styleId="2578">
    <w:name w:val="Char Char Char Char Char Char Char19"/>
    <w:basedOn w:val="1"/>
    <w:autoRedefine/>
    <w:qFormat/>
    <w:uiPriority w:val="0"/>
  </w:style>
  <w:style w:type="paragraph" w:customStyle="1" w:styleId="2579">
    <w:name w:val="样式 标题 4 + 四号 段前: 1 行"/>
    <w:basedOn w:val="6"/>
    <w:autoRedefine/>
    <w:qFormat/>
    <w:uiPriority w:val="0"/>
  </w:style>
  <w:style w:type="paragraph" w:customStyle="1" w:styleId="2580">
    <w:name w:val="Char422"/>
    <w:basedOn w:val="1"/>
    <w:autoRedefine/>
    <w:qFormat/>
    <w:uiPriority w:val="0"/>
    <w:pPr>
      <w:ind w:left="-48"/>
    </w:pPr>
  </w:style>
  <w:style w:type="paragraph" w:customStyle="1" w:styleId="2581">
    <w:name w:val="表内532"/>
    <w:basedOn w:val="1"/>
    <w:autoRedefine/>
    <w:qFormat/>
    <w:uiPriority w:val="0"/>
    <w:pPr>
      <w:adjustRightInd w:val="0"/>
      <w:snapToGrid w:val="0"/>
      <w:spacing w:line="300" w:lineRule="auto"/>
      <w:jc w:val="left"/>
    </w:pPr>
    <w:rPr>
      <w:rFonts w:ascii="宋体"/>
      <w:szCs w:val="20"/>
    </w:rPr>
  </w:style>
  <w:style w:type="paragraph" w:customStyle="1" w:styleId="2582">
    <w:name w:val="图题5"/>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583">
    <w:name w:val="正文文本缩进 341"/>
    <w:basedOn w:val="1"/>
    <w:autoRedefine/>
    <w:qFormat/>
    <w:uiPriority w:val="39"/>
    <w:pPr>
      <w:spacing w:after="120"/>
      <w:ind w:left="420" w:leftChars="200"/>
    </w:pPr>
    <w:rPr>
      <w:rFonts w:eastAsia="仿宋_GB2312"/>
      <w:sz w:val="16"/>
      <w:szCs w:val="16"/>
    </w:rPr>
  </w:style>
  <w:style w:type="paragraph" w:customStyle="1" w:styleId="2584">
    <w:name w:val="Char Char Char Char Char Char Char Char Char1 Char Char Char Char Char Char Char"/>
    <w:basedOn w:val="1"/>
    <w:autoRedefine/>
    <w:qFormat/>
    <w:uiPriority w:val="0"/>
    <w:rPr>
      <w:szCs w:val="21"/>
    </w:rPr>
  </w:style>
  <w:style w:type="paragraph" w:customStyle="1" w:styleId="2585">
    <w:name w:val="燕山正文1121"/>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2586">
    <w:name w:val="样式 样式 首行缩进:  2 字符1 + 首行缩进:  2 字符 段前: 0.2 行"/>
    <w:basedOn w:val="1"/>
    <w:autoRedefine/>
    <w:qFormat/>
    <w:uiPriority w:val="0"/>
    <w:pPr>
      <w:spacing w:line="440" w:lineRule="exact"/>
      <w:ind w:firstLine="200" w:firstLineChars="200"/>
    </w:pPr>
    <w:rPr>
      <w:sz w:val="24"/>
      <w:szCs w:val="20"/>
    </w:rPr>
  </w:style>
  <w:style w:type="paragraph" w:customStyle="1" w:styleId="2587">
    <w:name w:val="Char Char Char Char1 Char Char Char22"/>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2588">
    <w:name w:val="表X"/>
    <w:basedOn w:val="45"/>
    <w:autoRedefine/>
    <w:qFormat/>
    <w:uiPriority w:val="0"/>
    <w:pPr>
      <w:keepNext/>
      <w:tabs>
        <w:tab w:val="left" w:pos="920"/>
      </w:tabs>
      <w:adjustRightInd w:val="0"/>
      <w:spacing w:before="240"/>
      <w:ind w:left="920" w:hanging="360"/>
      <w:jc w:val="left"/>
      <w:outlineLvl w:val="8"/>
    </w:pPr>
    <w:rPr>
      <w:rFonts w:ascii="Courier New"/>
      <w:sz w:val="28"/>
      <w:szCs w:val="20"/>
    </w:rPr>
  </w:style>
  <w:style w:type="paragraph" w:customStyle="1" w:styleId="2589">
    <w:name w:val="小四表格"/>
    <w:basedOn w:val="1"/>
    <w:autoRedefine/>
    <w:qFormat/>
    <w:uiPriority w:val="0"/>
    <w:pPr>
      <w:keepNext/>
      <w:autoSpaceDE w:val="0"/>
      <w:autoSpaceDN w:val="0"/>
      <w:adjustRightInd w:val="0"/>
      <w:spacing w:line="480" w:lineRule="atLeast"/>
      <w:jc w:val="center"/>
    </w:pPr>
    <w:rPr>
      <w:color w:val="000000"/>
      <w:sz w:val="24"/>
      <w:szCs w:val="20"/>
    </w:rPr>
  </w:style>
  <w:style w:type="paragraph" w:customStyle="1" w:styleId="2590">
    <w:name w:val="图题14"/>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591">
    <w:name w:val="样式 表标题 + 段前: 0.5 行1"/>
    <w:basedOn w:val="4"/>
    <w:autoRedefine/>
    <w:qFormat/>
    <w:uiPriority w:val="0"/>
    <w:pPr>
      <w:keepNext w:val="0"/>
      <w:keepLines w:val="0"/>
      <w:adjustRightInd w:val="0"/>
      <w:snapToGrid w:val="0"/>
      <w:spacing w:beforeLines="50" w:after="0" w:line="480" w:lineRule="exact"/>
      <w:jc w:val="center"/>
      <w:outlineLvl w:val="9"/>
    </w:pPr>
    <w:rPr>
      <w:rFonts w:ascii="Times New Roman" w:hAnsi="Times New Roman" w:eastAsia="黑体"/>
      <w:b w:val="0"/>
      <w:bCs w:val="0"/>
      <w:sz w:val="28"/>
      <w:szCs w:val="20"/>
    </w:rPr>
  </w:style>
  <w:style w:type="paragraph" w:customStyle="1" w:styleId="2592">
    <w:name w:val="样式 标题 2 + 段前: 0.5 行 段后: 0.5 行"/>
    <w:basedOn w:val="4"/>
    <w:autoRedefine/>
    <w:qFormat/>
    <w:uiPriority w:val="0"/>
  </w:style>
  <w:style w:type="paragraph" w:customStyle="1" w:styleId="2593">
    <w:name w:val="正文格式51"/>
    <w:basedOn w:val="1"/>
    <w:autoRedefine/>
    <w:qFormat/>
    <w:uiPriority w:val="0"/>
    <w:pPr>
      <w:spacing w:line="360" w:lineRule="auto"/>
      <w:ind w:firstLine="482"/>
    </w:pPr>
    <w:rPr>
      <w:rFonts w:ascii="宋体" w:hAnsi="宋体"/>
      <w:sz w:val="24"/>
    </w:rPr>
  </w:style>
  <w:style w:type="paragraph" w:customStyle="1" w:styleId="2594">
    <w:name w:val="表题211"/>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2595">
    <w:name w:val="正文格式812"/>
    <w:basedOn w:val="1"/>
    <w:autoRedefine/>
    <w:qFormat/>
    <w:uiPriority w:val="0"/>
    <w:pPr>
      <w:spacing w:line="360" w:lineRule="auto"/>
      <w:ind w:firstLine="482"/>
    </w:pPr>
    <w:rPr>
      <w:rFonts w:ascii="宋体" w:hAnsi="宋体"/>
      <w:sz w:val="24"/>
    </w:rPr>
  </w:style>
  <w:style w:type="paragraph" w:customStyle="1" w:styleId="2596">
    <w:name w:val="10"/>
    <w:basedOn w:val="1"/>
    <w:next w:val="9"/>
    <w:autoRedefine/>
    <w:qFormat/>
    <w:uiPriority w:val="0"/>
    <w:pPr>
      <w:spacing w:line="500" w:lineRule="exact"/>
      <w:ind w:firstLine="420"/>
    </w:pPr>
    <w:rPr>
      <w:rFonts w:ascii="仿宋_GB2312" w:eastAsia="仿宋_GB2312"/>
      <w:sz w:val="28"/>
      <w:szCs w:val="20"/>
    </w:rPr>
  </w:style>
  <w:style w:type="paragraph" w:customStyle="1" w:styleId="2597">
    <w:name w:val="正文211"/>
    <w:autoRedefine/>
    <w:qFormat/>
    <w:uiPriority w:val="0"/>
    <w:pPr>
      <w:adjustRightInd w:val="0"/>
      <w:snapToGrid w:val="0"/>
      <w:spacing w:line="480" w:lineRule="atLeast"/>
      <w:jc w:val="center"/>
    </w:pPr>
    <w:rPr>
      <w:rFonts w:ascii="宋体" w:hAnsi="Times New Roman" w:eastAsia="宋体" w:cs="Times New Roman"/>
      <w:snapToGrid w:val="0"/>
      <w:spacing w:val="6"/>
      <w:sz w:val="21"/>
      <w:lang w:val="en-US" w:eastAsia="zh-CN" w:bidi="ar-SA"/>
    </w:rPr>
  </w:style>
  <w:style w:type="paragraph" w:customStyle="1" w:styleId="2598">
    <w:name w:val="Char Char1 Char Char Char2 Char"/>
    <w:basedOn w:val="1"/>
    <w:autoRedefine/>
    <w:qFormat/>
    <w:uiPriority w:val="0"/>
    <w:rPr>
      <w:sz w:val="24"/>
    </w:rPr>
  </w:style>
  <w:style w:type="paragraph" w:customStyle="1" w:styleId="2599">
    <w:name w:val="表内宋5中2"/>
    <w:basedOn w:val="1"/>
    <w:autoRedefine/>
    <w:qFormat/>
    <w:uiPriority w:val="0"/>
    <w:pPr>
      <w:adjustRightInd w:val="0"/>
      <w:snapToGrid w:val="0"/>
      <w:jc w:val="center"/>
      <w:textAlignment w:val="baseline"/>
    </w:pPr>
    <w:rPr>
      <w:rFonts w:ascii="宋体" w:hAnsi="宋体"/>
      <w:kern w:val="0"/>
      <w:szCs w:val="20"/>
    </w:rPr>
  </w:style>
  <w:style w:type="paragraph" w:customStyle="1" w:styleId="2600">
    <w:name w:val="Char4 Char Char Char Char Char Char Char Char Char Char Char Char Char Char Char Char Char1 Char Char Char Char"/>
    <w:basedOn w:val="1"/>
    <w:autoRedefine/>
    <w:qFormat/>
    <w:uiPriority w:val="0"/>
    <w:pPr>
      <w:spacing w:line="240" w:lineRule="exact"/>
      <w:ind w:firstLine="200" w:firstLineChars="200"/>
    </w:pPr>
    <w:rPr>
      <w:sz w:val="28"/>
      <w:szCs w:val="28"/>
    </w:rPr>
  </w:style>
  <w:style w:type="paragraph" w:customStyle="1" w:styleId="2601">
    <w:name w:val="标题411"/>
    <w:basedOn w:val="1"/>
    <w:autoRedefine/>
    <w:qFormat/>
    <w:uiPriority w:val="0"/>
    <w:pPr>
      <w:adjustRightInd w:val="0"/>
      <w:snapToGrid w:val="0"/>
      <w:spacing w:line="300" w:lineRule="auto"/>
      <w:jc w:val="left"/>
    </w:pPr>
    <w:rPr>
      <w:rFonts w:ascii="黑体" w:hAnsi="宋体" w:eastAsia="黑体" w:cs="宋体"/>
      <w:bCs/>
      <w:sz w:val="24"/>
      <w:szCs w:val="20"/>
    </w:rPr>
  </w:style>
  <w:style w:type="paragraph" w:customStyle="1" w:styleId="2602">
    <w:name w:val="样式 样式 正文缩进正文（首行缩进两字）文本条款 + 段前: 0.4 行 + 非加粗"/>
    <w:basedOn w:val="1"/>
    <w:autoRedefine/>
    <w:qFormat/>
    <w:uiPriority w:val="0"/>
    <w:pPr>
      <w:tabs>
        <w:tab w:val="left" w:pos="3150"/>
      </w:tabs>
      <w:spacing w:beforeLines="30" w:line="288" w:lineRule="auto"/>
      <w:ind w:left="3150" w:hanging="420"/>
      <w:outlineLvl w:val="6"/>
    </w:pPr>
    <w:rPr>
      <w:sz w:val="24"/>
    </w:rPr>
  </w:style>
  <w:style w:type="paragraph" w:customStyle="1" w:styleId="2603">
    <w:name w:val="表内文字小3111"/>
    <w:basedOn w:val="1"/>
    <w:autoRedefine/>
    <w:qFormat/>
    <w:uiPriority w:val="0"/>
    <w:pPr>
      <w:adjustRightInd w:val="0"/>
      <w:snapToGrid w:val="0"/>
      <w:jc w:val="center"/>
    </w:pPr>
    <w:rPr>
      <w:rFonts w:ascii="宋体" w:hAnsi="Times" w:cs="宋体"/>
      <w:bCs/>
      <w:color w:val="003366"/>
      <w:szCs w:val="20"/>
    </w:rPr>
  </w:style>
  <w:style w:type="paragraph" w:customStyle="1" w:styleId="2604">
    <w:name w:val="样式 文本123 + 段前: 0.2 行1"/>
    <w:basedOn w:val="2556"/>
    <w:autoRedefine/>
    <w:qFormat/>
    <w:uiPriority w:val="0"/>
    <w:pPr>
      <w:tabs>
        <w:tab w:val="left" w:pos="3570"/>
        <w:tab w:val="clear" w:pos="958"/>
      </w:tabs>
      <w:snapToGrid w:val="0"/>
      <w:spacing w:beforeLines="20" w:line="480" w:lineRule="exact"/>
      <w:ind w:left="0" w:firstLine="510"/>
    </w:pPr>
  </w:style>
  <w:style w:type="paragraph" w:customStyle="1" w:styleId="2605">
    <w:name w:val="表21"/>
    <w:basedOn w:val="1"/>
    <w:autoRedefine/>
    <w:qFormat/>
    <w:uiPriority w:val="0"/>
    <w:pPr>
      <w:adjustRightInd w:val="0"/>
      <w:snapToGrid w:val="0"/>
      <w:jc w:val="center"/>
    </w:pPr>
    <w:rPr>
      <w:rFonts w:eastAsia="仿宋_GB2312"/>
      <w:sz w:val="24"/>
    </w:rPr>
  </w:style>
  <w:style w:type="paragraph" w:customStyle="1" w:styleId="2606">
    <w:name w:val="样式 正文缩进正文（首行缩进两字）文本条款 + 段前: 0.4 行"/>
    <w:basedOn w:val="9"/>
    <w:autoRedefine/>
    <w:qFormat/>
    <w:uiPriority w:val="0"/>
    <w:pPr>
      <w:spacing w:beforeLines="30" w:line="288" w:lineRule="auto"/>
      <w:ind w:firstLine="0" w:firstLineChars="0"/>
      <w:outlineLvl w:val="6"/>
    </w:pPr>
    <w:rPr>
      <w:rFonts w:eastAsia="黑体"/>
      <w:b/>
      <w:kern w:val="0"/>
      <w:sz w:val="28"/>
      <w:szCs w:val="20"/>
      <w:lang w:val="en-US"/>
    </w:rPr>
  </w:style>
  <w:style w:type="paragraph" w:customStyle="1" w:styleId="2607">
    <w:name w:val="－列表"/>
    <w:basedOn w:val="66"/>
    <w:autoRedefine/>
    <w:qFormat/>
    <w:uiPriority w:val="0"/>
    <w:pPr>
      <w:adjustRightInd w:val="0"/>
      <w:snapToGrid w:val="0"/>
      <w:spacing w:line="360" w:lineRule="atLeast"/>
      <w:ind w:left="0" w:right="0" w:rightChars="0"/>
      <w:jc w:val="both"/>
      <w:textAlignment w:val="baseline"/>
    </w:pPr>
    <w:rPr>
      <w:rFonts w:ascii="宋体" w:hAnsi="宋体" w:eastAsia="宋体"/>
      <w:snapToGrid w:val="0"/>
      <w:kern w:val="0"/>
      <w:sz w:val="22"/>
      <w:szCs w:val="22"/>
    </w:rPr>
  </w:style>
  <w:style w:type="paragraph" w:customStyle="1" w:styleId="2608">
    <w:name w:val="表内文字小122"/>
    <w:basedOn w:val="1"/>
    <w:autoRedefine/>
    <w:qFormat/>
    <w:uiPriority w:val="0"/>
    <w:pPr>
      <w:adjustRightInd w:val="0"/>
      <w:snapToGrid w:val="0"/>
      <w:jc w:val="center"/>
    </w:pPr>
    <w:rPr>
      <w:rFonts w:ascii="宋体" w:hAnsi="Times"/>
      <w:szCs w:val="20"/>
    </w:rPr>
  </w:style>
  <w:style w:type="paragraph" w:customStyle="1" w:styleId="2609">
    <w:name w:val="Char Char Char1 Char Char Char Char Char Char Char Char Char Char Char Char Char Char Char1 Char Char Char Char Char Char Char Char Char Char Char Char Char Char Char Char Char Char Char Char Char Char Char Char Char Char Char"/>
    <w:basedOn w:val="1"/>
    <w:autoRedefine/>
    <w:qFormat/>
    <w:uiPriority w:val="0"/>
    <w:pPr>
      <w:spacing w:line="240" w:lineRule="exact"/>
      <w:ind w:firstLine="200" w:firstLineChars="200"/>
    </w:pPr>
    <w:rPr>
      <w:sz w:val="28"/>
      <w:szCs w:val="28"/>
    </w:rPr>
  </w:style>
  <w:style w:type="paragraph" w:customStyle="1" w:styleId="2610">
    <w:name w:val="11 Char Char Char Char Char Char Char Char Char Char Char Char Char"/>
    <w:basedOn w:val="1"/>
    <w:autoRedefine/>
    <w:qFormat/>
    <w:uiPriority w:val="0"/>
    <w:pPr>
      <w:snapToGrid w:val="0"/>
      <w:spacing w:line="360" w:lineRule="auto"/>
      <w:ind w:firstLine="200" w:firstLineChars="200"/>
    </w:pPr>
    <w:rPr>
      <w:rFonts w:eastAsia="仿宋_GB2312"/>
      <w:sz w:val="24"/>
    </w:rPr>
  </w:style>
  <w:style w:type="paragraph" w:customStyle="1" w:styleId="2611">
    <w:name w:val="Char Char Char Char Char Char Char Char Char1 Char Char Char Char Char Char"/>
    <w:basedOn w:val="1"/>
    <w:autoRedefine/>
    <w:qFormat/>
    <w:uiPriority w:val="0"/>
    <w:rPr>
      <w:szCs w:val="21"/>
    </w:rPr>
  </w:style>
  <w:style w:type="paragraph" w:customStyle="1" w:styleId="2612">
    <w:name w:val="Char Char Char1 Char Char Char Char Char Char"/>
    <w:basedOn w:val="1"/>
    <w:autoRedefine/>
    <w:qFormat/>
    <w:uiPriority w:val="0"/>
    <w:rPr>
      <w:szCs w:val="21"/>
    </w:rPr>
  </w:style>
  <w:style w:type="paragraph" w:customStyle="1" w:styleId="2613">
    <w:name w:val="表题131"/>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2614">
    <w:name w:val="表内宋5中11"/>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2615">
    <w:name w:val="Char Char Char Char Char Char Char Char Char1 Char Char Char Char Char Char1"/>
    <w:basedOn w:val="1"/>
    <w:autoRedefine/>
    <w:qFormat/>
    <w:uiPriority w:val="0"/>
    <w:rPr>
      <w:szCs w:val="21"/>
    </w:rPr>
  </w:style>
  <w:style w:type="paragraph" w:customStyle="1" w:styleId="2616">
    <w:name w:val="首行缩进:  0.99 厘米 + 首行缩进:  2 字符4"/>
    <w:basedOn w:val="1"/>
    <w:autoRedefine/>
    <w:qFormat/>
    <w:uiPriority w:val="0"/>
    <w:pPr>
      <w:widowControl/>
      <w:topLinePunct/>
      <w:spacing w:line="480" w:lineRule="exact"/>
      <w:ind w:firstLine="420" w:firstLineChars="200"/>
      <w:jc w:val="center"/>
    </w:pPr>
    <w:rPr>
      <w:rFonts w:ascii="宋体" w:cs="宋体"/>
      <w:snapToGrid w:val="0"/>
      <w:color w:val="FF0000"/>
      <w:kern w:val="0"/>
      <w:szCs w:val="21"/>
    </w:rPr>
  </w:style>
  <w:style w:type="paragraph" w:customStyle="1" w:styleId="2617">
    <w:name w:val="表内文字小23"/>
    <w:basedOn w:val="1"/>
    <w:autoRedefine/>
    <w:qFormat/>
    <w:uiPriority w:val="0"/>
    <w:pPr>
      <w:adjustRightInd w:val="0"/>
      <w:snapToGrid w:val="0"/>
      <w:jc w:val="center"/>
    </w:pPr>
    <w:rPr>
      <w:rFonts w:ascii="宋体" w:hAnsi="Times"/>
      <w:bCs/>
      <w:color w:val="000000"/>
      <w:szCs w:val="20"/>
    </w:rPr>
  </w:style>
  <w:style w:type="paragraph" w:customStyle="1" w:styleId="2618">
    <w:name w:val="表题1411"/>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2619">
    <w:name w:val="表内小5中"/>
    <w:basedOn w:val="1"/>
    <w:autoRedefine/>
    <w:qFormat/>
    <w:uiPriority w:val="0"/>
    <w:pPr>
      <w:adjustRightInd w:val="0"/>
      <w:snapToGrid w:val="0"/>
      <w:jc w:val="center"/>
    </w:pPr>
    <w:rPr>
      <w:rFonts w:ascii="宋体" w:hAnsi="宋体"/>
      <w:sz w:val="18"/>
      <w:szCs w:val="20"/>
    </w:rPr>
  </w:style>
  <w:style w:type="paragraph" w:customStyle="1" w:styleId="2620">
    <w:name w:val="表题123"/>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2621">
    <w:name w:val="Char Char Char1 Char Char Char Char Char Char Char Char Char Char Char Char Char Char Char1 Char Char Char Char Char Char Char Char Char Char Char Char Char Char Char Char Char Char Char Char Char Char Char Char Char Char Char Char Char Char"/>
    <w:basedOn w:val="1"/>
    <w:autoRedefine/>
    <w:qFormat/>
    <w:uiPriority w:val="0"/>
    <w:pPr>
      <w:spacing w:line="240" w:lineRule="exact"/>
      <w:ind w:firstLine="200" w:firstLineChars="200"/>
    </w:pPr>
    <w:rPr>
      <w:sz w:val="28"/>
      <w:szCs w:val="28"/>
    </w:rPr>
  </w:style>
  <w:style w:type="paragraph" w:customStyle="1" w:styleId="2622">
    <w:name w:val="默认段落字体 Para Char21"/>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2623">
    <w:name w:val="默认段落字体 Para Char4"/>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2624">
    <w:name w:val="正文格式53"/>
    <w:basedOn w:val="1"/>
    <w:autoRedefine/>
    <w:qFormat/>
    <w:uiPriority w:val="0"/>
    <w:pPr>
      <w:spacing w:line="360" w:lineRule="auto"/>
      <w:ind w:firstLine="482"/>
    </w:pPr>
    <w:rPr>
      <w:rFonts w:ascii="宋体" w:hAnsi="宋体"/>
      <w:sz w:val="24"/>
    </w:rPr>
  </w:style>
  <w:style w:type="paragraph" w:customStyle="1" w:styleId="2625">
    <w:name w:val="正文条目a"/>
    <w:basedOn w:val="1"/>
    <w:autoRedefine/>
    <w:qFormat/>
    <w:uiPriority w:val="0"/>
    <w:pPr>
      <w:ind w:left="400" w:leftChars="300" w:hanging="100" w:hangingChars="100"/>
    </w:pPr>
    <w:rPr>
      <w:rFonts w:ascii="宋体"/>
      <w:sz w:val="24"/>
    </w:rPr>
  </w:style>
  <w:style w:type="paragraph" w:customStyle="1" w:styleId="2626">
    <w:name w:val="表内宋5中14"/>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2627">
    <w:name w:val="Char Char Char1 Char Char Char Char Char Char Char Char Char"/>
    <w:basedOn w:val="1"/>
    <w:autoRedefine/>
    <w:qFormat/>
    <w:uiPriority w:val="0"/>
    <w:rPr>
      <w:szCs w:val="21"/>
    </w:rPr>
  </w:style>
  <w:style w:type="paragraph" w:customStyle="1" w:styleId="2628">
    <w:name w:val="Bullet"/>
    <w:basedOn w:val="1"/>
    <w:autoRedefine/>
    <w:qFormat/>
    <w:uiPriority w:val="0"/>
    <w:pPr>
      <w:widowControl/>
      <w:tabs>
        <w:tab w:val="left" w:pos="0"/>
        <w:tab w:val="left" w:pos="2040"/>
      </w:tabs>
      <w:spacing w:after="60" w:line="300" w:lineRule="atLeast"/>
    </w:pPr>
    <w:rPr>
      <w:kern w:val="0"/>
      <w:sz w:val="22"/>
    </w:rPr>
  </w:style>
  <w:style w:type="paragraph" w:customStyle="1" w:styleId="2629">
    <w:name w:val="Char61"/>
    <w:basedOn w:val="1"/>
    <w:autoRedefine/>
    <w:qFormat/>
    <w:uiPriority w:val="0"/>
    <w:pPr>
      <w:adjustRightInd w:val="0"/>
      <w:snapToGrid w:val="0"/>
      <w:spacing w:beforeLines="50" w:line="360" w:lineRule="auto"/>
    </w:pPr>
    <w:rPr>
      <w:rFonts w:ascii="黑体" w:eastAsia="黑体"/>
      <w:sz w:val="32"/>
      <w:szCs w:val="32"/>
    </w:rPr>
  </w:style>
  <w:style w:type="paragraph" w:customStyle="1" w:styleId="2630">
    <w:name w:val="表内54111"/>
    <w:basedOn w:val="1"/>
    <w:autoRedefine/>
    <w:qFormat/>
    <w:uiPriority w:val="0"/>
    <w:pPr>
      <w:adjustRightInd w:val="0"/>
      <w:snapToGrid w:val="0"/>
      <w:spacing w:line="300" w:lineRule="auto"/>
      <w:jc w:val="center"/>
    </w:pPr>
    <w:rPr>
      <w:rFonts w:ascii="宋体" w:hAnsi="宋体" w:cs="宋体"/>
      <w:szCs w:val="20"/>
    </w:rPr>
  </w:style>
  <w:style w:type="paragraph" w:customStyle="1" w:styleId="2631">
    <w:name w:val="正文修改4"/>
    <w:basedOn w:val="193"/>
    <w:autoRedefine/>
    <w:qFormat/>
    <w:uiPriority w:val="0"/>
    <w:rPr>
      <w:rFonts w:hAnsi="宋体"/>
      <w:color w:val="000000"/>
    </w:rPr>
  </w:style>
  <w:style w:type="paragraph" w:customStyle="1" w:styleId="2632">
    <w:name w:val="正文格式25"/>
    <w:basedOn w:val="1"/>
    <w:autoRedefine/>
    <w:qFormat/>
    <w:uiPriority w:val="0"/>
    <w:pPr>
      <w:spacing w:line="360" w:lineRule="auto"/>
      <w:ind w:firstLine="482"/>
    </w:pPr>
    <w:rPr>
      <w:rFonts w:ascii="宋体" w:hAnsi="宋体"/>
      <w:sz w:val="24"/>
    </w:rPr>
  </w:style>
  <w:style w:type="paragraph" w:customStyle="1" w:styleId="2633">
    <w:name w:val="Char Char Char Char Char Char Char Char Char Char Char Char Char Char Char Char Char Char Char Char Char Char Char Char Char Char Char Char Char Char Char Char Char Char Char Char Char Char Char Char Char Char Char"/>
    <w:basedOn w:val="1"/>
    <w:autoRedefine/>
    <w:qFormat/>
    <w:uiPriority w:val="0"/>
    <w:rPr>
      <w:sz w:val="24"/>
    </w:rPr>
  </w:style>
  <w:style w:type="paragraph" w:customStyle="1" w:styleId="2634">
    <w:name w:val="表内文字小2121"/>
    <w:basedOn w:val="1"/>
    <w:autoRedefine/>
    <w:qFormat/>
    <w:uiPriority w:val="0"/>
    <w:pPr>
      <w:adjustRightInd w:val="0"/>
      <w:snapToGrid w:val="0"/>
      <w:jc w:val="center"/>
    </w:pPr>
    <w:rPr>
      <w:rFonts w:ascii="宋体" w:hAnsi="Times"/>
      <w:bCs/>
      <w:color w:val="000000"/>
      <w:szCs w:val="20"/>
    </w:rPr>
  </w:style>
  <w:style w:type="paragraph" w:customStyle="1" w:styleId="2635">
    <w:name w:val="表题3131"/>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2636">
    <w:name w:val="表内56"/>
    <w:basedOn w:val="1"/>
    <w:autoRedefine/>
    <w:qFormat/>
    <w:uiPriority w:val="0"/>
    <w:pPr>
      <w:adjustRightInd w:val="0"/>
      <w:snapToGrid w:val="0"/>
      <w:spacing w:line="300" w:lineRule="auto"/>
      <w:jc w:val="left"/>
    </w:pPr>
    <w:rPr>
      <w:rFonts w:ascii="宋体"/>
      <w:sz w:val="18"/>
      <w:szCs w:val="20"/>
    </w:rPr>
  </w:style>
  <w:style w:type="paragraph" w:customStyle="1" w:styleId="2637">
    <w:name w:val="表内5中4"/>
    <w:basedOn w:val="1"/>
    <w:autoRedefine/>
    <w:qFormat/>
    <w:uiPriority w:val="0"/>
    <w:pPr>
      <w:adjustRightInd w:val="0"/>
      <w:snapToGrid w:val="0"/>
      <w:jc w:val="center"/>
    </w:pPr>
    <w:rPr>
      <w:rFonts w:ascii="宋体"/>
      <w:bCs/>
      <w:szCs w:val="20"/>
    </w:rPr>
  </w:style>
  <w:style w:type="paragraph" w:customStyle="1" w:styleId="2638">
    <w:name w:val="Char Char Char Char Char Char Char Char Char Char Char Char Char Char Char Char Char Char Char Char Char Char Char Char Char Char Char Char Char Char Char Char Char1 Char Char Char Char Char Char1"/>
    <w:basedOn w:val="1"/>
    <w:autoRedefine/>
    <w:qFormat/>
    <w:uiPriority w:val="39"/>
    <w:rPr>
      <w:sz w:val="24"/>
    </w:rPr>
  </w:style>
  <w:style w:type="paragraph" w:customStyle="1" w:styleId="2639">
    <w:name w:val="正文格式＝"/>
    <w:basedOn w:val="418"/>
    <w:next w:val="418"/>
    <w:autoRedefine/>
    <w:qFormat/>
    <w:uiPriority w:val="0"/>
    <w:rPr>
      <w:rFonts w:ascii="宋体" w:hAnsi="宋体"/>
      <w:b w:val="0"/>
      <w:spacing w:val="0"/>
      <w:sz w:val="24"/>
      <w:szCs w:val="24"/>
    </w:rPr>
  </w:style>
  <w:style w:type="paragraph" w:customStyle="1" w:styleId="2640">
    <w:name w:val="Default1"/>
    <w:autoRedefine/>
    <w:qFormat/>
    <w:uiPriority w:val="0"/>
    <w:pPr>
      <w:widowControl w:val="0"/>
      <w:autoSpaceDE w:val="0"/>
      <w:autoSpaceDN w:val="0"/>
      <w:adjustRightInd w:val="0"/>
    </w:pPr>
    <w:rPr>
      <w:rFonts w:ascii="宋体" w:hAnsi="Times New Roman" w:eastAsia="宋体" w:cs="Times New Roman"/>
      <w:color w:val="000000"/>
      <w:sz w:val="24"/>
      <w:szCs w:val="24"/>
      <w:lang w:val="en-US" w:eastAsia="zh-CN" w:bidi="ar-SA"/>
    </w:rPr>
  </w:style>
  <w:style w:type="paragraph" w:customStyle="1" w:styleId="2641">
    <w:name w:val="燕山正文1142"/>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2642">
    <w:name w:val="表中文字24"/>
    <w:basedOn w:val="1"/>
    <w:autoRedefine/>
    <w:qFormat/>
    <w:uiPriority w:val="0"/>
    <w:pPr>
      <w:widowControl/>
      <w:adjustRightInd w:val="0"/>
      <w:spacing w:line="240" w:lineRule="atLeast"/>
      <w:ind w:right="-42" w:rightChars="-20"/>
      <w:jc w:val="center"/>
      <w:textAlignment w:val="baseline"/>
    </w:pPr>
    <w:rPr>
      <w:rFonts w:ascii="宋体"/>
      <w:kern w:val="0"/>
      <w:szCs w:val="21"/>
    </w:rPr>
  </w:style>
  <w:style w:type="paragraph" w:customStyle="1" w:styleId="2643">
    <w:name w:val="燕山正文117"/>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2644">
    <w:name w:val="正文.13"/>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2645">
    <w:name w:val="三级标题"/>
    <w:basedOn w:val="84"/>
    <w:autoRedefine/>
    <w:qFormat/>
    <w:uiPriority w:val="0"/>
    <w:pPr>
      <w:widowControl w:val="0"/>
      <w:spacing w:before="260" w:after="0" w:line="460" w:lineRule="exact"/>
      <w:ind w:left="0" w:right="0" w:firstLine="0"/>
      <w:jc w:val="both"/>
      <w:outlineLvl w:val="2"/>
    </w:pPr>
    <w:rPr>
      <w:rFonts w:ascii="Times New Roman" w:hAnsi="Times New Roman" w:cs="Arial"/>
      <w:color w:val="auto"/>
      <w:sz w:val="24"/>
      <w:szCs w:val="24"/>
    </w:rPr>
  </w:style>
  <w:style w:type="paragraph" w:customStyle="1" w:styleId="2646">
    <w:name w:val="Char Char2 Char Char Char Char10"/>
    <w:basedOn w:val="1"/>
    <w:autoRedefine/>
    <w:qFormat/>
    <w:uiPriority w:val="0"/>
  </w:style>
  <w:style w:type="paragraph" w:customStyle="1" w:styleId="2647">
    <w:name w:val="表题3121"/>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2648">
    <w:name w:val="默认段落字体 Para Char8"/>
    <w:basedOn w:val="1"/>
    <w:autoRedefine/>
    <w:qFormat/>
    <w:uiPriority w:val="0"/>
    <w:pPr>
      <w:spacing w:line="360" w:lineRule="auto"/>
      <w:ind w:firstLine="200" w:firstLineChars="200"/>
    </w:pPr>
    <w:rPr>
      <w:rFonts w:ascii="宋体" w:hAnsi="宋体" w:cs="宋体"/>
      <w:sz w:val="24"/>
    </w:rPr>
  </w:style>
  <w:style w:type="paragraph" w:customStyle="1" w:styleId="2649">
    <w:name w:val="黑体三号31"/>
    <w:basedOn w:val="418"/>
    <w:autoRedefine/>
    <w:qFormat/>
    <w:uiPriority w:val="0"/>
    <w:pPr>
      <w:jc w:val="center"/>
    </w:pPr>
    <w:rPr>
      <w:rFonts w:ascii="黑体" w:hAnsi="宋体" w:eastAsia="黑体" w:cs="宋体"/>
      <w:bCs/>
      <w:spacing w:val="0"/>
      <w:sz w:val="32"/>
    </w:rPr>
  </w:style>
  <w:style w:type="paragraph" w:customStyle="1" w:styleId="2650">
    <w:name w:val="默认段落字体 Para Char Char Char Char Char4"/>
    <w:basedOn w:val="1"/>
    <w:autoRedefine/>
    <w:qFormat/>
    <w:uiPriority w:val="0"/>
  </w:style>
  <w:style w:type="paragraph" w:customStyle="1" w:styleId="2651">
    <w:name w:val="样式 标题 2mystyle2style2 + 四号 非加粗 居中 行距: 多倍行距 1.73 字行"/>
    <w:basedOn w:val="4"/>
    <w:autoRedefine/>
    <w:qFormat/>
    <w:uiPriority w:val="0"/>
    <w:pPr>
      <w:spacing w:line="415" w:lineRule="auto"/>
      <w:jc w:val="center"/>
    </w:pPr>
    <w:rPr>
      <w:rFonts w:ascii="Arial" w:hAnsi="Arial" w:eastAsia="黑体" w:cs="Century"/>
      <w:b w:val="0"/>
      <w:bCs w:val="0"/>
      <w:sz w:val="28"/>
      <w:szCs w:val="20"/>
    </w:rPr>
  </w:style>
  <w:style w:type="paragraph" w:customStyle="1" w:styleId="2652">
    <w:name w:val="注释"/>
    <w:basedOn w:val="1"/>
    <w:autoRedefine/>
    <w:qFormat/>
    <w:uiPriority w:val="0"/>
    <w:pPr>
      <w:spacing w:before="60" w:line="360" w:lineRule="exact"/>
      <w:ind w:firstLine="200" w:firstLineChars="200"/>
    </w:pPr>
    <w:rPr>
      <w:kern w:val="0"/>
      <w:szCs w:val="21"/>
    </w:rPr>
  </w:style>
  <w:style w:type="paragraph" w:customStyle="1" w:styleId="2653">
    <w:name w:val="图题7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654">
    <w:name w:val="Char Char Char Char Char Char1 Char Char Char Char1"/>
    <w:basedOn w:val="1"/>
    <w:autoRedefine/>
    <w:qFormat/>
    <w:uiPriority w:val="39"/>
    <w:rPr>
      <w:sz w:val="24"/>
    </w:rPr>
  </w:style>
  <w:style w:type="paragraph" w:customStyle="1" w:styleId="2655">
    <w:name w:val="表中文字12"/>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2656">
    <w:name w:val="表题15"/>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2657">
    <w:name w:val="表内511"/>
    <w:basedOn w:val="1"/>
    <w:autoRedefine/>
    <w:qFormat/>
    <w:uiPriority w:val="0"/>
    <w:pPr>
      <w:adjustRightInd w:val="0"/>
      <w:snapToGrid w:val="0"/>
      <w:jc w:val="center"/>
    </w:pPr>
    <w:rPr>
      <w:rFonts w:ascii="宋体" w:hAnsi="宋体"/>
      <w:kern w:val="0"/>
      <w:sz w:val="20"/>
      <w:szCs w:val="20"/>
    </w:rPr>
  </w:style>
  <w:style w:type="paragraph" w:customStyle="1" w:styleId="2658">
    <w:name w:val="表题124"/>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2659">
    <w:name w:val="表内文字边"/>
    <w:basedOn w:val="1"/>
    <w:autoRedefine/>
    <w:qFormat/>
    <w:uiPriority w:val="0"/>
    <w:pPr>
      <w:widowControl/>
      <w:adjustRightInd w:val="0"/>
      <w:snapToGrid w:val="0"/>
      <w:spacing w:line="240" w:lineRule="atLeast"/>
      <w:ind w:left="-21" w:leftChars="-10" w:right="-42" w:rightChars="-20"/>
    </w:pPr>
    <w:rPr>
      <w:rFonts w:ascii="宋体"/>
      <w:kern w:val="0"/>
      <w:szCs w:val="21"/>
    </w:rPr>
  </w:style>
  <w:style w:type="paragraph" w:customStyle="1" w:styleId="2660">
    <w:name w:val="Char Char Char Char Char Char Char1"/>
    <w:basedOn w:val="1"/>
    <w:autoRedefine/>
    <w:qFormat/>
    <w:uiPriority w:val="0"/>
    <w:rPr>
      <w:szCs w:val="20"/>
    </w:rPr>
  </w:style>
  <w:style w:type="paragraph" w:customStyle="1" w:styleId="2661">
    <w:name w:val="xl"/>
    <w:basedOn w:val="1"/>
    <w:autoRedefine/>
    <w:qFormat/>
    <w:uiPriority w:val="0"/>
    <w:pPr>
      <w:widowControl/>
      <w:spacing w:before="100" w:beforeAutospacing="1" w:after="100" w:afterAutospacing="1"/>
      <w:jc w:val="left"/>
    </w:pPr>
    <w:rPr>
      <w:rFonts w:hint="eastAsia" w:ascii="隶书" w:hAnsi="Arial Unicode MS" w:eastAsia="隶书"/>
      <w:color w:val="008000"/>
      <w:kern w:val="0"/>
      <w:sz w:val="36"/>
      <w:szCs w:val="36"/>
    </w:rPr>
  </w:style>
  <w:style w:type="paragraph" w:customStyle="1" w:styleId="2662">
    <w:name w:val="表内宋511"/>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2663">
    <w:name w:val="Char Char Char Char Char Char Char Char Char Char Char Char Char Char Char Char Char Char Char Char Char Char Char Char Char Char11"/>
    <w:basedOn w:val="1"/>
    <w:autoRedefine/>
    <w:qFormat/>
    <w:uiPriority w:val="39"/>
    <w:rPr>
      <w:sz w:val="24"/>
    </w:rPr>
  </w:style>
  <w:style w:type="paragraph" w:customStyle="1" w:styleId="2664">
    <w:name w:val="Char38"/>
    <w:basedOn w:val="1"/>
    <w:autoRedefine/>
    <w:qFormat/>
    <w:uiPriority w:val="0"/>
    <w:pPr>
      <w:ind w:left="-48"/>
    </w:pPr>
  </w:style>
  <w:style w:type="paragraph" w:customStyle="1" w:styleId="2665">
    <w:name w:val="标题412"/>
    <w:basedOn w:val="6"/>
    <w:next w:val="1"/>
    <w:autoRedefine/>
    <w:qFormat/>
    <w:uiPriority w:val="0"/>
    <w:pPr>
      <w:spacing w:before="160" w:after="170" w:line="360" w:lineRule="auto"/>
      <w:ind w:left="0" w:firstLine="0"/>
    </w:pPr>
    <w:rPr>
      <w:rFonts w:ascii="黑体"/>
      <w:sz w:val="24"/>
    </w:rPr>
  </w:style>
  <w:style w:type="paragraph" w:customStyle="1" w:styleId="2666">
    <w:name w:val="黑体三号"/>
    <w:basedOn w:val="418"/>
    <w:autoRedefine/>
    <w:qFormat/>
    <w:uiPriority w:val="0"/>
    <w:pPr>
      <w:jc w:val="center"/>
    </w:pPr>
    <w:rPr>
      <w:rFonts w:ascii="黑体" w:hAnsi="宋体" w:eastAsia="黑体" w:cs="宋体"/>
      <w:bCs/>
      <w:spacing w:val="0"/>
      <w:sz w:val="32"/>
    </w:rPr>
  </w:style>
  <w:style w:type="paragraph" w:customStyle="1" w:styleId="2667">
    <w:name w:val="表格内字体15"/>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668">
    <w:name w:val="标题正4"/>
    <w:basedOn w:val="1"/>
    <w:autoRedefine/>
    <w:qFormat/>
    <w:uiPriority w:val="0"/>
    <w:pPr>
      <w:spacing w:line="280" w:lineRule="exact"/>
      <w:jc w:val="center"/>
    </w:pPr>
    <w:rPr>
      <w:rFonts w:ascii="宋体" w:hAnsi="宋体"/>
      <w:color w:val="000000"/>
    </w:rPr>
  </w:style>
  <w:style w:type="paragraph" w:customStyle="1" w:styleId="2669">
    <w:name w:val="表题3124"/>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2670">
    <w:name w:val="Char Char Char Char3"/>
    <w:basedOn w:val="1"/>
    <w:autoRedefine/>
    <w:qFormat/>
    <w:uiPriority w:val="0"/>
  </w:style>
  <w:style w:type="paragraph" w:customStyle="1" w:styleId="2671">
    <w:name w:val="标题4312"/>
    <w:basedOn w:val="1"/>
    <w:autoRedefine/>
    <w:qFormat/>
    <w:uiPriority w:val="0"/>
    <w:pPr>
      <w:adjustRightInd w:val="0"/>
      <w:snapToGrid w:val="0"/>
      <w:spacing w:line="480" w:lineRule="exact"/>
      <w:jc w:val="center"/>
    </w:pPr>
    <w:rPr>
      <w:rFonts w:ascii="宋体" w:hAnsi="宋体" w:cs="宋体"/>
      <w:sz w:val="24"/>
    </w:rPr>
  </w:style>
  <w:style w:type="paragraph" w:customStyle="1" w:styleId="2672">
    <w:name w:val="正文修改11"/>
    <w:basedOn w:val="193"/>
    <w:autoRedefine/>
    <w:qFormat/>
    <w:uiPriority w:val="0"/>
    <w:rPr>
      <w:rFonts w:hAnsi="宋体"/>
      <w:color w:val="000000"/>
    </w:rPr>
  </w:style>
  <w:style w:type="paragraph" w:customStyle="1" w:styleId="2673">
    <w:name w:val="表内文字小"/>
    <w:basedOn w:val="1"/>
    <w:autoRedefine/>
    <w:qFormat/>
    <w:uiPriority w:val="0"/>
    <w:pPr>
      <w:adjustRightInd w:val="0"/>
      <w:snapToGrid w:val="0"/>
      <w:jc w:val="center"/>
    </w:pPr>
    <w:rPr>
      <w:rFonts w:ascii="宋体" w:hAnsi="Times"/>
      <w:szCs w:val="20"/>
    </w:rPr>
  </w:style>
  <w:style w:type="paragraph" w:customStyle="1" w:styleId="2674">
    <w:name w:val="正文格式8"/>
    <w:basedOn w:val="1"/>
    <w:autoRedefine/>
    <w:qFormat/>
    <w:uiPriority w:val="0"/>
    <w:pPr>
      <w:spacing w:line="360" w:lineRule="auto"/>
      <w:ind w:firstLine="482"/>
    </w:pPr>
    <w:rPr>
      <w:rFonts w:ascii="宋体" w:hAnsi="宋体"/>
      <w:sz w:val="24"/>
    </w:rPr>
  </w:style>
  <w:style w:type="paragraph" w:customStyle="1" w:styleId="2675">
    <w:name w:val="Char13"/>
    <w:basedOn w:val="1"/>
    <w:autoRedefine/>
    <w:qFormat/>
    <w:uiPriority w:val="0"/>
  </w:style>
  <w:style w:type="paragraph" w:customStyle="1" w:styleId="2676">
    <w:name w:val="1 Char Char Char Char Char Char Char Char Char Char Char Char Char Char Char Char Char Char Char"/>
    <w:basedOn w:val="1"/>
    <w:autoRedefine/>
    <w:qFormat/>
    <w:uiPriority w:val="0"/>
    <w:pPr>
      <w:adjustRightInd w:val="0"/>
      <w:spacing w:line="360" w:lineRule="auto"/>
    </w:pPr>
    <w:rPr>
      <w:kern w:val="0"/>
      <w:sz w:val="24"/>
      <w:szCs w:val="20"/>
    </w:rPr>
  </w:style>
  <w:style w:type="paragraph" w:customStyle="1" w:styleId="2677">
    <w:name w:val="A正文1"/>
    <w:basedOn w:val="1"/>
    <w:autoRedefine/>
    <w:qFormat/>
    <w:uiPriority w:val="0"/>
    <w:pPr>
      <w:widowControl/>
      <w:overflowPunct w:val="0"/>
      <w:autoSpaceDE w:val="0"/>
      <w:autoSpaceDN w:val="0"/>
      <w:adjustRightInd w:val="0"/>
      <w:spacing w:line="360" w:lineRule="auto"/>
      <w:ind w:firstLine="200" w:firstLineChars="200"/>
      <w:jc w:val="left"/>
      <w:textAlignment w:val="baseline"/>
    </w:pPr>
    <w:rPr>
      <w:rFonts w:eastAsia="仿宋_GB2312"/>
      <w:kern w:val="0"/>
      <w:sz w:val="24"/>
    </w:rPr>
  </w:style>
  <w:style w:type="paragraph" w:customStyle="1" w:styleId="2678">
    <w:name w:val="附件7"/>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2679">
    <w:name w:val="标题43132"/>
    <w:basedOn w:val="1"/>
    <w:autoRedefine/>
    <w:qFormat/>
    <w:uiPriority w:val="0"/>
    <w:pPr>
      <w:adjustRightInd w:val="0"/>
      <w:snapToGrid w:val="0"/>
      <w:spacing w:line="480" w:lineRule="exact"/>
      <w:jc w:val="center"/>
    </w:pPr>
    <w:rPr>
      <w:rFonts w:ascii="宋体" w:hAnsi="宋体" w:cs="宋体"/>
      <w:sz w:val="24"/>
    </w:rPr>
  </w:style>
  <w:style w:type="paragraph" w:customStyle="1" w:styleId="2680">
    <w:name w:val="报告 Char"/>
    <w:basedOn w:val="1"/>
    <w:autoRedefine/>
    <w:qFormat/>
    <w:uiPriority w:val="0"/>
    <w:pPr>
      <w:adjustRightInd w:val="0"/>
      <w:spacing w:line="360" w:lineRule="auto"/>
      <w:ind w:firstLine="505"/>
      <w:textAlignment w:val="baseline"/>
    </w:pPr>
    <w:rPr>
      <w:sz w:val="24"/>
    </w:rPr>
  </w:style>
  <w:style w:type="paragraph" w:customStyle="1" w:styleId="2681">
    <w:name w:val="样式 正文缩进 + 宋体 黑色1"/>
    <w:basedOn w:val="9"/>
    <w:autoRedefine/>
    <w:qFormat/>
    <w:uiPriority w:val="0"/>
    <w:pPr>
      <w:spacing w:line="360" w:lineRule="auto"/>
      <w:ind w:firstLine="200"/>
      <w:jc w:val="left"/>
    </w:pPr>
    <w:rPr>
      <w:rFonts w:ascii="宋体" w:hAnsi="宋体"/>
      <w:color w:val="000000"/>
      <w:kern w:val="0"/>
      <w:sz w:val="24"/>
      <w:lang w:val="en-US"/>
    </w:rPr>
  </w:style>
  <w:style w:type="paragraph" w:customStyle="1" w:styleId="2682">
    <w:name w:val="Char Char Char Char Char Char Char13"/>
    <w:basedOn w:val="1"/>
    <w:autoRedefine/>
    <w:qFormat/>
    <w:uiPriority w:val="0"/>
  </w:style>
  <w:style w:type="paragraph" w:customStyle="1" w:styleId="2683">
    <w:name w:val="正文格式＝21"/>
    <w:basedOn w:val="418"/>
    <w:next w:val="418"/>
    <w:autoRedefine/>
    <w:qFormat/>
    <w:uiPriority w:val="0"/>
    <w:rPr>
      <w:rFonts w:ascii="宋体" w:hAnsi="宋体"/>
      <w:b w:val="0"/>
      <w:spacing w:val="0"/>
      <w:sz w:val="24"/>
      <w:szCs w:val="24"/>
    </w:rPr>
  </w:style>
  <w:style w:type="paragraph" w:customStyle="1" w:styleId="2684">
    <w:name w:val="Char Char Char Char Char Char Char3"/>
    <w:basedOn w:val="1"/>
    <w:autoRedefine/>
    <w:qFormat/>
    <w:uiPriority w:val="0"/>
  </w:style>
  <w:style w:type="paragraph" w:customStyle="1" w:styleId="2685">
    <w:name w:val="图题25"/>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686">
    <w:name w:val="Char Char Char Char Char Char Char Char Char Char Char Char Char Char1"/>
    <w:basedOn w:val="1"/>
    <w:autoRedefine/>
    <w:qFormat/>
    <w:uiPriority w:val="39"/>
    <w:rPr>
      <w:sz w:val="24"/>
    </w:rPr>
  </w:style>
  <w:style w:type="paragraph" w:customStyle="1" w:styleId="2687">
    <w:name w:val="样式 正文缩进 + 宋体 黑色 首行缩进:  2 字符1"/>
    <w:basedOn w:val="9"/>
    <w:autoRedefine/>
    <w:qFormat/>
    <w:uiPriority w:val="0"/>
    <w:pPr>
      <w:spacing w:line="360" w:lineRule="auto"/>
      <w:ind w:firstLine="480"/>
      <w:jc w:val="left"/>
    </w:pPr>
    <w:rPr>
      <w:rFonts w:ascii="宋体" w:hAnsi="宋体" w:cs="宋体"/>
      <w:color w:val="FF00FF"/>
      <w:kern w:val="0"/>
      <w:sz w:val="24"/>
      <w:szCs w:val="20"/>
      <w:lang w:val="en-US"/>
    </w:rPr>
  </w:style>
  <w:style w:type="paragraph" w:customStyle="1" w:styleId="2688">
    <w:name w:val="图表题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689">
    <w:name w:val="表题9"/>
    <w:basedOn w:val="45"/>
    <w:autoRedefine/>
    <w:qFormat/>
    <w:uiPriority w:val="0"/>
    <w:pPr>
      <w:adjustRightInd w:val="0"/>
      <w:snapToGrid w:val="0"/>
      <w:spacing w:line="300" w:lineRule="auto"/>
      <w:jc w:val="center"/>
    </w:pPr>
    <w:rPr>
      <w:rFonts w:ascii="黑体" w:eastAsia="黑体"/>
      <w:sz w:val="24"/>
      <w:szCs w:val="20"/>
    </w:rPr>
  </w:style>
  <w:style w:type="paragraph" w:customStyle="1" w:styleId="2690">
    <w:name w:val="正文格式1"/>
    <w:basedOn w:val="1"/>
    <w:autoRedefine/>
    <w:qFormat/>
    <w:uiPriority w:val="0"/>
    <w:pPr>
      <w:spacing w:line="360" w:lineRule="auto"/>
      <w:ind w:firstLine="482"/>
    </w:pPr>
    <w:rPr>
      <w:rFonts w:ascii="宋体" w:hAnsi="宋体"/>
      <w:sz w:val="24"/>
    </w:rPr>
  </w:style>
  <w:style w:type="paragraph" w:customStyle="1" w:styleId="2691">
    <w:name w:val="表内文字小221"/>
    <w:basedOn w:val="1"/>
    <w:autoRedefine/>
    <w:qFormat/>
    <w:uiPriority w:val="0"/>
    <w:pPr>
      <w:adjustRightInd w:val="0"/>
      <w:snapToGrid w:val="0"/>
      <w:jc w:val="center"/>
    </w:pPr>
    <w:rPr>
      <w:rFonts w:ascii="宋体" w:hAnsi="Times"/>
      <w:bCs/>
      <w:color w:val="000000"/>
      <w:szCs w:val="20"/>
    </w:rPr>
  </w:style>
  <w:style w:type="paragraph" w:customStyle="1" w:styleId="2692">
    <w:name w:val="正文格式34"/>
    <w:basedOn w:val="1"/>
    <w:autoRedefine/>
    <w:qFormat/>
    <w:uiPriority w:val="0"/>
    <w:pPr>
      <w:spacing w:line="360" w:lineRule="auto"/>
      <w:ind w:firstLine="482"/>
    </w:pPr>
    <w:rPr>
      <w:rFonts w:ascii="宋体" w:hAnsi="宋体"/>
      <w:sz w:val="24"/>
    </w:rPr>
  </w:style>
  <w:style w:type="paragraph" w:customStyle="1" w:styleId="2693">
    <w:name w:val="Char4 Char Char Char Char Char Char Char Char Char Char Char Char Char Char Char Char Char1 Char"/>
    <w:basedOn w:val="1"/>
    <w:autoRedefine/>
    <w:qFormat/>
    <w:uiPriority w:val="0"/>
    <w:pPr>
      <w:spacing w:line="240" w:lineRule="exact"/>
      <w:ind w:firstLine="200" w:firstLineChars="200"/>
    </w:pPr>
    <w:rPr>
      <w:sz w:val="28"/>
      <w:szCs w:val="28"/>
    </w:rPr>
  </w:style>
  <w:style w:type="paragraph" w:customStyle="1" w:styleId="2694">
    <w:name w:val="Char1 Char Char Char Char Char1 Char"/>
    <w:basedOn w:val="1"/>
    <w:autoRedefine/>
    <w:qFormat/>
    <w:uiPriority w:val="0"/>
    <w:rPr>
      <w:szCs w:val="21"/>
    </w:rPr>
  </w:style>
  <w:style w:type="paragraph" w:customStyle="1" w:styleId="2695">
    <w:name w:val="Char Char Char1 Char Char Char Char Char Char Char Char Char Char Char Char Char Char Char Char Char Char Char Char Char Char1"/>
    <w:basedOn w:val="1"/>
    <w:autoRedefine/>
    <w:qFormat/>
    <w:uiPriority w:val="39"/>
    <w:rPr>
      <w:szCs w:val="20"/>
    </w:rPr>
  </w:style>
  <w:style w:type="paragraph" w:customStyle="1" w:styleId="2696">
    <w:name w:val="Char16"/>
    <w:basedOn w:val="1"/>
    <w:autoRedefine/>
    <w:qFormat/>
    <w:uiPriority w:val="0"/>
    <w:pPr>
      <w:ind w:left="-48"/>
    </w:pPr>
  </w:style>
  <w:style w:type="paragraph" w:customStyle="1" w:styleId="2697">
    <w:name w:val="文1"/>
    <w:basedOn w:val="1"/>
    <w:autoRedefine/>
    <w:qFormat/>
    <w:uiPriority w:val="0"/>
    <w:pPr>
      <w:snapToGrid w:val="0"/>
      <w:spacing w:line="360" w:lineRule="auto"/>
      <w:ind w:firstLine="567"/>
    </w:pPr>
    <w:rPr>
      <w:rFonts w:ascii="Arial" w:hAnsi="Arial" w:eastAsia="幼圆"/>
      <w:sz w:val="24"/>
      <w:szCs w:val="20"/>
    </w:rPr>
  </w:style>
  <w:style w:type="paragraph" w:customStyle="1" w:styleId="2698">
    <w:name w:val="正文修改21"/>
    <w:basedOn w:val="193"/>
    <w:autoRedefine/>
    <w:qFormat/>
    <w:uiPriority w:val="0"/>
    <w:rPr>
      <w:rFonts w:hAnsi="宋体"/>
      <w:color w:val="000000"/>
    </w:rPr>
  </w:style>
  <w:style w:type="paragraph" w:customStyle="1" w:styleId="2699">
    <w:name w:val="Char Char Char Char Char Char Char Char Char Char Char Char Char Char Char Char Char Char Char Char Char Char Char Char Char Char Char Char Char Char1"/>
    <w:basedOn w:val="1"/>
    <w:autoRedefine/>
    <w:qFormat/>
    <w:uiPriority w:val="39"/>
    <w:rPr>
      <w:sz w:val="24"/>
    </w:rPr>
  </w:style>
  <w:style w:type="paragraph" w:customStyle="1" w:styleId="2700">
    <w:name w:val="Char1 Char Char Char Char Char Char Char Char Char1 Char Char Char Char Char Char"/>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2701">
    <w:name w:val="Char Char Char Char Char Char Char22"/>
    <w:basedOn w:val="1"/>
    <w:autoRedefine/>
    <w:qFormat/>
    <w:uiPriority w:val="0"/>
  </w:style>
  <w:style w:type="paragraph" w:customStyle="1" w:styleId="2702">
    <w:name w:val="Char Char Char Char Char Char Char Char Char Char Char1"/>
    <w:basedOn w:val="1"/>
    <w:autoRedefine/>
    <w:qFormat/>
    <w:uiPriority w:val="0"/>
    <w:rPr>
      <w:sz w:val="24"/>
    </w:rPr>
  </w:style>
  <w:style w:type="paragraph" w:customStyle="1" w:styleId="2703">
    <w:name w:val="Char Char Char Char Char Char Char21"/>
    <w:basedOn w:val="1"/>
    <w:autoRedefine/>
    <w:qFormat/>
    <w:uiPriority w:val="0"/>
  </w:style>
  <w:style w:type="paragraph" w:customStyle="1" w:styleId="2704">
    <w:name w:val="条文"/>
    <w:basedOn w:val="7"/>
    <w:next w:val="1"/>
    <w:autoRedefine/>
    <w:qFormat/>
    <w:uiPriority w:val="0"/>
  </w:style>
  <w:style w:type="paragraph" w:customStyle="1" w:styleId="2705">
    <w:name w:val="表内宋5中21"/>
    <w:basedOn w:val="1"/>
    <w:autoRedefine/>
    <w:qFormat/>
    <w:uiPriority w:val="0"/>
    <w:pPr>
      <w:adjustRightInd w:val="0"/>
      <w:snapToGrid w:val="0"/>
      <w:jc w:val="center"/>
      <w:textAlignment w:val="baseline"/>
    </w:pPr>
    <w:rPr>
      <w:rFonts w:ascii="宋体" w:hAnsi="宋体"/>
      <w:kern w:val="0"/>
      <w:szCs w:val="20"/>
    </w:rPr>
  </w:style>
  <w:style w:type="paragraph" w:customStyle="1" w:styleId="2706">
    <w:name w:val="Char Char Char Char Char Char Char Char Char Char Char Char Char Char Char Char Char Char Char Char Char Char Char Char1"/>
    <w:basedOn w:val="1"/>
    <w:autoRedefine/>
    <w:qFormat/>
    <w:uiPriority w:val="39"/>
    <w:rPr>
      <w:sz w:val="24"/>
    </w:rPr>
  </w:style>
  <w:style w:type="paragraph" w:customStyle="1" w:styleId="2707">
    <w:name w:val="Char Char2 Char Char Char Char111"/>
    <w:basedOn w:val="1"/>
    <w:autoRedefine/>
    <w:qFormat/>
    <w:uiPriority w:val="0"/>
  </w:style>
  <w:style w:type="paragraph" w:customStyle="1" w:styleId="2708">
    <w:name w:val="Char23"/>
    <w:basedOn w:val="1"/>
    <w:autoRedefine/>
    <w:qFormat/>
    <w:uiPriority w:val="0"/>
    <w:pPr>
      <w:ind w:left="-48"/>
    </w:pPr>
  </w:style>
  <w:style w:type="paragraph" w:customStyle="1" w:styleId="2709">
    <w:name w:val="表内文字小3121"/>
    <w:basedOn w:val="1"/>
    <w:autoRedefine/>
    <w:qFormat/>
    <w:uiPriority w:val="0"/>
    <w:pPr>
      <w:adjustRightInd w:val="0"/>
      <w:snapToGrid w:val="0"/>
      <w:jc w:val="center"/>
    </w:pPr>
    <w:rPr>
      <w:rFonts w:ascii="宋体" w:hAnsi="Times" w:cs="宋体"/>
      <w:bCs/>
      <w:color w:val="003366"/>
      <w:szCs w:val="20"/>
    </w:rPr>
  </w:style>
  <w:style w:type="paragraph" w:customStyle="1" w:styleId="2710">
    <w:name w:val="Char21"/>
    <w:basedOn w:val="1"/>
    <w:autoRedefine/>
    <w:qFormat/>
    <w:uiPriority w:val="0"/>
    <w:rPr>
      <w:sz w:val="24"/>
    </w:rPr>
  </w:style>
  <w:style w:type="paragraph" w:customStyle="1" w:styleId="2711">
    <w:name w:val="默认段落字体 Para Char Char Char Char Char Char Char Char Char Char Char Char Char Char Char"/>
    <w:basedOn w:val="26"/>
    <w:autoRedefine/>
    <w:qFormat/>
    <w:uiPriority w:val="0"/>
    <w:rPr>
      <w:rFonts w:ascii="Tahoma" w:hAnsi="Tahoma"/>
      <w:sz w:val="24"/>
      <w:szCs w:val="24"/>
    </w:rPr>
  </w:style>
  <w:style w:type="paragraph" w:customStyle="1" w:styleId="2712">
    <w:name w:val="Char Char2 Char Char Char Char2"/>
    <w:basedOn w:val="1"/>
    <w:autoRedefine/>
    <w:qFormat/>
    <w:uiPriority w:val="0"/>
  </w:style>
  <w:style w:type="paragraph" w:customStyle="1" w:styleId="2713">
    <w:name w:val="Char Char Char Char Char Char Char Char Char Char Char1 Char Char Char Char Char Char Char Char Char Char Char Char Char Char Char Char1"/>
    <w:basedOn w:val="1"/>
    <w:autoRedefine/>
    <w:qFormat/>
    <w:uiPriority w:val="39"/>
    <w:rPr>
      <w:sz w:val="24"/>
    </w:rPr>
  </w:style>
  <w:style w:type="paragraph" w:customStyle="1" w:styleId="2714">
    <w:name w:val="样式121"/>
    <w:basedOn w:val="1605"/>
    <w:autoRedefine/>
    <w:qFormat/>
    <w:uiPriority w:val="0"/>
    <w:pPr>
      <w:spacing w:line="240" w:lineRule="auto"/>
      <w:ind w:firstLine="0"/>
      <w:jc w:val="center"/>
    </w:pPr>
    <w:rPr>
      <w:rFonts w:cs="Times New Roman"/>
      <w:b/>
      <w:color w:val="auto"/>
      <w:szCs w:val="20"/>
    </w:rPr>
  </w:style>
  <w:style w:type="paragraph" w:customStyle="1" w:styleId="2715">
    <w:name w:val="mp"/>
    <w:basedOn w:val="1"/>
    <w:autoRedefine/>
    <w:qFormat/>
    <w:uiPriority w:val="0"/>
    <w:pPr>
      <w:widowControl/>
      <w:spacing w:before="100" w:beforeAutospacing="1" w:after="100" w:afterAutospacing="1" w:line="400" w:lineRule="atLeast"/>
      <w:ind w:firstLine="360"/>
    </w:pPr>
    <w:rPr>
      <w:rFonts w:ascii="ˎ̥" w:hAnsi="ˎ̥" w:cs="宋体"/>
      <w:color w:val="454D63"/>
      <w:kern w:val="0"/>
      <w:sz w:val="24"/>
    </w:rPr>
  </w:style>
  <w:style w:type="paragraph" w:customStyle="1" w:styleId="2716">
    <w:name w:val="表文字521"/>
    <w:basedOn w:val="1"/>
    <w:autoRedefine/>
    <w:qFormat/>
    <w:uiPriority w:val="0"/>
    <w:pPr>
      <w:adjustRightInd w:val="0"/>
      <w:jc w:val="left"/>
      <w:textAlignment w:val="baseline"/>
    </w:pPr>
    <w:rPr>
      <w:rFonts w:ascii="宋体"/>
      <w:kern w:val="0"/>
      <w:szCs w:val="20"/>
    </w:rPr>
  </w:style>
  <w:style w:type="paragraph" w:customStyle="1" w:styleId="2717">
    <w:name w:val="Char Char Char Char Char Char Char14"/>
    <w:basedOn w:val="1"/>
    <w:autoRedefine/>
    <w:qFormat/>
    <w:uiPriority w:val="0"/>
  </w:style>
  <w:style w:type="paragraph" w:customStyle="1" w:styleId="2718">
    <w:name w:val="Char Char Char1 Char Char Char Char Char Char Char Char Char Char Char Char Char Char Char1 Char Char Char Char Char Char Char Char Char Char Char Char Char Char Char Char Char Char Char Char Char Char Char Char Char Char Char1"/>
    <w:basedOn w:val="1"/>
    <w:autoRedefine/>
    <w:qFormat/>
    <w:uiPriority w:val="39"/>
    <w:pPr>
      <w:spacing w:line="240" w:lineRule="exact"/>
      <w:ind w:firstLine="200" w:firstLineChars="200"/>
    </w:pPr>
    <w:rPr>
      <w:sz w:val="28"/>
      <w:szCs w:val="28"/>
    </w:rPr>
  </w:style>
  <w:style w:type="paragraph" w:customStyle="1" w:styleId="2719">
    <w:name w:val="表格内字体34"/>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720">
    <w:name w:val="标题正1"/>
    <w:basedOn w:val="1"/>
    <w:autoRedefine/>
    <w:qFormat/>
    <w:uiPriority w:val="0"/>
    <w:pPr>
      <w:spacing w:before="60" w:after="60" w:line="500" w:lineRule="exact"/>
    </w:pPr>
    <w:rPr>
      <w:rFonts w:ascii="黑体" w:eastAsia="黑体"/>
      <w:sz w:val="32"/>
      <w:szCs w:val="28"/>
    </w:rPr>
  </w:style>
  <w:style w:type="paragraph" w:customStyle="1" w:styleId="2721">
    <w:name w:val="Char15"/>
    <w:basedOn w:val="1"/>
    <w:autoRedefine/>
    <w:qFormat/>
    <w:uiPriority w:val="0"/>
    <w:pPr>
      <w:ind w:left="-48"/>
    </w:pPr>
  </w:style>
  <w:style w:type="paragraph" w:customStyle="1" w:styleId="2722">
    <w:name w:val="Char Char Char Char Char Char Char Char Char Char Char Char Char Char Char Char Char Char1"/>
    <w:basedOn w:val="1"/>
    <w:autoRedefine/>
    <w:qFormat/>
    <w:uiPriority w:val="39"/>
    <w:rPr>
      <w:sz w:val="24"/>
    </w:rPr>
  </w:style>
  <w:style w:type="paragraph" w:customStyle="1" w:styleId="2723">
    <w:name w:val="Char Char Char Char Char Char Char Char1 Char Char Char Char Char Char Char Char Char Char Char Char1 Char1"/>
    <w:basedOn w:val="1"/>
    <w:autoRedefine/>
    <w:qFormat/>
    <w:uiPriority w:val="39"/>
    <w:rPr>
      <w:sz w:val="24"/>
    </w:rPr>
  </w:style>
  <w:style w:type="paragraph" w:customStyle="1" w:styleId="2724">
    <w:name w:val="Char Char Char Char Char Char Char5"/>
    <w:basedOn w:val="1"/>
    <w:autoRedefine/>
    <w:qFormat/>
    <w:uiPriority w:val="0"/>
  </w:style>
  <w:style w:type="paragraph" w:customStyle="1" w:styleId="2725">
    <w:name w:val="正文格式＝7"/>
    <w:basedOn w:val="418"/>
    <w:next w:val="418"/>
    <w:autoRedefine/>
    <w:qFormat/>
    <w:uiPriority w:val="0"/>
    <w:rPr>
      <w:rFonts w:ascii="宋体" w:hAnsi="宋体"/>
      <w:b w:val="0"/>
      <w:spacing w:val="0"/>
      <w:sz w:val="24"/>
      <w:szCs w:val="24"/>
    </w:rPr>
  </w:style>
  <w:style w:type="paragraph" w:customStyle="1" w:styleId="2726">
    <w:name w:val="Char Char Char Char Char Char Char Char Char Char Char1 Char Char Char Char Char Char2"/>
    <w:basedOn w:val="1"/>
    <w:autoRedefine/>
    <w:qFormat/>
    <w:uiPriority w:val="39"/>
    <w:rPr>
      <w:sz w:val="24"/>
    </w:rPr>
  </w:style>
  <w:style w:type="paragraph" w:customStyle="1" w:styleId="2727">
    <w:name w:val="Char2 Char Char Char Char Char"/>
    <w:basedOn w:val="1"/>
    <w:autoRedefine/>
    <w:qFormat/>
    <w:uiPriority w:val="0"/>
    <w:rPr>
      <w:sz w:val="24"/>
    </w:rPr>
  </w:style>
  <w:style w:type="paragraph" w:customStyle="1" w:styleId="2728">
    <w:name w:val="Char Char Char Char Char Char Char Char Char Char Char1 Char Char Char Char Char Char1 Char Char Char Char Char Char Char Char Char Char Char Char1"/>
    <w:basedOn w:val="1"/>
    <w:autoRedefine/>
    <w:qFormat/>
    <w:uiPriority w:val="39"/>
    <w:rPr>
      <w:sz w:val="24"/>
    </w:rPr>
  </w:style>
  <w:style w:type="paragraph" w:customStyle="1" w:styleId="2729">
    <w:name w:val="燕山正文21"/>
    <w:basedOn w:val="1"/>
    <w:autoRedefine/>
    <w:qFormat/>
    <w:uiPriority w:val="0"/>
    <w:pPr>
      <w:tabs>
        <w:tab w:val="left" w:pos="4680"/>
      </w:tabs>
      <w:adjustRightInd w:val="0"/>
      <w:snapToGrid w:val="0"/>
      <w:spacing w:line="480" w:lineRule="exact"/>
    </w:pPr>
    <w:rPr>
      <w:rFonts w:ascii="宋体" w:cs="宋体"/>
      <w:sz w:val="24"/>
    </w:rPr>
  </w:style>
  <w:style w:type="paragraph" w:customStyle="1" w:styleId="2730">
    <w:name w:val="表中文字21"/>
    <w:basedOn w:val="1"/>
    <w:autoRedefine/>
    <w:qFormat/>
    <w:uiPriority w:val="0"/>
    <w:pPr>
      <w:widowControl/>
      <w:adjustRightInd w:val="0"/>
      <w:spacing w:line="240" w:lineRule="atLeast"/>
      <w:ind w:right="-42" w:rightChars="-20"/>
      <w:jc w:val="center"/>
      <w:textAlignment w:val="baseline"/>
    </w:pPr>
    <w:rPr>
      <w:rFonts w:ascii="宋体"/>
      <w:kern w:val="0"/>
      <w:szCs w:val="21"/>
    </w:rPr>
  </w:style>
  <w:style w:type="paragraph" w:customStyle="1" w:styleId="2731">
    <w:name w:val="InstÀÀll4"/>
    <w:autoRedefine/>
    <w:qFormat/>
    <w:uiPriority w:val="39"/>
    <w:pPr>
      <w:tabs>
        <w:tab w:val="left" w:pos="-720"/>
      </w:tabs>
      <w:suppressAutoHyphens/>
      <w:jc w:val="both"/>
    </w:pPr>
    <w:rPr>
      <w:rFonts w:ascii="Courier" w:hAnsi="Courier" w:eastAsia="宋体" w:cs="Times New Roman"/>
      <w:spacing w:val="-3"/>
      <w:sz w:val="24"/>
      <w:lang w:val="en-US" w:eastAsia="sv-SE" w:bidi="ar-SA"/>
    </w:rPr>
  </w:style>
  <w:style w:type="paragraph" w:customStyle="1" w:styleId="2732">
    <w:name w:val="表题121"/>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2733">
    <w:name w:val="Char Char Char1 Char Char"/>
    <w:basedOn w:val="1"/>
    <w:autoRedefine/>
    <w:qFormat/>
    <w:uiPriority w:val="0"/>
    <w:rPr>
      <w:rFonts w:ascii="黑体" w:hAnsi="黑体" w:eastAsia="黑体"/>
      <w:b/>
      <w:spacing w:val="10"/>
      <w:sz w:val="28"/>
      <w:szCs w:val="20"/>
    </w:rPr>
  </w:style>
  <w:style w:type="paragraph" w:customStyle="1" w:styleId="2734">
    <w:name w:val="默认段落字体 Para Char Char Char Char6"/>
    <w:basedOn w:val="1"/>
    <w:autoRedefine/>
    <w:qFormat/>
    <w:uiPriority w:val="0"/>
  </w:style>
  <w:style w:type="paragraph" w:customStyle="1" w:styleId="2735">
    <w:name w:val="正文格式＝31"/>
    <w:basedOn w:val="418"/>
    <w:next w:val="418"/>
    <w:autoRedefine/>
    <w:qFormat/>
    <w:uiPriority w:val="0"/>
    <w:rPr>
      <w:rFonts w:ascii="宋体" w:hAnsi="宋体"/>
      <w:b w:val="0"/>
      <w:spacing w:val="0"/>
      <w:sz w:val="24"/>
      <w:szCs w:val="24"/>
    </w:rPr>
  </w:style>
  <w:style w:type="paragraph" w:customStyle="1" w:styleId="2736">
    <w:name w:val="Char Char Char Char1 Char Char Char Char Char Char Char"/>
    <w:basedOn w:val="1"/>
    <w:autoRedefine/>
    <w:qFormat/>
    <w:uiPriority w:val="0"/>
    <w:pPr>
      <w:tabs>
        <w:tab w:val="left" w:pos="360"/>
      </w:tabs>
      <w:snapToGrid w:val="0"/>
      <w:spacing w:line="360" w:lineRule="auto"/>
    </w:pPr>
    <w:rPr>
      <w:rFonts w:eastAsia="仿宋_GB2312" w:cs="宋体"/>
      <w:sz w:val="24"/>
    </w:rPr>
  </w:style>
  <w:style w:type="paragraph" w:customStyle="1" w:styleId="2737">
    <w:name w:val="Char Char Char Char1 Char Char Char2"/>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2738">
    <w:name w:val="Char Char Char Char Char Char Char Char Char Char Char Char Char Char Char Char Char Char Char Char Char Char Char Char Char Char2"/>
    <w:basedOn w:val="1"/>
    <w:autoRedefine/>
    <w:qFormat/>
    <w:uiPriority w:val="39"/>
    <w:rPr>
      <w:sz w:val="24"/>
    </w:rPr>
  </w:style>
  <w:style w:type="paragraph" w:customStyle="1" w:styleId="2739">
    <w:name w:val="little"/>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2740">
    <w:name w:val="表内5中2"/>
    <w:basedOn w:val="1"/>
    <w:autoRedefine/>
    <w:qFormat/>
    <w:uiPriority w:val="0"/>
    <w:pPr>
      <w:adjustRightInd w:val="0"/>
      <w:snapToGrid w:val="0"/>
      <w:jc w:val="center"/>
    </w:pPr>
    <w:rPr>
      <w:rFonts w:ascii="宋体" w:hAnsi="宋体" w:cs="Arial"/>
      <w:snapToGrid w:val="0"/>
      <w:color w:val="000000"/>
      <w:szCs w:val="21"/>
    </w:rPr>
  </w:style>
  <w:style w:type="paragraph" w:customStyle="1" w:styleId="2741">
    <w:name w:val="Char Char Char Char Char Char Char Char Char Char Char1 Char Char Char Char Char Char11"/>
    <w:basedOn w:val="1"/>
    <w:autoRedefine/>
    <w:qFormat/>
    <w:uiPriority w:val="39"/>
    <w:rPr>
      <w:sz w:val="24"/>
    </w:rPr>
  </w:style>
  <w:style w:type="paragraph" w:customStyle="1" w:styleId="2742">
    <w:name w:val="Char111"/>
    <w:basedOn w:val="1"/>
    <w:autoRedefine/>
    <w:qFormat/>
    <w:uiPriority w:val="0"/>
    <w:pPr>
      <w:ind w:left="-48"/>
    </w:pPr>
  </w:style>
  <w:style w:type="paragraph" w:customStyle="1" w:styleId="2743">
    <w:name w:val="流程图"/>
    <w:basedOn w:val="1"/>
    <w:autoRedefine/>
    <w:qFormat/>
    <w:uiPriority w:val="0"/>
    <w:pPr>
      <w:tabs>
        <w:tab w:val="left" w:pos="0"/>
      </w:tabs>
      <w:autoSpaceDE w:val="0"/>
      <w:autoSpaceDN w:val="0"/>
      <w:adjustRightInd w:val="0"/>
      <w:spacing w:line="240" w:lineRule="atLeast"/>
      <w:jc w:val="center"/>
      <w:textAlignment w:val="bottom"/>
    </w:pPr>
    <w:rPr>
      <w:rFonts w:ascii="宋体" w:cs="宋体"/>
      <w:szCs w:val="21"/>
    </w:rPr>
  </w:style>
  <w:style w:type="paragraph" w:customStyle="1" w:styleId="2744">
    <w:name w:val="表格内字体8"/>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745">
    <w:name w:val="Char Char Char Char Char Char Char Char Char Char Char Char Char Char Char Char Char Char Char Char Char Char Char Char Char Char Char Char Char Char Char Char Char Char Char Char Char Char Char Char"/>
    <w:basedOn w:val="1"/>
    <w:autoRedefine/>
    <w:qFormat/>
    <w:uiPriority w:val="0"/>
    <w:rPr>
      <w:sz w:val="24"/>
    </w:rPr>
  </w:style>
  <w:style w:type="paragraph" w:customStyle="1" w:styleId="2746">
    <w:name w:val="Char Char Char Char Char Char Char Char Char Char Char Char1"/>
    <w:basedOn w:val="1"/>
    <w:autoRedefine/>
    <w:qFormat/>
    <w:uiPriority w:val="39"/>
    <w:rPr>
      <w:sz w:val="24"/>
    </w:rPr>
  </w:style>
  <w:style w:type="paragraph" w:customStyle="1" w:styleId="2747">
    <w:name w:val="Char Char Char Char Char Char Char Char Char1 Char Char Char Char Char Char Char1"/>
    <w:basedOn w:val="1"/>
    <w:autoRedefine/>
    <w:qFormat/>
    <w:uiPriority w:val="39"/>
    <w:rPr>
      <w:szCs w:val="21"/>
    </w:rPr>
  </w:style>
  <w:style w:type="paragraph" w:customStyle="1" w:styleId="2748">
    <w:name w:val="注释12"/>
    <w:basedOn w:val="418"/>
    <w:next w:val="34"/>
    <w:autoRedefine/>
    <w:qFormat/>
    <w:uiPriority w:val="0"/>
    <w:pPr>
      <w:spacing w:before="120" w:after="120" w:line="240" w:lineRule="auto"/>
      <w:ind w:firstLine="200" w:firstLineChars="200"/>
    </w:pPr>
    <w:rPr>
      <w:rFonts w:ascii="宋体" w:hAnsi="Times New Roman" w:cs="宋体"/>
      <w:b w:val="0"/>
      <w:spacing w:val="0"/>
    </w:rPr>
  </w:style>
  <w:style w:type="paragraph" w:customStyle="1" w:styleId="2749">
    <w:name w:val="Char Char Char Char Char Char Char41"/>
    <w:basedOn w:val="1"/>
    <w:autoRedefine/>
    <w:qFormat/>
    <w:uiPriority w:val="0"/>
  </w:style>
  <w:style w:type="paragraph" w:customStyle="1" w:styleId="2750">
    <w:name w:val="样式 左侧:  -0.16 厘米"/>
    <w:basedOn w:val="1"/>
    <w:autoRedefine/>
    <w:qFormat/>
    <w:uiPriority w:val="0"/>
    <w:pPr>
      <w:ind w:left="-90"/>
    </w:pPr>
    <w:rPr>
      <w:rFonts w:ascii="宋体" w:hAnsi="宋体" w:cs="宋体"/>
      <w:snapToGrid w:val="0"/>
      <w:kern w:val="0"/>
      <w:sz w:val="24"/>
    </w:rPr>
  </w:style>
  <w:style w:type="paragraph" w:customStyle="1" w:styleId="2751">
    <w:name w:val="Char Char1 Char1"/>
    <w:basedOn w:val="1"/>
    <w:autoRedefine/>
    <w:qFormat/>
    <w:uiPriority w:val="39"/>
    <w:pPr>
      <w:widowControl/>
      <w:spacing w:after="160" w:line="240" w:lineRule="exact"/>
      <w:jc w:val="left"/>
    </w:pPr>
    <w:rPr>
      <w:szCs w:val="20"/>
    </w:rPr>
  </w:style>
  <w:style w:type="paragraph" w:customStyle="1" w:styleId="2752">
    <w:name w:val="样式 五号 居中"/>
    <w:basedOn w:val="1"/>
    <w:autoRedefine/>
    <w:qFormat/>
    <w:uiPriority w:val="0"/>
    <w:pPr>
      <w:jc w:val="center"/>
    </w:pPr>
    <w:rPr>
      <w:rFonts w:ascii="宋体" w:hAnsi="宋体" w:cs="宋体"/>
      <w:snapToGrid w:val="0"/>
      <w:kern w:val="0"/>
      <w:szCs w:val="21"/>
    </w:rPr>
  </w:style>
  <w:style w:type="paragraph" w:customStyle="1" w:styleId="2753">
    <w:name w:val="正文文本缩进21"/>
    <w:basedOn w:val="1"/>
    <w:autoRedefine/>
    <w:qFormat/>
    <w:uiPriority w:val="39"/>
    <w:pPr>
      <w:spacing w:after="120" w:line="360" w:lineRule="auto"/>
      <w:ind w:left="200" w:leftChars="200" w:firstLine="200" w:firstLineChars="200"/>
    </w:pPr>
    <w:rPr>
      <w:sz w:val="24"/>
    </w:rPr>
  </w:style>
  <w:style w:type="paragraph" w:customStyle="1" w:styleId="2754">
    <w:name w:val="样式 左侧:  -0.16 厘米1"/>
    <w:basedOn w:val="1"/>
    <w:autoRedefine/>
    <w:qFormat/>
    <w:uiPriority w:val="0"/>
    <w:pPr>
      <w:ind w:left="-90"/>
    </w:pPr>
    <w:rPr>
      <w:rFonts w:ascii="宋体" w:hAnsi="宋体" w:cs="宋体"/>
      <w:snapToGrid w:val="0"/>
      <w:kern w:val="0"/>
      <w:sz w:val="24"/>
    </w:rPr>
  </w:style>
  <w:style w:type="paragraph" w:customStyle="1" w:styleId="2755">
    <w:name w:val="Char Char Char Char Char Char Char Char1"/>
    <w:basedOn w:val="1"/>
    <w:autoRedefine/>
    <w:qFormat/>
    <w:uiPriority w:val="39"/>
    <w:rPr>
      <w:sz w:val="24"/>
    </w:rPr>
  </w:style>
  <w:style w:type="paragraph" w:customStyle="1" w:styleId="2756">
    <w:name w:val="表格内字体21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757">
    <w:name w:val="c1"/>
    <w:autoRedefine/>
    <w:qFormat/>
    <w:uiPriority w:val="0"/>
    <w:pPr>
      <w:widowControl w:val="0"/>
      <w:autoSpaceDE w:val="0"/>
      <w:autoSpaceDN w:val="0"/>
      <w:adjustRightInd w:val="0"/>
      <w:jc w:val="both"/>
    </w:pPr>
    <w:rPr>
      <w:rFonts w:ascii="Arial" w:hAnsi="Arial" w:eastAsia="宋体" w:cs="Times New Roman"/>
      <w:sz w:val="24"/>
      <w:lang w:val="en-US" w:eastAsia="zh-CN" w:bidi="ar-SA"/>
    </w:rPr>
  </w:style>
  <w:style w:type="paragraph" w:customStyle="1" w:styleId="2758">
    <w:name w:val="样式 首行缩进:  0.77 厘米 行距: 1.5 倍行距"/>
    <w:basedOn w:val="1"/>
    <w:autoRedefine/>
    <w:qFormat/>
    <w:uiPriority w:val="0"/>
    <w:pPr>
      <w:spacing w:line="360" w:lineRule="auto"/>
      <w:ind w:firstLine="435"/>
    </w:pPr>
    <w:rPr>
      <w:rFonts w:ascii="宋体" w:hAnsi="宋体" w:cs="宋体"/>
      <w:snapToGrid w:val="0"/>
      <w:kern w:val="0"/>
      <w:sz w:val="24"/>
    </w:rPr>
  </w:style>
  <w:style w:type="paragraph" w:customStyle="1" w:styleId="2759">
    <w:name w:val="Char411"/>
    <w:basedOn w:val="1"/>
    <w:autoRedefine/>
    <w:qFormat/>
    <w:uiPriority w:val="0"/>
    <w:pPr>
      <w:ind w:left="-48"/>
    </w:pPr>
  </w:style>
  <w:style w:type="paragraph" w:customStyle="1" w:styleId="2760">
    <w:name w:val="Char912"/>
    <w:basedOn w:val="1"/>
    <w:autoRedefine/>
    <w:qFormat/>
    <w:uiPriority w:val="0"/>
    <w:pPr>
      <w:ind w:left="-48"/>
    </w:pPr>
  </w:style>
  <w:style w:type="paragraph" w:customStyle="1" w:styleId="2761">
    <w:name w:val="样式 标题 3标题 3 Char CharH3h33rd level标题3 + 段前: 0.5 行"/>
    <w:basedOn w:val="5"/>
    <w:autoRedefine/>
    <w:qFormat/>
    <w:uiPriority w:val="0"/>
    <w:pPr>
      <w:keepNext w:val="0"/>
      <w:keepLines w:val="0"/>
      <w:widowControl/>
      <w:spacing w:before="0" w:after="0" w:line="480" w:lineRule="exact"/>
      <w:ind w:firstLine="560" w:firstLineChars="200"/>
      <w:outlineLvl w:val="9"/>
    </w:pPr>
    <w:rPr>
      <w:rFonts w:ascii="楷体_GB2312" w:hAnsi="宋体" w:eastAsia="楷体_GB2312"/>
      <w:b w:val="0"/>
      <w:color w:val="FF0000"/>
      <w:kern w:val="0"/>
      <w:sz w:val="28"/>
      <w:szCs w:val="28"/>
      <w:lang w:val="en-US"/>
    </w:rPr>
  </w:style>
  <w:style w:type="paragraph" w:customStyle="1" w:styleId="2762">
    <w:name w:val="表题21112"/>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2763">
    <w:name w:val="初设正文"/>
    <w:basedOn w:val="1"/>
    <w:autoRedefine/>
    <w:qFormat/>
    <w:uiPriority w:val="0"/>
    <w:pPr>
      <w:spacing w:after="120" w:line="440" w:lineRule="exact"/>
      <w:ind w:left="425" w:firstLine="425"/>
    </w:pPr>
    <w:rPr>
      <w:rFonts w:ascii="Arial" w:hAnsi="Arial" w:cs="宋体"/>
      <w:kern w:val="0"/>
      <w:sz w:val="24"/>
      <w:szCs w:val="20"/>
    </w:rPr>
  </w:style>
  <w:style w:type="paragraph" w:customStyle="1" w:styleId="2764">
    <w:name w:val="表31"/>
    <w:basedOn w:val="1"/>
    <w:autoRedefine/>
    <w:qFormat/>
    <w:uiPriority w:val="0"/>
    <w:pPr>
      <w:adjustRightInd w:val="0"/>
      <w:snapToGrid w:val="0"/>
      <w:jc w:val="center"/>
    </w:pPr>
    <w:rPr>
      <w:rFonts w:eastAsia="仿宋_GB2312"/>
      <w:sz w:val="24"/>
    </w:rPr>
  </w:style>
  <w:style w:type="paragraph" w:customStyle="1" w:styleId="2765">
    <w:name w:val="图题21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766">
    <w:name w:val="表格内字体4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767">
    <w:name w:val="Char41"/>
    <w:basedOn w:val="1"/>
    <w:autoRedefine/>
    <w:qFormat/>
    <w:uiPriority w:val="0"/>
    <w:rPr>
      <w:sz w:val="24"/>
    </w:rPr>
  </w:style>
  <w:style w:type="paragraph" w:customStyle="1" w:styleId="2768">
    <w:name w:val="默认段落字体 Para Char11"/>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2769">
    <w:name w:val="表文字5111"/>
    <w:basedOn w:val="1"/>
    <w:autoRedefine/>
    <w:qFormat/>
    <w:uiPriority w:val="0"/>
    <w:pPr>
      <w:adjustRightInd w:val="0"/>
      <w:jc w:val="left"/>
      <w:textAlignment w:val="baseline"/>
    </w:pPr>
    <w:rPr>
      <w:rFonts w:ascii="宋体"/>
      <w:kern w:val="0"/>
      <w:szCs w:val="20"/>
    </w:rPr>
  </w:style>
  <w:style w:type="paragraph" w:customStyle="1" w:styleId="2770">
    <w:name w:val="引言"/>
    <w:basedOn w:val="1"/>
    <w:next w:val="1"/>
    <w:autoRedefine/>
    <w:qFormat/>
    <w:uiPriority w:val="0"/>
    <w:pPr>
      <w:snapToGrid w:val="0"/>
      <w:jc w:val="center"/>
    </w:pPr>
    <w:rPr>
      <w:rFonts w:ascii="仿宋_GB2312" w:eastAsia="仿宋_GB2312"/>
      <w:color w:val="000000"/>
      <w:sz w:val="24"/>
    </w:rPr>
  </w:style>
  <w:style w:type="paragraph" w:customStyle="1" w:styleId="2771">
    <w:name w:val="附件21"/>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2772">
    <w:name w:val="Char4 Char Char Char Char Char Char Char Char Char Char Char Char Char Char Char Char Char1 Char Char Char Char Char Char1 Char Char Char Char Char Char Char Char Char Char Char Char Char Char Char Char1"/>
    <w:basedOn w:val="1"/>
    <w:autoRedefine/>
    <w:qFormat/>
    <w:uiPriority w:val="39"/>
    <w:pPr>
      <w:spacing w:line="240" w:lineRule="exact"/>
      <w:ind w:firstLine="200" w:firstLineChars="200"/>
    </w:pPr>
    <w:rPr>
      <w:sz w:val="28"/>
      <w:szCs w:val="28"/>
    </w:rPr>
  </w:style>
  <w:style w:type="paragraph" w:customStyle="1" w:styleId="2773">
    <w:name w:val="Char Char Char Char Char Char Char Char Char1 Char Char Char Char3"/>
    <w:basedOn w:val="1"/>
    <w:autoRedefine/>
    <w:qFormat/>
    <w:uiPriority w:val="39"/>
    <w:rPr>
      <w:rFonts w:eastAsia="黑体"/>
      <w:b/>
      <w:szCs w:val="20"/>
    </w:rPr>
  </w:style>
  <w:style w:type="paragraph" w:customStyle="1" w:styleId="2774">
    <w:name w:val="Char Char Char Char Char Char Char Char Char Char Char Char Char Char Char Char Char Char Char Char Char Char"/>
    <w:basedOn w:val="1"/>
    <w:autoRedefine/>
    <w:qFormat/>
    <w:uiPriority w:val="0"/>
    <w:rPr>
      <w:sz w:val="24"/>
    </w:rPr>
  </w:style>
  <w:style w:type="paragraph" w:customStyle="1" w:styleId="2775">
    <w:name w:val="表中文字6"/>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2776">
    <w:name w:val="福建正文缩进1"/>
    <w:basedOn w:val="9"/>
    <w:autoRedefine/>
    <w:qFormat/>
    <w:uiPriority w:val="0"/>
    <w:pPr>
      <w:adjustRightInd w:val="0"/>
      <w:snapToGrid w:val="0"/>
      <w:spacing w:line="360" w:lineRule="auto"/>
      <w:ind w:firstLine="567" w:firstLineChars="0"/>
    </w:pPr>
    <w:rPr>
      <w:rFonts w:ascii="宋体"/>
      <w:kern w:val="0"/>
      <w:sz w:val="24"/>
      <w:lang w:val="en-US"/>
    </w:rPr>
  </w:style>
  <w:style w:type="paragraph" w:customStyle="1" w:styleId="2777">
    <w:name w:val="Char Char1 Char Char Char Char Char Char1"/>
    <w:basedOn w:val="1"/>
    <w:autoRedefine/>
    <w:qFormat/>
    <w:uiPriority w:val="39"/>
  </w:style>
  <w:style w:type="paragraph" w:customStyle="1" w:styleId="2778">
    <w:name w:val="表题1111"/>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2779">
    <w:name w:val="Char Char Char1 Char Char Char Char Char Char1"/>
    <w:basedOn w:val="1"/>
    <w:autoRedefine/>
    <w:qFormat/>
    <w:uiPriority w:val="0"/>
    <w:rPr>
      <w:szCs w:val="21"/>
    </w:rPr>
  </w:style>
  <w:style w:type="paragraph" w:customStyle="1" w:styleId="2780">
    <w:name w:val="表体宋旭峰"/>
    <w:basedOn w:val="1"/>
    <w:autoRedefine/>
    <w:qFormat/>
    <w:uiPriority w:val="0"/>
    <w:pPr>
      <w:overflowPunct w:val="0"/>
      <w:spacing w:line="320" w:lineRule="exact"/>
      <w:jc w:val="center"/>
      <w:textAlignment w:val="baseline"/>
    </w:pPr>
    <w:rPr>
      <w:rFonts w:ascii="楷体_GB2312" w:eastAsia="楷体_GB2312" w:cs="Courier New"/>
      <w:snapToGrid w:val="0"/>
      <w:spacing w:val="-20"/>
      <w:kern w:val="0"/>
      <w:szCs w:val="21"/>
    </w:rPr>
  </w:style>
  <w:style w:type="paragraph" w:customStyle="1" w:styleId="2781">
    <w:name w:val="黑体三号51"/>
    <w:basedOn w:val="418"/>
    <w:autoRedefine/>
    <w:qFormat/>
    <w:uiPriority w:val="0"/>
    <w:pPr>
      <w:jc w:val="center"/>
    </w:pPr>
    <w:rPr>
      <w:rFonts w:ascii="黑体" w:hAnsi="宋体" w:eastAsia="黑体" w:cs="宋体"/>
      <w:bCs/>
      <w:spacing w:val="0"/>
      <w:sz w:val="32"/>
    </w:rPr>
  </w:style>
  <w:style w:type="paragraph" w:customStyle="1" w:styleId="2782">
    <w:name w:val="表中文字111"/>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2783">
    <w:name w:val="+标题1"/>
    <w:basedOn w:val="3"/>
    <w:autoRedefine/>
    <w:qFormat/>
    <w:uiPriority w:val="0"/>
    <w:pPr>
      <w:keepLines/>
      <w:pageBreakBefore/>
      <w:tabs>
        <w:tab w:val="left" w:pos="432"/>
      </w:tabs>
      <w:overflowPunct/>
      <w:snapToGrid/>
      <w:spacing w:beforeLines="100" w:afterLines="100" w:line="360" w:lineRule="auto"/>
      <w:ind w:hanging="632"/>
      <w:jc w:val="center"/>
    </w:pPr>
    <w:rPr>
      <w:rFonts w:eastAsia="宋体"/>
      <w:sz w:val="32"/>
      <w:szCs w:val="32"/>
    </w:rPr>
  </w:style>
  <w:style w:type="paragraph" w:customStyle="1" w:styleId="2784">
    <w:name w:val="Char4 Char Char Char Char Char Char Char Char Char Char Char Char Char Char Char Char Char1 Char Char Char Char1"/>
    <w:basedOn w:val="1"/>
    <w:autoRedefine/>
    <w:qFormat/>
    <w:uiPriority w:val="39"/>
    <w:pPr>
      <w:spacing w:line="240" w:lineRule="exact"/>
      <w:ind w:firstLine="200" w:firstLineChars="200"/>
    </w:pPr>
    <w:rPr>
      <w:sz w:val="28"/>
      <w:szCs w:val="28"/>
    </w:rPr>
  </w:style>
  <w:style w:type="paragraph" w:customStyle="1" w:styleId="2785">
    <w:name w:val="表内5311"/>
    <w:basedOn w:val="1"/>
    <w:autoRedefine/>
    <w:qFormat/>
    <w:uiPriority w:val="0"/>
    <w:pPr>
      <w:adjustRightInd w:val="0"/>
      <w:snapToGrid w:val="0"/>
      <w:spacing w:line="300" w:lineRule="auto"/>
      <w:jc w:val="left"/>
    </w:pPr>
    <w:rPr>
      <w:rFonts w:ascii="宋体"/>
      <w:szCs w:val="20"/>
    </w:rPr>
  </w:style>
  <w:style w:type="paragraph" w:customStyle="1" w:styleId="2786">
    <w:name w:val="Char Char Char Char Char Char Char Char Char Char Char Char Char Char Char Char Char Char Char Char Char Char Char Char Char Char Char Char Char Char Char Char Char Char"/>
    <w:basedOn w:val="1"/>
    <w:autoRedefine/>
    <w:qFormat/>
    <w:uiPriority w:val="0"/>
    <w:rPr>
      <w:sz w:val="24"/>
    </w:rPr>
  </w:style>
  <w:style w:type="paragraph" w:customStyle="1" w:styleId="2787">
    <w:name w:val="样式 居中"/>
    <w:basedOn w:val="1"/>
    <w:autoRedefine/>
    <w:qFormat/>
    <w:uiPriority w:val="99"/>
    <w:pPr>
      <w:jc w:val="center"/>
    </w:pPr>
    <w:rPr>
      <w:rFonts w:cs="宋体"/>
      <w:szCs w:val="21"/>
    </w:rPr>
  </w:style>
  <w:style w:type="paragraph" w:customStyle="1" w:styleId="2788">
    <w:name w:val="正文格式43"/>
    <w:basedOn w:val="1"/>
    <w:autoRedefine/>
    <w:qFormat/>
    <w:uiPriority w:val="0"/>
    <w:pPr>
      <w:spacing w:line="360" w:lineRule="auto"/>
      <w:ind w:firstLine="482"/>
    </w:pPr>
    <w:rPr>
      <w:rFonts w:ascii="宋体" w:hAnsi="宋体"/>
      <w:sz w:val="24"/>
    </w:rPr>
  </w:style>
  <w:style w:type="paragraph" w:customStyle="1" w:styleId="2789">
    <w:name w:val="Char Char Char Char Char Char Char Char Char Char Char Char Char Char Char Char Char Char Char Char Char Char Char Char Char Char Char Char Char Char Char Char Char Char Char Char Char"/>
    <w:basedOn w:val="1"/>
    <w:autoRedefine/>
    <w:qFormat/>
    <w:uiPriority w:val="0"/>
    <w:rPr>
      <w:sz w:val="24"/>
    </w:rPr>
  </w:style>
  <w:style w:type="paragraph" w:customStyle="1" w:styleId="2790">
    <w:name w:val="图题53"/>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791">
    <w:name w:val="Char2 Char Char Char Char Char1"/>
    <w:basedOn w:val="1"/>
    <w:autoRedefine/>
    <w:qFormat/>
    <w:uiPriority w:val="99"/>
    <w:rPr>
      <w:sz w:val="24"/>
    </w:rPr>
  </w:style>
  <w:style w:type="paragraph" w:customStyle="1" w:styleId="2792">
    <w:name w:val="正文.111"/>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2793">
    <w:name w:val="小四表文居中"/>
    <w:autoRedefine/>
    <w:qFormat/>
    <w:uiPriority w:val="0"/>
    <w:pPr>
      <w:widowControl w:val="0"/>
      <w:spacing w:line="320" w:lineRule="exact"/>
      <w:jc w:val="center"/>
    </w:pPr>
    <w:rPr>
      <w:rFonts w:ascii="仿宋_GB2312" w:hAnsi="Times New Roman" w:eastAsia="仿宋_GB2312" w:cs="Times New Roman"/>
      <w:kern w:val="2"/>
      <w:sz w:val="24"/>
      <w:szCs w:val="24"/>
      <w:lang w:val="en-US" w:eastAsia="zh-CN" w:bidi="ar-SA"/>
    </w:rPr>
  </w:style>
  <w:style w:type="paragraph" w:customStyle="1" w:styleId="2794">
    <w:name w:val="Char Char Char1 Char Char Char Char Char Char Char Char Char Char Char Char Char Char Char1 Char Char Char Char Char Char Char Char Char Char Char Char Char Char Char Char Char Char Char Char Char Char Char Char Char Char Char Char Char Char1"/>
    <w:basedOn w:val="1"/>
    <w:autoRedefine/>
    <w:qFormat/>
    <w:uiPriority w:val="39"/>
    <w:pPr>
      <w:spacing w:line="240" w:lineRule="exact"/>
      <w:ind w:firstLine="200" w:firstLineChars="200"/>
    </w:pPr>
    <w:rPr>
      <w:sz w:val="28"/>
      <w:szCs w:val="28"/>
    </w:rPr>
  </w:style>
  <w:style w:type="paragraph" w:customStyle="1" w:styleId="2795">
    <w:name w:val="Char51"/>
    <w:basedOn w:val="1"/>
    <w:autoRedefine/>
    <w:qFormat/>
    <w:uiPriority w:val="0"/>
    <w:pPr>
      <w:adjustRightInd w:val="0"/>
      <w:snapToGrid w:val="0"/>
      <w:ind w:left="-45"/>
    </w:pPr>
  </w:style>
  <w:style w:type="paragraph" w:customStyle="1" w:styleId="2796">
    <w:name w:val="正文格式＝111"/>
    <w:basedOn w:val="418"/>
    <w:next w:val="418"/>
    <w:autoRedefine/>
    <w:qFormat/>
    <w:uiPriority w:val="0"/>
    <w:rPr>
      <w:rFonts w:ascii="宋体" w:hAnsi="宋体"/>
      <w:b w:val="0"/>
      <w:spacing w:val="0"/>
      <w:sz w:val="24"/>
      <w:szCs w:val="24"/>
    </w:rPr>
  </w:style>
  <w:style w:type="paragraph" w:customStyle="1" w:styleId="2797">
    <w:name w:val="样式 首行缩进:  1.71 字符"/>
    <w:basedOn w:val="1"/>
    <w:autoRedefine/>
    <w:qFormat/>
    <w:uiPriority w:val="0"/>
    <w:pPr>
      <w:spacing w:line="360" w:lineRule="auto"/>
      <w:jc w:val="center"/>
    </w:pPr>
    <w:rPr>
      <w:rFonts w:ascii="宋体" w:hAnsi="宋体"/>
      <w:color w:val="000000"/>
      <w:kern w:val="0"/>
      <w:szCs w:val="21"/>
    </w:rPr>
  </w:style>
  <w:style w:type="paragraph" w:customStyle="1" w:styleId="2798">
    <w:name w:val="燕山正文1131"/>
    <w:basedOn w:val="1"/>
    <w:autoRedefine/>
    <w:qFormat/>
    <w:uiPriority w:val="0"/>
    <w:pPr>
      <w:tabs>
        <w:tab w:val="left" w:pos="4680"/>
      </w:tabs>
      <w:adjustRightInd w:val="0"/>
      <w:snapToGrid w:val="0"/>
      <w:spacing w:line="360" w:lineRule="auto"/>
      <w:ind w:firstLine="480" w:firstLineChars="200"/>
    </w:pPr>
    <w:rPr>
      <w:rFonts w:ascii="宋体" w:hAnsi="宋体" w:cs="宋体"/>
      <w:bCs/>
      <w:snapToGrid w:val="0"/>
      <w:color w:val="000000"/>
      <w:kern w:val="0"/>
      <w:sz w:val="24"/>
    </w:rPr>
  </w:style>
  <w:style w:type="paragraph" w:customStyle="1" w:styleId="2799">
    <w:name w:val="样式 首行缩进:  2 字符 Char"/>
    <w:basedOn w:val="1"/>
    <w:autoRedefine/>
    <w:qFormat/>
    <w:uiPriority w:val="0"/>
    <w:pPr>
      <w:spacing w:line="480" w:lineRule="exact"/>
      <w:ind w:firstLine="560" w:firstLineChars="200"/>
    </w:pPr>
    <w:rPr>
      <w:kern w:val="28"/>
      <w:sz w:val="28"/>
    </w:rPr>
  </w:style>
  <w:style w:type="paragraph" w:customStyle="1" w:styleId="2800">
    <w:name w:val="表体"/>
    <w:basedOn w:val="1"/>
    <w:autoRedefine/>
    <w:qFormat/>
    <w:uiPriority w:val="0"/>
    <w:pPr>
      <w:tabs>
        <w:tab w:val="left" w:pos="6440"/>
      </w:tabs>
      <w:adjustRightInd w:val="0"/>
      <w:snapToGrid w:val="0"/>
      <w:jc w:val="center"/>
    </w:pPr>
    <w:rPr>
      <w:rFonts w:ascii="楷体_GB2312" w:eastAsia="楷体_GB2312"/>
      <w:w w:val="80"/>
      <w:szCs w:val="20"/>
    </w:rPr>
  </w:style>
  <w:style w:type="paragraph" w:customStyle="1" w:styleId="2801">
    <w:name w:val="Char Char Char Char Char Char Char Char Char Char Char Char Char Char Char Char Char Char Char Char Char Char Char Char Char Char Char Char Char Char Char Char Char Char1"/>
    <w:basedOn w:val="1"/>
    <w:autoRedefine/>
    <w:qFormat/>
    <w:uiPriority w:val="39"/>
    <w:rPr>
      <w:sz w:val="24"/>
    </w:rPr>
  </w:style>
  <w:style w:type="paragraph" w:customStyle="1" w:styleId="2802">
    <w:name w:val="表题113"/>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2803">
    <w:name w:val="样式 标题 3条标题1.1.1条标题1.1.11条标题1.1.12条标题1.1.13条标题1.1.111条标题1.1...2"/>
    <w:basedOn w:val="5"/>
    <w:autoRedefine/>
    <w:qFormat/>
    <w:uiPriority w:val="0"/>
    <w:pPr>
      <w:spacing w:before="120" w:after="120" w:line="500" w:lineRule="exact"/>
    </w:pPr>
    <w:rPr>
      <w:rFonts w:ascii="宋体" w:hAnsi="宋体" w:cs="宋体"/>
      <w:kern w:val="0"/>
      <w:sz w:val="24"/>
      <w:szCs w:val="20"/>
      <w:lang w:val="en-US"/>
    </w:rPr>
  </w:style>
  <w:style w:type="paragraph" w:customStyle="1" w:styleId="2804">
    <w:name w:val="Char Char2 Char Char Char Char22"/>
    <w:basedOn w:val="1"/>
    <w:autoRedefine/>
    <w:qFormat/>
    <w:uiPriority w:val="0"/>
  </w:style>
  <w:style w:type="paragraph" w:customStyle="1" w:styleId="2805">
    <w:name w:val="燕山正文1112"/>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2806">
    <w:name w:val="2 Char Char Char Char Char Char Char"/>
    <w:basedOn w:val="1"/>
    <w:autoRedefine/>
    <w:qFormat/>
    <w:uiPriority w:val="0"/>
  </w:style>
  <w:style w:type="paragraph" w:customStyle="1" w:styleId="2807">
    <w:name w:val="默认段落字体 Para Char Char Char Char23"/>
    <w:basedOn w:val="1"/>
    <w:autoRedefine/>
    <w:qFormat/>
    <w:uiPriority w:val="0"/>
  </w:style>
  <w:style w:type="paragraph" w:customStyle="1" w:styleId="2808">
    <w:name w:val="图形"/>
    <w:basedOn w:val="1"/>
    <w:autoRedefine/>
    <w:qFormat/>
    <w:uiPriority w:val="0"/>
    <w:rPr>
      <w:sz w:val="18"/>
    </w:rPr>
  </w:style>
  <w:style w:type="paragraph" w:customStyle="1" w:styleId="2809">
    <w:name w:val="样式 标题 2第一章 标题 2Heading 2 HiddenHeading 2 CCBSheading 2H2h2...3"/>
    <w:basedOn w:val="4"/>
    <w:autoRedefine/>
    <w:qFormat/>
    <w:uiPriority w:val="0"/>
    <w:pPr>
      <w:spacing w:before="120" w:after="120" w:line="500" w:lineRule="exact"/>
    </w:pPr>
    <w:rPr>
      <w:rFonts w:ascii="Times New Roman" w:hAnsi="Times New Roman" w:eastAsia="仿宋_GB2312" w:cs="宋体"/>
      <w:sz w:val="28"/>
      <w:szCs w:val="20"/>
    </w:rPr>
  </w:style>
  <w:style w:type="paragraph" w:customStyle="1" w:styleId="2810">
    <w:name w:val="燕山正文1133"/>
    <w:basedOn w:val="1"/>
    <w:autoRedefine/>
    <w:qFormat/>
    <w:uiPriority w:val="0"/>
    <w:pPr>
      <w:tabs>
        <w:tab w:val="left" w:pos="4680"/>
      </w:tabs>
      <w:adjustRightInd w:val="0"/>
      <w:snapToGrid w:val="0"/>
      <w:spacing w:line="360" w:lineRule="auto"/>
      <w:ind w:firstLine="480" w:firstLineChars="200"/>
    </w:pPr>
    <w:rPr>
      <w:rFonts w:ascii="宋体" w:hAnsi="宋体" w:cs="宋体"/>
      <w:bCs/>
      <w:snapToGrid w:val="0"/>
      <w:color w:val="000000"/>
      <w:kern w:val="0"/>
      <w:sz w:val="24"/>
    </w:rPr>
  </w:style>
  <w:style w:type="paragraph" w:customStyle="1" w:styleId="2811">
    <w:name w:val="Char Char Char Char Char Char Char Char Char Char Char Char Char Char Char Char Char Char Char Char Char Char Char Char Char Char Char Char Char Char Char Char Char Char Char Char Char1"/>
    <w:basedOn w:val="1"/>
    <w:autoRedefine/>
    <w:qFormat/>
    <w:uiPriority w:val="39"/>
    <w:rPr>
      <w:sz w:val="24"/>
    </w:rPr>
  </w:style>
  <w:style w:type="paragraph" w:customStyle="1" w:styleId="2812">
    <w:name w:val="A正文11"/>
    <w:basedOn w:val="1"/>
    <w:autoRedefine/>
    <w:qFormat/>
    <w:uiPriority w:val="0"/>
    <w:pPr>
      <w:widowControl/>
      <w:overflowPunct w:val="0"/>
      <w:autoSpaceDE w:val="0"/>
      <w:autoSpaceDN w:val="0"/>
      <w:adjustRightInd w:val="0"/>
      <w:spacing w:line="360" w:lineRule="auto"/>
      <w:ind w:firstLine="200" w:firstLineChars="200"/>
      <w:jc w:val="left"/>
      <w:textAlignment w:val="baseline"/>
    </w:pPr>
    <w:rPr>
      <w:rFonts w:eastAsia="仿宋_GB2312"/>
      <w:kern w:val="0"/>
      <w:sz w:val="24"/>
    </w:rPr>
  </w:style>
  <w:style w:type="paragraph" w:customStyle="1" w:styleId="2813">
    <w:name w:val="zhengwen"/>
    <w:basedOn w:val="1"/>
    <w:autoRedefine/>
    <w:qFormat/>
    <w:uiPriority w:val="39"/>
    <w:pPr>
      <w:spacing w:before="60" w:line="460" w:lineRule="exact"/>
      <w:ind w:firstLine="480" w:firstLineChars="200"/>
    </w:pPr>
    <w:rPr>
      <w:color w:val="0000FF"/>
      <w:sz w:val="24"/>
    </w:rPr>
  </w:style>
  <w:style w:type="paragraph" w:customStyle="1" w:styleId="2814">
    <w:name w:val="附件11"/>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2815">
    <w:name w:val="正文 首行缩进:  2 字符"/>
    <w:basedOn w:val="1"/>
    <w:autoRedefine/>
    <w:qFormat/>
    <w:uiPriority w:val="99"/>
    <w:pPr>
      <w:ind w:firstLine="579" w:firstLineChars="200"/>
    </w:pPr>
    <w:rPr>
      <w:sz w:val="28"/>
      <w:szCs w:val="20"/>
    </w:rPr>
  </w:style>
  <w:style w:type="paragraph" w:customStyle="1" w:styleId="2816">
    <w:name w:val="Char Char Char Char1 Char Char Char Char Char Char Char1"/>
    <w:basedOn w:val="1"/>
    <w:autoRedefine/>
    <w:qFormat/>
    <w:uiPriority w:val="39"/>
    <w:pPr>
      <w:tabs>
        <w:tab w:val="left" w:pos="360"/>
      </w:tabs>
      <w:snapToGrid w:val="0"/>
      <w:spacing w:line="360" w:lineRule="auto"/>
    </w:pPr>
    <w:rPr>
      <w:rFonts w:eastAsia="仿宋_GB2312" w:cs="宋体"/>
      <w:sz w:val="24"/>
    </w:rPr>
  </w:style>
  <w:style w:type="paragraph" w:customStyle="1" w:styleId="2817">
    <w:name w:val="图题5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818">
    <w:name w:val="Char Char Char Char Char Char Char Char Char Char Char Char Char Char Char Char Char Char Char Char Char Char1"/>
    <w:basedOn w:val="1"/>
    <w:autoRedefine/>
    <w:qFormat/>
    <w:uiPriority w:val="39"/>
    <w:rPr>
      <w:sz w:val="24"/>
    </w:rPr>
  </w:style>
  <w:style w:type="paragraph" w:customStyle="1" w:styleId="2819">
    <w:name w:val="p17"/>
    <w:basedOn w:val="1"/>
    <w:autoRedefine/>
    <w:qFormat/>
    <w:uiPriority w:val="39"/>
    <w:pPr>
      <w:widowControl/>
      <w:spacing w:line="300" w:lineRule="atLeast"/>
      <w:jc w:val="center"/>
    </w:pPr>
    <w:rPr>
      <w:rFonts w:ascii="宋体" w:hAnsi="宋体" w:cs="宋体"/>
      <w:kern w:val="0"/>
      <w:szCs w:val="21"/>
    </w:rPr>
  </w:style>
  <w:style w:type="paragraph" w:customStyle="1" w:styleId="2820">
    <w:name w:val="Char Char Char Char Char Char Char Char Char1 Char Char Char1 Char"/>
    <w:basedOn w:val="1"/>
    <w:autoRedefine/>
    <w:qFormat/>
    <w:uiPriority w:val="39"/>
    <w:pPr>
      <w:spacing w:line="360" w:lineRule="auto"/>
      <w:ind w:firstLine="200" w:firstLineChars="200"/>
    </w:pPr>
    <w:rPr>
      <w:rFonts w:ascii="宋体" w:hAnsi="宋体" w:cs="宋体"/>
      <w:sz w:val="24"/>
    </w:rPr>
  </w:style>
  <w:style w:type="paragraph" w:customStyle="1" w:styleId="2821">
    <w:name w:val="pic-info"/>
    <w:basedOn w:val="1"/>
    <w:autoRedefine/>
    <w:qFormat/>
    <w:uiPriority w:val="39"/>
    <w:pPr>
      <w:widowControl/>
      <w:spacing w:before="100" w:beforeAutospacing="1" w:after="100" w:afterAutospacing="1"/>
      <w:jc w:val="left"/>
    </w:pPr>
    <w:rPr>
      <w:rFonts w:ascii="宋体" w:hAnsi="宋体" w:cs="宋体"/>
      <w:kern w:val="0"/>
      <w:sz w:val="24"/>
    </w:rPr>
  </w:style>
  <w:style w:type="paragraph" w:customStyle="1" w:styleId="2822">
    <w:name w:val="font1"/>
    <w:basedOn w:val="1"/>
    <w:autoRedefine/>
    <w:qFormat/>
    <w:uiPriority w:val="99"/>
    <w:pPr>
      <w:widowControl/>
      <w:spacing w:before="100" w:beforeAutospacing="1" w:after="100" w:afterAutospacing="1"/>
      <w:jc w:val="left"/>
    </w:pPr>
    <w:rPr>
      <w:rFonts w:ascii="宋体" w:hAnsi="宋体" w:cs="宋体"/>
      <w:kern w:val="0"/>
      <w:sz w:val="24"/>
    </w:rPr>
  </w:style>
  <w:style w:type="paragraph" w:customStyle="1" w:styleId="2823">
    <w:name w:val="正文修改31"/>
    <w:basedOn w:val="193"/>
    <w:autoRedefine/>
    <w:qFormat/>
    <w:uiPriority w:val="0"/>
    <w:rPr>
      <w:rFonts w:hAnsi="宋体"/>
      <w:color w:val="000000"/>
    </w:rPr>
  </w:style>
  <w:style w:type="paragraph" w:customStyle="1" w:styleId="2824">
    <w:name w:val="标题3 Char Char Char Char"/>
    <w:basedOn w:val="1"/>
    <w:next w:val="1"/>
    <w:autoRedefine/>
    <w:qFormat/>
    <w:uiPriority w:val="39"/>
    <w:pPr>
      <w:spacing w:line="360" w:lineRule="auto"/>
    </w:pPr>
    <w:rPr>
      <w:rFonts w:ascii="宋体" w:hAnsi="PMingLiU" w:eastAsia="黑体"/>
      <w:sz w:val="28"/>
      <w:szCs w:val="30"/>
    </w:rPr>
  </w:style>
  <w:style w:type="paragraph" w:customStyle="1" w:styleId="2825">
    <w:name w:val="WPS Plain"/>
    <w:autoRedefine/>
    <w:qFormat/>
    <w:uiPriority w:val="99"/>
    <w:rPr>
      <w:rFonts w:ascii="Times New Roman" w:hAnsi="Times New Roman" w:eastAsia="宋体" w:cs="Times New Roman"/>
      <w:lang w:val="en-US" w:eastAsia="zh-CN" w:bidi="ar-SA"/>
    </w:rPr>
  </w:style>
  <w:style w:type="paragraph" w:customStyle="1" w:styleId="2826">
    <w:name w:val="样式 样式 宋体 + 首行缩进:  2 字符14"/>
    <w:basedOn w:val="1"/>
    <w:autoRedefine/>
    <w:qFormat/>
    <w:uiPriority w:val="0"/>
    <w:pPr>
      <w:spacing w:line="360" w:lineRule="auto"/>
      <w:ind w:firstLine="480" w:firstLineChars="200"/>
      <w:jc w:val="left"/>
    </w:pPr>
    <w:rPr>
      <w:rFonts w:ascii="宋体" w:cs="宋体"/>
      <w:sz w:val="24"/>
    </w:rPr>
  </w:style>
  <w:style w:type="paragraph" w:customStyle="1" w:styleId="2827">
    <w:name w:val="图表题3"/>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828">
    <w:name w:val="默认段落字体 Para Char Char Char Char31"/>
    <w:basedOn w:val="1"/>
    <w:autoRedefine/>
    <w:qFormat/>
    <w:uiPriority w:val="0"/>
  </w:style>
  <w:style w:type="paragraph" w:customStyle="1" w:styleId="2829">
    <w:name w:val="Char73"/>
    <w:basedOn w:val="1"/>
    <w:autoRedefine/>
    <w:qFormat/>
    <w:uiPriority w:val="0"/>
    <w:pPr>
      <w:ind w:left="-48"/>
    </w:pPr>
  </w:style>
  <w:style w:type="paragraph" w:customStyle="1" w:styleId="2830">
    <w:name w:val="表中文字15"/>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2831">
    <w:name w:val="Char49"/>
    <w:basedOn w:val="1"/>
    <w:autoRedefine/>
    <w:qFormat/>
    <w:uiPriority w:val="0"/>
    <w:pPr>
      <w:ind w:left="-48"/>
    </w:pPr>
  </w:style>
  <w:style w:type="paragraph" w:customStyle="1" w:styleId="2832">
    <w:name w:val="标题4111"/>
    <w:basedOn w:val="1"/>
    <w:autoRedefine/>
    <w:qFormat/>
    <w:uiPriority w:val="0"/>
    <w:pPr>
      <w:adjustRightInd w:val="0"/>
      <w:snapToGrid w:val="0"/>
      <w:spacing w:line="300" w:lineRule="auto"/>
      <w:jc w:val="left"/>
    </w:pPr>
    <w:rPr>
      <w:rFonts w:ascii="黑体" w:hAnsi="宋体" w:eastAsia="黑体" w:cs="宋体"/>
      <w:bCs/>
      <w:sz w:val="24"/>
      <w:szCs w:val="20"/>
    </w:rPr>
  </w:style>
  <w:style w:type="paragraph" w:customStyle="1" w:styleId="2833">
    <w:name w:val="正文格式22"/>
    <w:basedOn w:val="1"/>
    <w:autoRedefine/>
    <w:qFormat/>
    <w:uiPriority w:val="0"/>
    <w:pPr>
      <w:spacing w:line="360" w:lineRule="auto"/>
      <w:ind w:firstLine="482"/>
    </w:pPr>
    <w:rPr>
      <w:rFonts w:ascii="宋体" w:hAnsi="宋体"/>
      <w:sz w:val="24"/>
    </w:rPr>
  </w:style>
  <w:style w:type="paragraph" w:customStyle="1" w:styleId="2834">
    <w:name w:val="标题43112"/>
    <w:basedOn w:val="1"/>
    <w:autoRedefine/>
    <w:qFormat/>
    <w:uiPriority w:val="0"/>
    <w:pPr>
      <w:adjustRightInd w:val="0"/>
      <w:snapToGrid w:val="0"/>
      <w:spacing w:line="480" w:lineRule="exact"/>
      <w:jc w:val="center"/>
    </w:pPr>
    <w:rPr>
      <w:rFonts w:ascii="宋体" w:hAnsi="宋体" w:cs="宋体"/>
      <w:sz w:val="24"/>
    </w:rPr>
  </w:style>
  <w:style w:type="paragraph" w:customStyle="1" w:styleId="2835">
    <w:name w:val="表格标题博泵"/>
    <w:basedOn w:val="1"/>
    <w:autoRedefine/>
    <w:qFormat/>
    <w:uiPriority w:val="39"/>
    <w:pPr>
      <w:adjustRightInd w:val="0"/>
      <w:snapToGrid w:val="0"/>
      <w:jc w:val="center"/>
      <w:textAlignment w:val="baseline"/>
    </w:pPr>
    <w:rPr>
      <w:rFonts w:cs="宋体"/>
      <w:b/>
      <w:color w:val="000000"/>
      <w:szCs w:val="20"/>
    </w:rPr>
  </w:style>
  <w:style w:type="paragraph" w:customStyle="1" w:styleId="2836">
    <w:name w:val="Char Char Char Char1 Char Char Char11"/>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2837">
    <w:name w:val="附件12"/>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2838">
    <w:name w:val="字元 字元1"/>
    <w:basedOn w:val="1"/>
    <w:autoRedefine/>
    <w:qFormat/>
    <w:uiPriority w:val="0"/>
    <w:rPr>
      <w:sz w:val="24"/>
    </w:rPr>
  </w:style>
  <w:style w:type="paragraph" w:customStyle="1" w:styleId="2839">
    <w:name w:val="默认段落字体 Para Char Char Char Char41"/>
    <w:basedOn w:val="1"/>
    <w:autoRedefine/>
    <w:qFormat/>
    <w:uiPriority w:val="0"/>
  </w:style>
  <w:style w:type="paragraph" w:customStyle="1" w:styleId="2840">
    <w:name w:val="表题413"/>
    <w:basedOn w:val="35"/>
    <w:autoRedefine/>
    <w:qFormat/>
    <w:uiPriority w:val="0"/>
    <w:pPr>
      <w:tabs>
        <w:tab w:val="left" w:pos="4305"/>
      </w:tabs>
      <w:adjustRightInd w:val="0"/>
      <w:snapToGrid w:val="0"/>
      <w:spacing w:after="0"/>
      <w:ind w:left="0" w:leftChars="0"/>
      <w:jc w:val="center"/>
    </w:pPr>
    <w:rPr>
      <w:rFonts w:ascii="宋体" w:hAnsi="宋体" w:cs="宋体"/>
      <w:color w:val="000000"/>
      <w:szCs w:val="24"/>
      <w:lang w:val="en-US"/>
    </w:rPr>
  </w:style>
  <w:style w:type="paragraph" w:customStyle="1" w:styleId="2841">
    <w:name w:val="Char1 Char Char Char Char Char"/>
    <w:basedOn w:val="1"/>
    <w:autoRedefine/>
    <w:qFormat/>
    <w:uiPriority w:val="0"/>
    <w:rPr>
      <w:szCs w:val="20"/>
    </w:rPr>
  </w:style>
  <w:style w:type="paragraph" w:customStyle="1" w:styleId="2842">
    <w:name w:val="样式 标题 3 + 小四 行距: 1.5 倍行距"/>
    <w:basedOn w:val="5"/>
    <w:autoRedefine/>
    <w:qFormat/>
    <w:uiPriority w:val="0"/>
    <w:pPr>
      <w:tabs>
        <w:tab w:val="left" w:pos="720"/>
      </w:tabs>
      <w:spacing w:before="0" w:after="0" w:line="360" w:lineRule="auto"/>
      <w:ind w:left="720" w:hanging="720"/>
    </w:pPr>
    <w:rPr>
      <w:b w:val="0"/>
      <w:bCs w:val="0"/>
      <w:snapToGrid w:val="0"/>
      <w:color w:val="000000"/>
      <w:kern w:val="0"/>
      <w:sz w:val="28"/>
      <w:szCs w:val="20"/>
      <w:lang w:val="en-US"/>
    </w:rPr>
  </w:style>
  <w:style w:type="paragraph" w:customStyle="1" w:styleId="2843">
    <w:name w:val="Char25"/>
    <w:basedOn w:val="1"/>
    <w:autoRedefine/>
    <w:qFormat/>
    <w:uiPriority w:val="0"/>
    <w:pPr>
      <w:adjustRightInd w:val="0"/>
      <w:snapToGrid w:val="0"/>
      <w:spacing w:beforeLines="50" w:line="360" w:lineRule="auto"/>
    </w:pPr>
    <w:rPr>
      <w:rFonts w:ascii="黑体" w:eastAsia="黑体"/>
      <w:sz w:val="32"/>
      <w:szCs w:val="32"/>
    </w:rPr>
  </w:style>
  <w:style w:type="paragraph" w:customStyle="1" w:styleId="2844">
    <w:name w:val="图题注1"/>
    <w:basedOn w:val="22"/>
    <w:autoRedefine/>
    <w:qFormat/>
    <w:uiPriority w:val="0"/>
    <w:pPr>
      <w:widowControl w:val="0"/>
      <w:spacing w:after="0" w:line="240" w:lineRule="auto"/>
      <w:ind w:left="0" w:right="0" w:firstLine="0"/>
      <w:jc w:val="center"/>
    </w:pPr>
    <w:rPr>
      <w:rFonts w:ascii="黑体" w:hAnsi="Arial" w:cs="宋体"/>
      <w:b/>
      <w:bCs/>
      <w:color w:val="auto"/>
      <w:sz w:val="24"/>
      <w:szCs w:val="24"/>
    </w:rPr>
  </w:style>
  <w:style w:type="paragraph" w:customStyle="1" w:styleId="2845">
    <w:name w:val="9css2"/>
    <w:basedOn w:val="1"/>
    <w:autoRedefine/>
    <w:qFormat/>
    <w:uiPriority w:val="34"/>
    <w:pPr>
      <w:widowControl/>
      <w:spacing w:before="100" w:beforeAutospacing="1" w:after="100" w:afterAutospacing="1" w:line="240" w:lineRule="atLeast"/>
      <w:jc w:val="left"/>
    </w:pPr>
    <w:rPr>
      <w:rFonts w:ascii="宋体" w:hAnsi="宋体"/>
      <w:color w:val="000000"/>
      <w:kern w:val="0"/>
      <w:sz w:val="18"/>
      <w:szCs w:val="18"/>
    </w:rPr>
  </w:style>
  <w:style w:type="paragraph" w:customStyle="1" w:styleId="2846">
    <w:name w:val="燕山正文14"/>
    <w:basedOn w:val="1"/>
    <w:autoRedefine/>
    <w:qFormat/>
    <w:uiPriority w:val="0"/>
    <w:pPr>
      <w:tabs>
        <w:tab w:val="left" w:pos="4680"/>
      </w:tabs>
      <w:adjustRightInd w:val="0"/>
      <w:snapToGrid w:val="0"/>
      <w:spacing w:line="480" w:lineRule="exact"/>
    </w:pPr>
    <w:rPr>
      <w:rFonts w:ascii="宋体" w:cs="宋体"/>
      <w:sz w:val="24"/>
    </w:rPr>
  </w:style>
  <w:style w:type="paragraph" w:customStyle="1" w:styleId="2847">
    <w:name w:val="表内文字小111"/>
    <w:basedOn w:val="1"/>
    <w:autoRedefine/>
    <w:qFormat/>
    <w:uiPriority w:val="0"/>
    <w:pPr>
      <w:adjustRightInd w:val="0"/>
      <w:snapToGrid w:val="0"/>
    </w:pPr>
    <w:rPr>
      <w:rFonts w:ascii="宋体" w:hAnsi="Times" w:cs="宋体"/>
      <w:szCs w:val="20"/>
    </w:rPr>
  </w:style>
  <w:style w:type="paragraph" w:customStyle="1" w:styleId="2848">
    <w:name w:val="ISO标题4"/>
    <w:autoRedefine/>
    <w:qFormat/>
    <w:uiPriority w:val="0"/>
    <w:pPr>
      <w:tabs>
        <w:tab w:val="left" w:pos="1440"/>
      </w:tabs>
      <w:ind w:left="420" w:hanging="420"/>
      <w:outlineLvl w:val="3"/>
    </w:pPr>
    <w:rPr>
      <w:rFonts w:ascii="宋体" w:hAnsi="宋体" w:eastAsia="宋体" w:cs="Times New Roman"/>
      <w:color w:val="000000"/>
      <w:sz w:val="24"/>
      <w:lang w:val="en-US" w:eastAsia="zh-CN" w:bidi="ar-SA"/>
    </w:rPr>
  </w:style>
  <w:style w:type="paragraph" w:customStyle="1" w:styleId="2849">
    <w:name w:val="注释11"/>
    <w:basedOn w:val="418"/>
    <w:next w:val="34"/>
    <w:autoRedefine/>
    <w:qFormat/>
    <w:uiPriority w:val="0"/>
    <w:pPr>
      <w:spacing w:before="120" w:after="120" w:line="240" w:lineRule="auto"/>
      <w:ind w:firstLine="200" w:firstLineChars="200"/>
    </w:pPr>
    <w:rPr>
      <w:rFonts w:ascii="宋体" w:hAnsi="Times New Roman" w:cs="宋体"/>
      <w:b w:val="0"/>
      <w:spacing w:val="0"/>
    </w:rPr>
  </w:style>
  <w:style w:type="paragraph" w:customStyle="1" w:styleId="2850">
    <w:name w:val="text-black"/>
    <w:basedOn w:val="1"/>
    <w:autoRedefine/>
    <w:qFormat/>
    <w:uiPriority w:val="34"/>
    <w:pPr>
      <w:widowControl/>
      <w:spacing w:before="100" w:beforeAutospacing="1" w:after="100" w:afterAutospacing="1" w:line="384" w:lineRule="atLeast"/>
      <w:jc w:val="left"/>
    </w:pPr>
    <w:rPr>
      <w:rFonts w:ascii="ˎ̥" w:hAnsi="ˎ̥" w:cs="宋体"/>
      <w:color w:val="000000"/>
      <w:kern w:val="0"/>
      <w:sz w:val="20"/>
      <w:szCs w:val="20"/>
    </w:rPr>
  </w:style>
  <w:style w:type="paragraph" w:customStyle="1" w:styleId="2851">
    <w:name w:val="表内54131"/>
    <w:basedOn w:val="1"/>
    <w:autoRedefine/>
    <w:qFormat/>
    <w:uiPriority w:val="0"/>
    <w:pPr>
      <w:adjustRightInd w:val="0"/>
      <w:snapToGrid w:val="0"/>
      <w:spacing w:line="300" w:lineRule="auto"/>
      <w:jc w:val="center"/>
    </w:pPr>
    <w:rPr>
      <w:rFonts w:ascii="宋体" w:hAnsi="宋体" w:cs="宋体"/>
      <w:szCs w:val="20"/>
    </w:rPr>
  </w:style>
  <w:style w:type="paragraph" w:customStyle="1" w:styleId="2852">
    <w:name w:val="Char Char7 Char Char1 Char Char Char1 Char Char Char Char Char1 Char Char Char"/>
    <w:basedOn w:val="1"/>
    <w:autoRedefine/>
    <w:qFormat/>
    <w:uiPriority w:val="0"/>
    <w:rPr>
      <w:szCs w:val="21"/>
    </w:rPr>
  </w:style>
  <w:style w:type="paragraph" w:customStyle="1" w:styleId="2853">
    <w:name w:val="Char Char Char Char Char Char Char141"/>
    <w:basedOn w:val="1"/>
    <w:autoRedefine/>
    <w:qFormat/>
    <w:uiPriority w:val="0"/>
  </w:style>
  <w:style w:type="paragraph" w:customStyle="1" w:styleId="2854">
    <w:name w:val="样式 一级 + 段前: 1 行 段后: 1 行"/>
    <w:basedOn w:val="1"/>
    <w:autoRedefine/>
    <w:qFormat/>
    <w:uiPriority w:val="39"/>
    <w:pPr>
      <w:keepNext/>
      <w:tabs>
        <w:tab w:val="left" w:pos="0"/>
      </w:tabs>
      <w:spacing w:beforeLines="100" w:line="500" w:lineRule="exact"/>
      <w:outlineLvl w:val="0"/>
    </w:pPr>
    <w:rPr>
      <w:rFonts w:eastAsia="黑体"/>
      <w:b/>
      <w:bCs/>
      <w:spacing w:val="12"/>
      <w:sz w:val="32"/>
      <w:szCs w:val="20"/>
    </w:rPr>
  </w:style>
  <w:style w:type="paragraph" w:customStyle="1" w:styleId="2855">
    <w:name w:val="正文图小四"/>
    <w:basedOn w:val="1"/>
    <w:autoRedefine/>
    <w:qFormat/>
    <w:uiPriority w:val="0"/>
    <w:pPr>
      <w:adjustRightInd w:val="0"/>
      <w:snapToGrid w:val="0"/>
      <w:jc w:val="center"/>
      <w:textAlignment w:val="baseline"/>
    </w:pPr>
    <w:rPr>
      <w:rFonts w:ascii="宋体"/>
      <w:kern w:val="0"/>
      <w:sz w:val="24"/>
    </w:rPr>
  </w:style>
  <w:style w:type="paragraph" w:customStyle="1" w:styleId="2856">
    <w:name w:val="样式 标题 4无效格式无效格式1河石管道4H4H41小小节河石管道41H42H411小小节1河石管道42...12"/>
    <w:basedOn w:val="6"/>
    <w:autoRedefine/>
    <w:qFormat/>
    <w:uiPriority w:val="0"/>
    <w:pPr>
      <w:adjustRightInd w:val="0"/>
      <w:snapToGrid w:val="0"/>
      <w:spacing w:before="0" w:after="0" w:line="360" w:lineRule="auto"/>
      <w:ind w:left="664" w:hanging="864"/>
      <w:jc w:val="left"/>
    </w:pPr>
    <w:rPr>
      <w:rFonts w:ascii="黑体" w:cs="宋体"/>
      <w:b w:val="0"/>
      <w:bCs w:val="0"/>
      <w:sz w:val="24"/>
      <w:szCs w:val="20"/>
    </w:rPr>
  </w:style>
  <w:style w:type="paragraph" w:customStyle="1" w:styleId="2857">
    <w:name w:val="表题1113"/>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2858">
    <w:name w:val="Char235"/>
    <w:basedOn w:val="1"/>
    <w:autoRedefine/>
    <w:qFormat/>
    <w:uiPriority w:val="0"/>
    <w:pPr>
      <w:ind w:left="-48"/>
    </w:pPr>
  </w:style>
  <w:style w:type="paragraph" w:customStyle="1" w:styleId="2859">
    <w:name w:val="段标题"/>
    <w:basedOn w:val="1"/>
    <w:autoRedefine/>
    <w:qFormat/>
    <w:uiPriority w:val="34"/>
    <w:pPr>
      <w:spacing w:line="360" w:lineRule="auto"/>
    </w:pPr>
    <w:rPr>
      <w:rFonts w:eastAsia="楷体_GB2312"/>
      <w:bCs/>
      <w:sz w:val="30"/>
      <w:szCs w:val="30"/>
    </w:rPr>
  </w:style>
  <w:style w:type="paragraph" w:customStyle="1" w:styleId="2860">
    <w:name w:val="表中文字31"/>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2861">
    <w:name w:val="列表4"/>
    <w:basedOn w:val="1"/>
    <w:next w:val="1"/>
    <w:autoRedefine/>
    <w:qFormat/>
    <w:uiPriority w:val="34"/>
    <w:pPr>
      <w:spacing w:line="360" w:lineRule="atLeast"/>
    </w:pPr>
    <w:rPr>
      <w:spacing w:val="5"/>
      <w:sz w:val="24"/>
      <w:szCs w:val="20"/>
    </w:rPr>
  </w:style>
  <w:style w:type="paragraph" w:customStyle="1" w:styleId="2862">
    <w:name w:val="标题zl"/>
    <w:basedOn w:val="10"/>
    <w:autoRedefine/>
    <w:qFormat/>
    <w:uiPriority w:val="34"/>
    <w:pPr>
      <w:tabs>
        <w:tab w:val="clear" w:pos="736"/>
      </w:tabs>
      <w:spacing w:line="319" w:lineRule="auto"/>
      <w:ind w:left="0" w:firstLine="0"/>
    </w:pPr>
    <w:rPr>
      <w:rFonts w:ascii="宋体" w:hAnsi="宋体"/>
      <w:b w:val="0"/>
      <w:sz w:val="28"/>
      <w:szCs w:val="24"/>
    </w:rPr>
  </w:style>
  <w:style w:type="paragraph" w:customStyle="1" w:styleId="2863">
    <w:name w:val="表内小5中12"/>
    <w:basedOn w:val="1"/>
    <w:autoRedefine/>
    <w:qFormat/>
    <w:uiPriority w:val="0"/>
    <w:pPr>
      <w:adjustRightInd w:val="0"/>
      <w:snapToGrid w:val="0"/>
      <w:jc w:val="center"/>
    </w:pPr>
    <w:rPr>
      <w:rFonts w:ascii="宋体" w:hAnsi="宋体"/>
      <w:sz w:val="18"/>
      <w:szCs w:val="20"/>
    </w:rPr>
  </w:style>
  <w:style w:type="paragraph" w:customStyle="1" w:styleId="2864">
    <w:name w:val="xl631"/>
    <w:basedOn w:val="1"/>
    <w:autoRedefine/>
    <w:qFormat/>
    <w:uiPriority w:val="0"/>
    <w:pPr>
      <w:widowControl/>
      <w:spacing w:before="100" w:beforeAutospacing="1" w:after="100" w:afterAutospacing="1"/>
      <w:jc w:val="center"/>
      <w:textAlignment w:val="center"/>
    </w:pPr>
    <w:rPr>
      <w:rFonts w:hint="eastAsia" w:ascii="黑体" w:hAnsi="宋体" w:eastAsia="黑体"/>
      <w:kern w:val="0"/>
      <w:sz w:val="24"/>
    </w:rPr>
  </w:style>
  <w:style w:type="paragraph" w:customStyle="1" w:styleId="2865">
    <w:name w:val="表内宋5中6"/>
    <w:basedOn w:val="1"/>
    <w:autoRedefine/>
    <w:qFormat/>
    <w:uiPriority w:val="0"/>
    <w:pPr>
      <w:adjustRightInd w:val="0"/>
      <w:snapToGrid w:val="0"/>
      <w:textAlignment w:val="baseline"/>
    </w:pPr>
    <w:rPr>
      <w:color w:val="000000"/>
      <w:kern w:val="0"/>
      <w:szCs w:val="20"/>
    </w:rPr>
  </w:style>
  <w:style w:type="paragraph" w:customStyle="1" w:styleId="2866">
    <w:name w:val="图表五号"/>
    <w:basedOn w:val="1"/>
    <w:autoRedefine/>
    <w:qFormat/>
    <w:uiPriority w:val="34"/>
    <w:pPr>
      <w:autoSpaceDE w:val="0"/>
      <w:autoSpaceDN w:val="0"/>
      <w:adjustRightInd w:val="0"/>
      <w:snapToGrid w:val="0"/>
      <w:spacing w:line="20" w:lineRule="atLeast"/>
      <w:ind w:firstLine="200" w:firstLineChars="200"/>
      <w:jc w:val="center"/>
    </w:pPr>
    <w:rPr>
      <w:rFonts w:eastAsia="仿宋_GB2312"/>
      <w:szCs w:val="20"/>
    </w:rPr>
  </w:style>
  <w:style w:type="paragraph" w:customStyle="1" w:styleId="2867">
    <w:name w:val="黑体三号32"/>
    <w:basedOn w:val="418"/>
    <w:autoRedefine/>
    <w:qFormat/>
    <w:uiPriority w:val="0"/>
    <w:pPr>
      <w:jc w:val="center"/>
    </w:pPr>
    <w:rPr>
      <w:rFonts w:ascii="黑体" w:hAnsi="宋体" w:eastAsia="黑体" w:cs="宋体"/>
      <w:bCs/>
      <w:spacing w:val="0"/>
      <w:sz w:val="32"/>
    </w:rPr>
  </w:style>
  <w:style w:type="paragraph" w:customStyle="1" w:styleId="2868">
    <w:name w:val="图题213"/>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869">
    <w:name w:val="图题6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870">
    <w:name w:val="Char Char2 Char Char Char Char"/>
    <w:basedOn w:val="1"/>
    <w:autoRedefine/>
    <w:qFormat/>
    <w:uiPriority w:val="0"/>
  </w:style>
  <w:style w:type="paragraph" w:customStyle="1" w:styleId="2871">
    <w:name w:val="标题4新"/>
    <w:basedOn w:val="35"/>
    <w:autoRedefine/>
    <w:qFormat/>
    <w:uiPriority w:val="39"/>
    <w:pPr>
      <w:spacing w:after="0" w:line="560" w:lineRule="exact"/>
      <w:ind w:left="0" w:leftChars="0"/>
      <w:outlineLvl w:val="3"/>
    </w:pPr>
    <w:rPr>
      <w:bCs/>
      <w:sz w:val="28"/>
      <w:szCs w:val="24"/>
      <w:lang w:val="en-US"/>
    </w:rPr>
  </w:style>
  <w:style w:type="paragraph" w:customStyle="1" w:styleId="2872">
    <w:name w:val="表格内字体6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873">
    <w:name w:val="wtext"/>
    <w:basedOn w:val="1"/>
    <w:autoRedefine/>
    <w:qFormat/>
    <w:uiPriority w:val="0"/>
    <w:pPr>
      <w:widowControl/>
      <w:spacing w:before="100" w:beforeAutospacing="1" w:after="100" w:afterAutospacing="1"/>
      <w:ind w:firstLine="480"/>
      <w:jc w:val="left"/>
    </w:pPr>
    <w:rPr>
      <w:color w:val="000000"/>
      <w:kern w:val="0"/>
      <w:sz w:val="22"/>
      <w:szCs w:val="22"/>
    </w:rPr>
  </w:style>
  <w:style w:type="paragraph" w:customStyle="1" w:styleId="2874">
    <w:name w:val="td2"/>
    <w:basedOn w:val="1"/>
    <w:autoRedefine/>
    <w:qFormat/>
    <w:uiPriority w:val="34"/>
    <w:pPr>
      <w:widowControl/>
      <w:spacing w:before="100" w:beforeAutospacing="1" w:after="100" w:afterAutospacing="1" w:line="360" w:lineRule="atLeast"/>
      <w:jc w:val="left"/>
    </w:pPr>
    <w:rPr>
      <w:rFonts w:ascii="宋体" w:hAnsi="宋体" w:cs="宋体"/>
      <w:kern w:val="0"/>
      <w:sz w:val="20"/>
      <w:szCs w:val="20"/>
    </w:rPr>
  </w:style>
  <w:style w:type="paragraph" w:customStyle="1" w:styleId="2875">
    <w:name w:val="正文.12"/>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2876">
    <w:name w:val="表题115"/>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2877">
    <w:name w:val="11ft"/>
    <w:basedOn w:val="1"/>
    <w:autoRedefine/>
    <w:qFormat/>
    <w:uiPriority w:val="34"/>
    <w:pPr>
      <w:widowControl/>
      <w:spacing w:before="100" w:beforeAutospacing="1" w:after="100" w:afterAutospacing="1"/>
      <w:jc w:val="left"/>
    </w:pPr>
    <w:rPr>
      <w:rFonts w:ascii="Arial Unicode MS" w:hAnsi="Arial Unicode MS" w:eastAsia="Arial Unicode MS" w:cs="Arial Unicode MS"/>
      <w:color w:val="005680"/>
      <w:kern w:val="0"/>
      <w:sz w:val="22"/>
      <w:szCs w:val="22"/>
    </w:rPr>
  </w:style>
  <w:style w:type="paragraph" w:customStyle="1" w:styleId="2878">
    <w:name w:val="15"/>
    <w:basedOn w:val="1"/>
    <w:autoRedefine/>
    <w:qFormat/>
    <w:uiPriority w:val="0"/>
    <w:pPr>
      <w:widowControl/>
      <w:spacing w:before="100" w:beforeAutospacing="1" w:after="100" w:afterAutospacing="1"/>
      <w:jc w:val="left"/>
    </w:pPr>
    <w:rPr>
      <w:rFonts w:ascii="宋体" w:hAnsi="宋体"/>
      <w:kern w:val="0"/>
      <w:sz w:val="24"/>
    </w:rPr>
  </w:style>
  <w:style w:type="paragraph" w:customStyle="1" w:styleId="2879">
    <w:name w:val="23-47表名"/>
    <w:basedOn w:val="1"/>
    <w:autoRedefine/>
    <w:qFormat/>
    <w:uiPriority w:val="0"/>
    <w:pPr>
      <w:spacing w:afterLines="50" w:line="440" w:lineRule="exact"/>
      <w:jc w:val="center"/>
    </w:pPr>
    <w:rPr>
      <w:rFonts w:ascii="宋体" w:hAnsi="宋体"/>
      <w:b/>
      <w:sz w:val="24"/>
    </w:rPr>
  </w:style>
  <w:style w:type="paragraph" w:customStyle="1" w:styleId="2880">
    <w:name w:val="red14"/>
    <w:basedOn w:val="1"/>
    <w:autoRedefine/>
    <w:qFormat/>
    <w:uiPriority w:val="34"/>
    <w:pPr>
      <w:widowControl/>
      <w:spacing w:before="100" w:beforeAutospacing="1" w:after="100" w:afterAutospacing="1"/>
      <w:jc w:val="left"/>
    </w:pPr>
    <w:rPr>
      <w:rFonts w:ascii="宋体" w:hAnsi="宋体" w:cs="宋体"/>
      <w:b/>
      <w:bCs/>
      <w:color w:val="FF0000"/>
      <w:kern w:val="0"/>
      <w:szCs w:val="21"/>
    </w:rPr>
  </w:style>
  <w:style w:type="paragraph" w:customStyle="1" w:styleId="2881">
    <w:name w:val="表题151"/>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2882">
    <w:name w:val="正文格式61"/>
    <w:basedOn w:val="1"/>
    <w:autoRedefine/>
    <w:qFormat/>
    <w:uiPriority w:val="0"/>
    <w:pPr>
      <w:spacing w:line="360" w:lineRule="auto"/>
      <w:ind w:firstLine="482"/>
    </w:pPr>
    <w:rPr>
      <w:rFonts w:ascii="宋体" w:hAnsi="宋体"/>
      <w:sz w:val="24"/>
    </w:rPr>
  </w:style>
  <w:style w:type="paragraph" w:customStyle="1" w:styleId="2883">
    <w:name w:val="表文字523"/>
    <w:basedOn w:val="1"/>
    <w:autoRedefine/>
    <w:qFormat/>
    <w:uiPriority w:val="0"/>
    <w:pPr>
      <w:adjustRightInd w:val="0"/>
      <w:jc w:val="left"/>
      <w:textAlignment w:val="baseline"/>
    </w:pPr>
    <w:rPr>
      <w:rFonts w:ascii="宋体"/>
      <w:kern w:val="0"/>
      <w:szCs w:val="20"/>
    </w:rPr>
  </w:style>
  <w:style w:type="paragraph" w:customStyle="1" w:styleId="2884">
    <w:name w:val="正文格式＝51"/>
    <w:basedOn w:val="418"/>
    <w:next w:val="418"/>
    <w:autoRedefine/>
    <w:qFormat/>
    <w:uiPriority w:val="0"/>
    <w:rPr>
      <w:rFonts w:ascii="宋体" w:hAnsi="宋体"/>
      <w:b w:val="0"/>
      <w:spacing w:val="0"/>
      <w:sz w:val="24"/>
      <w:szCs w:val="24"/>
    </w:rPr>
  </w:style>
  <w:style w:type="paragraph" w:customStyle="1" w:styleId="2885">
    <w:name w:val="附件42"/>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color w:val="auto"/>
      <w:sz w:val="32"/>
      <w:szCs w:val="32"/>
    </w:rPr>
  </w:style>
  <w:style w:type="paragraph" w:customStyle="1" w:styleId="2886">
    <w:name w:val="Normal Indent1"/>
    <w:basedOn w:val="1"/>
    <w:autoRedefine/>
    <w:qFormat/>
    <w:uiPriority w:val="39"/>
    <w:pPr>
      <w:adjustRightInd w:val="0"/>
      <w:ind w:firstLine="420" w:firstLineChars="200"/>
      <w:textAlignment w:val="baseline"/>
    </w:pPr>
    <w:rPr>
      <w:rFonts w:hint="eastAsia" w:hAnsi="宋体"/>
      <w:sz w:val="24"/>
      <w:szCs w:val="20"/>
    </w:rPr>
  </w:style>
  <w:style w:type="paragraph" w:customStyle="1" w:styleId="2887">
    <w:name w:val="附件31"/>
    <w:basedOn w:val="3"/>
    <w:next w:val="418"/>
    <w:autoRedefine/>
    <w:qFormat/>
    <w:uiPriority w:val="0"/>
    <w:pPr>
      <w:keepLines/>
      <w:tabs>
        <w:tab w:val="left" w:pos="1566"/>
      </w:tabs>
      <w:overflowPunct/>
      <w:adjustRightInd w:val="0"/>
      <w:spacing w:before="0" w:after="120" w:line="360" w:lineRule="auto"/>
      <w:ind w:left="0" w:firstLine="0"/>
      <w:jc w:val="left"/>
    </w:pPr>
    <w:rPr>
      <w:rFonts w:ascii="黑体" w:hAnsi="宋体"/>
      <w:b w:val="0"/>
      <w:color w:val="auto"/>
      <w:sz w:val="32"/>
      <w:szCs w:val="32"/>
    </w:rPr>
  </w:style>
  <w:style w:type="paragraph" w:customStyle="1" w:styleId="2888">
    <w:name w:val="表内541"/>
    <w:basedOn w:val="1"/>
    <w:autoRedefine/>
    <w:qFormat/>
    <w:uiPriority w:val="0"/>
    <w:pPr>
      <w:adjustRightInd w:val="0"/>
      <w:snapToGrid w:val="0"/>
      <w:spacing w:line="300" w:lineRule="auto"/>
      <w:jc w:val="center"/>
    </w:pPr>
    <w:rPr>
      <w:rFonts w:ascii="宋体" w:hAnsi="宋体" w:cs="宋体"/>
      <w:szCs w:val="20"/>
    </w:rPr>
  </w:style>
  <w:style w:type="paragraph" w:customStyle="1" w:styleId="2889">
    <w:name w:val="Normal2"/>
    <w:autoRedefine/>
    <w:qFormat/>
    <w:uiPriority w:val="39"/>
    <w:pPr>
      <w:widowControl w:val="0"/>
      <w:tabs>
        <w:tab w:val="left" w:pos="567"/>
      </w:tabs>
      <w:adjustRightInd w:val="0"/>
      <w:spacing w:line="360" w:lineRule="atLeast"/>
      <w:jc w:val="both"/>
      <w:textAlignment w:val="baseline"/>
    </w:pPr>
    <w:rPr>
      <w:rFonts w:ascii="Times New Roman" w:hAnsi="Courier" w:eastAsia="PMingLiU" w:cs="Times New Roman"/>
      <w:sz w:val="24"/>
      <w:lang w:val="en-US" w:eastAsia="zh-TW" w:bidi="ar-SA"/>
    </w:rPr>
  </w:style>
  <w:style w:type="paragraph" w:customStyle="1" w:styleId="2890">
    <w:name w:val="Date2"/>
    <w:basedOn w:val="1"/>
    <w:next w:val="1"/>
    <w:autoRedefine/>
    <w:qFormat/>
    <w:uiPriority w:val="39"/>
    <w:pPr>
      <w:adjustRightInd w:val="0"/>
      <w:textAlignment w:val="baseline"/>
    </w:pPr>
    <w:rPr>
      <w:szCs w:val="20"/>
    </w:rPr>
  </w:style>
  <w:style w:type="paragraph" w:customStyle="1" w:styleId="2891">
    <w:name w:val="Body Text Indent 21"/>
    <w:basedOn w:val="1"/>
    <w:autoRedefine/>
    <w:qFormat/>
    <w:uiPriority w:val="39"/>
    <w:pPr>
      <w:adjustRightInd w:val="0"/>
      <w:spacing w:line="480" w:lineRule="atLeast"/>
      <w:ind w:firstLine="630"/>
      <w:textAlignment w:val="baseline"/>
    </w:pPr>
    <w:rPr>
      <w:rFonts w:ascii="宋体"/>
      <w:sz w:val="28"/>
      <w:szCs w:val="20"/>
    </w:rPr>
  </w:style>
  <w:style w:type="paragraph" w:customStyle="1" w:styleId="2892">
    <w:name w:val="样式41"/>
    <w:basedOn w:val="34"/>
    <w:autoRedefine/>
    <w:qFormat/>
    <w:uiPriority w:val="0"/>
    <w:pPr>
      <w:widowControl w:val="0"/>
      <w:tabs>
        <w:tab w:val="left" w:pos="1820"/>
      </w:tabs>
      <w:spacing w:before="0" w:after="0" w:line="240" w:lineRule="atLeast"/>
      <w:ind w:right="0"/>
      <w:jc w:val="center"/>
    </w:pPr>
    <w:rPr>
      <w:rFonts w:eastAsia="幼圆"/>
      <w:sz w:val="20"/>
      <w:lang w:val="en-US"/>
    </w:rPr>
  </w:style>
  <w:style w:type="paragraph" w:customStyle="1" w:styleId="2893">
    <w:name w:val="Body Text Indent 31"/>
    <w:basedOn w:val="1"/>
    <w:autoRedefine/>
    <w:qFormat/>
    <w:uiPriority w:val="39"/>
    <w:pPr>
      <w:adjustRightInd w:val="0"/>
      <w:spacing w:line="480" w:lineRule="exact"/>
      <w:ind w:firstLine="525"/>
      <w:textAlignment w:val="baseline"/>
    </w:pPr>
    <w:rPr>
      <w:rFonts w:ascii="宋体"/>
      <w:sz w:val="28"/>
      <w:szCs w:val="20"/>
    </w:rPr>
  </w:style>
  <w:style w:type="paragraph" w:customStyle="1" w:styleId="2894">
    <w:name w:val="Char Char2 Char Char Char Char31"/>
    <w:basedOn w:val="1"/>
    <w:autoRedefine/>
    <w:qFormat/>
    <w:uiPriority w:val="0"/>
  </w:style>
  <w:style w:type="paragraph" w:customStyle="1" w:styleId="2895">
    <w:name w:val="表文字5"/>
    <w:basedOn w:val="1"/>
    <w:autoRedefine/>
    <w:qFormat/>
    <w:uiPriority w:val="0"/>
    <w:pPr>
      <w:adjustRightInd w:val="0"/>
      <w:jc w:val="left"/>
      <w:textAlignment w:val="baseline"/>
    </w:pPr>
    <w:rPr>
      <w:rFonts w:ascii="宋体"/>
      <w:kern w:val="0"/>
      <w:szCs w:val="20"/>
    </w:rPr>
  </w:style>
  <w:style w:type="paragraph" w:customStyle="1" w:styleId="2896">
    <w:name w:val="正文编号小标题次"/>
    <w:basedOn w:val="1"/>
    <w:autoRedefine/>
    <w:qFormat/>
    <w:uiPriority w:val="39"/>
    <w:pPr>
      <w:widowControl/>
      <w:kinsoku w:val="0"/>
      <w:autoSpaceDE w:val="0"/>
      <w:autoSpaceDN w:val="0"/>
      <w:adjustRightInd w:val="0"/>
      <w:snapToGrid w:val="0"/>
      <w:jc w:val="center"/>
    </w:pPr>
    <w:rPr>
      <w:rFonts w:ascii="宋体" w:hAnsi="宋体"/>
      <w:spacing w:val="10"/>
      <w:kern w:val="0"/>
      <w:sz w:val="24"/>
    </w:rPr>
  </w:style>
  <w:style w:type="paragraph" w:customStyle="1" w:styleId="2897">
    <w:name w:val="燕山正文11"/>
    <w:basedOn w:val="1"/>
    <w:autoRedefine/>
    <w:qFormat/>
    <w:uiPriority w:val="0"/>
    <w:pPr>
      <w:tabs>
        <w:tab w:val="left" w:pos="4680"/>
      </w:tabs>
      <w:adjustRightInd w:val="0"/>
      <w:snapToGrid w:val="0"/>
      <w:spacing w:line="360" w:lineRule="auto"/>
      <w:ind w:firstLine="480" w:firstLineChars="200"/>
    </w:pPr>
    <w:rPr>
      <w:rFonts w:ascii="宋体" w:hAnsi="宋体" w:cs="宋体"/>
      <w:bCs/>
      <w:snapToGrid w:val="0"/>
      <w:color w:val="000000"/>
      <w:kern w:val="0"/>
      <w:sz w:val="24"/>
    </w:rPr>
  </w:style>
  <w:style w:type="paragraph" w:customStyle="1" w:styleId="2898">
    <w:name w:val="文本正式"/>
    <w:basedOn w:val="1"/>
    <w:autoRedefine/>
    <w:qFormat/>
    <w:uiPriority w:val="39"/>
    <w:pPr>
      <w:spacing w:line="360" w:lineRule="auto"/>
      <w:ind w:firstLine="480" w:firstLineChars="200"/>
    </w:pPr>
    <w:rPr>
      <w:sz w:val="24"/>
      <w:szCs w:val="20"/>
    </w:rPr>
  </w:style>
  <w:style w:type="paragraph" w:customStyle="1" w:styleId="2899">
    <w:name w:val="样式 标题 3 + 段前: 12 磅"/>
    <w:basedOn w:val="5"/>
    <w:autoRedefine/>
    <w:qFormat/>
    <w:uiPriority w:val="0"/>
    <w:pPr>
      <w:keepNext w:val="0"/>
      <w:keepLines w:val="0"/>
      <w:widowControl/>
      <w:autoSpaceDE w:val="0"/>
      <w:autoSpaceDN w:val="0"/>
      <w:adjustRightInd w:val="0"/>
      <w:snapToGrid w:val="0"/>
      <w:spacing w:before="0" w:after="0" w:line="360" w:lineRule="auto"/>
    </w:pPr>
    <w:rPr>
      <w:rFonts w:ascii="黑体" w:hAnsi="宋体" w:eastAsia="黑体" w:cs="宋体"/>
      <w:b w:val="0"/>
      <w:bCs w:val="0"/>
      <w:color w:val="000000"/>
      <w:kern w:val="21"/>
      <w:sz w:val="24"/>
      <w:szCs w:val="20"/>
      <w:lang w:val="en-US"/>
    </w:rPr>
  </w:style>
  <w:style w:type="paragraph" w:styleId="2900">
    <w:name w:val="No Spacing"/>
    <w:autoRedefine/>
    <w:qFormat/>
    <w:uiPriority w:val="0"/>
    <w:rPr>
      <w:rFonts w:ascii="Times New Roman" w:hAnsi="Times New Roman" w:eastAsia="宋体" w:cs="Times New Roman"/>
      <w:sz w:val="22"/>
      <w:szCs w:val="22"/>
      <w:lang w:val="en-US" w:eastAsia="zh-CN" w:bidi="ar-SA"/>
    </w:rPr>
  </w:style>
  <w:style w:type="paragraph" w:customStyle="1" w:styleId="2901">
    <w:name w:val="cg1"/>
    <w:basedOn w:val="1"/>
    <w:autoRedefine/>
    <w:qFormat/>
    <w:uiPriority w:val="39"/>
    <w:pPr>
      <w:widowControl/>
      <w:spacing w:before="100" w:beforeAutospacing="1" w:after="100" w:afterAutospacing="1" w:line="330" w:lineRule="atLeast"/>
      <w:ind w:firstLine="360"/>
      <w:jc w:val="left"/>
    </w:pPr>
    <w:rPr>
      <w:rFonts w:ascii="ˎ̥" w:hAnsi="ˎ̥"/>
      <w:color w:val="000099"/>
      <w:kern w:val="0"/>
      <w:sz w:val="18"/>
      <w:szCs w:val="18"/>
    </w:rPr>
  </w:style>
  <w:style w:type="paragraph" w:customStyle="1" w:styleId="2902">
    <w:name w:val="样式 样式 宋体 + 首行缩进:  2 字符11"/>
    <w:basedOn w:val="1"/>
    <w:autoRedefine/>
    <w:qFormat/>
    <w:uiPriority w:val="0"/>
    <w:pPr>
      <w:spacing w:line="360" w:lineRule="auto"/>
      <w:ind w:firstLine="480" w:firstLineChars="200"/>
      <w:jc w:val="left"/>
    </w:pPr>
    <w:rPr>
      <w:rFonts w:ascii="宋体" w:cs="宋体"/>
      <w:sz w:val="24"/>
    </w:rPr>
  </w:style>
  <w:style w:type="paragraph" w:customStyle="1" w:styleId="2903">
    <w:name w:val="表内文字小21"/>
    <w:basedOn w:val="1"/>
    <w:autoRedefine/>
    <w:qFormat/>
    <w:uiPriority w:val="0"/>
    <w:pPr>
      <w:adjustRightInd w:val="0"/>
      <w:snapToGrid w:val="0"/>
      <w:jc w:val="center"/>
    </w:pPr>
    <w:rPr>
      <w:rFonts w:ascii="宋体" w:hAnsi="Times"/>
      <w:bCs/>
      <w:color w:val="000000"/>
      <w:szCs w:val="20"/>
    </w:rPr>
  </w:style>
  <w:style w:type="paragraph" w:customStyle="1" w:styleId="2904">
    <w:name w:val="表格文字居中"/>
    <w:basedOn w:val="86"/>
    <w:autoRedefine/>
    <w:qFormat/>
    <w:uiPriority w:val="99"/>
    <w:pPr>
      <w:tabs>
        <w:tab w:val="left" w:pos="628"/>
        <w:tab w:val="left" w:pos="1727"/>
        <w:tab w:val="left" w:pos="1884"/>
      </w:tabs>
      <w:adjustRightInd w:val="0"/>
      <w:snapToGrid w:val="0"/>
      <w:spacing w:before="100" w:beforeAutospacing="1" w:after="0"/>
      <w:ind w:left="26" w:firstLine="0" w:firstLineChars="0"/>
      <w:jc w:val="center"/>
      <w:outlineLvl w:val="0"/>
    </w:pPr>
    <w:rPr>
      <w:rFonts w:ascii="宋体" w:hAnsi="宋体"/>
      <w:sz w:val="24"/>
      <w:szCs w:val="28"/>
    </w:rPr>
  </w:style>
  <w:style w:type="paragraph" w:customStyle="1" w:styleId="2905">
    <w:name w:val="标准1"/>
    <w:basedOn w:val="1"/>
    <w:autoRedefine/>
    <w:qFormat/>
    <w:uiPriority w:val="0"/>
    <w:pPr>
      <w:adjustRightInd w:val="0"/>
      <w:spacing w:before="120" w:line="336" w:lineRule="auto"/>
      <w:jc w:val="center"/>
      <w:textAlignment w:val="baseline"/>
    </w:pPr>
    <w:rPr>
      <w:rFonts w:ascii="黑体" w:eastAsia="黑体"/>
      <w:szCs w:val="20"/>
    </w:rPr>
  </w:style>
  <w:style w:type="paragraph" w:customStyle="1" w:styleId="2906">
    <w:name w:val="样式 标题 3 + 段前: 6 磅 段后: 6 磅 行距: 多倍行距 1.73 字行"/>
    <w:basedOn w:val="5"/>
    <w:autoRedefine/>
    <w:qFormat/>
    <w:uiPriority w:val="39"/>
    <w:pPr>
      <w:spacing w:before="120" w:after="120" w:line="415" w:lineRule="auto"/>
    </w:pPr>
    <w:rPr>
      <w:rFonts w:cs="宋体"/>
      <w:kern w:val="0"/>
      <w:szCs w:val="20"/>
      <w:lang w:val="en-US"/>
    </w:rPr>
  </w:style>
  <w:style w:type="paragraph" w:customStyle="1" w:styleId="2907">
    <w:name w:val="Char Char2 Char Char Char Char Char Char4"/>
    <w:basedOn w:val="1"/>
    <w:autoRedefine/>
    <w:qFormat/>
    <w:uiPriority w:val="39"/>
    <w:pPr>
      <w:spacing w:line="480" w:lineRule="exact"/>
    </w:pPr>
    <w:rPr>
      <w:sz w:val="22"/>
    </w:rPr>
  </w:style>
  <w:style w:type="paragraph" w:customStyle="1" w:styleId="2908">
    <w:name w:val="正文格式11"/>
    <w:basedOn w:val="1"/>
    <w:autoRedefine/>
    <w:qFormat/>
    <w:uiPriority w:val="0"/>
    <w:pPr>
      <w:spacing w:line="360" w:lineRule="auto"/>
      <w:ind w:firstLine="482"/>
    </w:pPr>
    <w:rPr>
      <w:rFonts w:ascii="宋体" w:hAnsi="宋体"/>
      <w:sz w:val="24"/>
    </w:rPr>
  </w:style>
  <w:style w:type="paragraph" w:customStyle="1" w:styleId="2909">
    <w:name w:val="Fax Header1"/>
    <w:basedOn w:val="1"/>
    <w:autoRedefine/>
    <w:qFormat/>
    <w:uiPriority w:val="0"/>
    <w:pPr>
      <w:widowControl/>
      <w:spacing w:before="240" w:after="60"/>
      <w:jc w:val="left"/>
    </w:pPr>
    <w:rPr>
      <w:kern w:val="0"/>
      <w:sz w:val="20"/>
      <w:szCs w:val="20"/>
    </w:rPr>
  </w:style>
  <w:style w:type="paragraph" w:customStyle="1" w:styleId="2910">
    <w:name w:val="首行缩进:  0.99 厘米 + 首行缩进:  2 字符"/>
    <w:basedOn w:val="1"/>
    <w:autoRedefine/>
    <w:qFormat/>
    <w:uiPriority w:val="0"/>
    <w:pPr>
      <w:widowControl/>
      <w:topLinePunct/>
      <w:spacing w:line="480" w:lineRule="exact"/>
      <w:ind w:firstLine="420" w:firstLineChars="200"/>
      <w:jc w:val="center"/>
    </w:pPr>
    <w:rPr>
      <w:rFonts w:ascii="宋体" w:cs="宋体"/>
      <w:snapToGrid w:val="0"/>
      <w:color w:val="FF0000"/>
      <w:kern w:val="0"/>
      <w:szCs w:val="21"/>
    </w:rPr>
  </w:style>
  <w:style w:type="paragraph" w:customStyle="1" w:styleId="2911">
    <w:name w:val="Char Char Char Char Char Char Char Char Char1 Char Char Char Char Char Char1 Char2"/>
    <w:basedOn w:val="1"/>
    <w:autoRedefine/>
    <w:qFormat/>
    <w:uiPriority w:val="39"/>
    <w:rPr>
      <w:szCs w:val="21"/>
    </w:rPr>
  </w:style>
  <w:style w:type="paragraph" w:customStyle="1" w:styleId="2912">
    <w:name w:val="Char Char Char1 Char Char Char Char2"/>
    <w:basedOn w:val="1"/>
    <w:autoRedefine/>
    <w:qFormat/>
    <w:uiPriority w:val="39"/>
  </w:style>
  <w:style w:type="paragraph" w:customStyle="1" w:styleId="2913">
    <w:name w:val="InstÀÀll1"/>
    <w:autoRedefine/>
    <w:qFormat/>
    <w:uiPriority w:val="39"/>
    <w:pPr>
      <w:tabs>
        <w:tab w:val="left" w:pos="-720"/>
      </w:tabs>
      <w:suppressAutoHyphens/>
      <w:jc w:val="both"/>
    </w:pPr>
    <w:rPr>
      <w:rFonts w:ascii="Courier" w:hAnsi="Courier" w:eastAsia="宋体" w:cs="Times New Roman"/>
      <w:spacing w:val="-3"/>
      <w:sz w:val="24"/>
      <w:lang w:val="en-US" w:eastAsia="sv-SE" w:bidi="ar-SA"/>
    </w:rPr>
  </w:style>
  <w:style w:type="paragraph" w:customStyle="1" w:styleId="2914">
    <w:name w:val="Char71"/>
    <w:basedOn w:val="1"/>
    <w:autoRedefine/>
    <w:qFormat/>
    <w:uiPriority w:val="0"/>
    <w:pPr>
      <w:ind w:left="-48"/>
    </w:pPr>
  </w:style>
  <w:style w:type="paragraph" w:customStyle="1" w:styleId="2915">
    <w:name w:val="表中文字114"/>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2916">
    <w:name w:val="正文文本 21"/>
    <w:basedOn w:val="1"/>
    <w:autoRedefine/>
    <w:qFormat/>
    <w:uiPriority w:val="99"/>
    <w:pPr>
      <w:autoSpaceDE w:val="0"/>
      <w:autoSpaceDN w:val="0"/>
      <w:adjustRightInd w:val="0"/>
      <w:spacing w:line="360" w:lineRule="atLeast"/>
      <w:ind w:firstLine="425"/>
    </w:pPr>
    <w:rPr>
      <w:rFonts w:ascii="宋体" w:hAnsi="Tms Rmn"/>
      <w:kern w:val="0"/>
      <w:sz w:val="28"/>
      <w:szCs w:val="20"/>
    </w:rPr>
  </w:style>
  <w:style w:type="paragraph" w:customStyle="1" w:styleId="2917">
    <w:name w:val="Char Char Char Char1 Char Char Char"/>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2918">
    <w:name w:val="正文文本缩进22"/>
    <w:basedOn w:val="1"/>
    <w:autoRedefine/>
    <w:qFormat/>
    <w:uiPriority w:val="39"/>
    <w:pPr>
      <w:spacing w:after="120" w:line="360" w:lineRule="auto"/>
      <w:ind w:left="200" w:leftChars="200" w:firstLine="200" w:firstLineChars="200"/>
    </w:pPr>
    <w:rPr>
      <w:sz w:val="24"/>
    </w:rPr>
  </w:style>
  <w:style w:type="paragraph" w:customStyle="1" w:styleId="2919">
    <w:name w:val="表内5中11"/>
    <w:basedOn w:val="1"/>
    <w:autoRedefine/>
    <w:qFormat/>
    <w:uiPriority w:val="0"/>
    <w:pPr>
      <w:adjustRightInd w:val="0"/>
      <w:snapToGrid w:val="0"/>
      <w:jc w:val="center"/>
    </w:pPr>
    <w:rPr>
      <w:rFonts w:ascii="宋体" w:hAnsi="宋体" w:cs="Arial"/>
      <w:snapToGrid w:val="0"/>
      <w:color w:val="000000"/>
      <w:szCs w:val="21"/>
    </w:rPr>
  </w:style>
  <w:style w:type="paragraph" w:customStyle="1" w:styleId="2920">
    <w:name w:val="正文23"/>
    <w:autoRedefine/>
    <w:qFormat/>
    <w:uiPriority w:val="0"/>
    <w:pPr>
      <w:widowControl w:val="0"/>
      <w:adjustRightInd w:val="0"/>
      <w:spacing w:line="360" w:lineRule="atLeast"/>
    </w:pPr>
    <w:rPr>
      <w:rFonts w:ascii="宋体" w:hAnsi="Times New Roman" w:eastAsia="宋体" w:cs="Times New Roman"/>
      <w:sz w:val="24"/>
      <w:lang w:val="en-US" w:eastAsia="zh-CN" w:bidi="ar-SA"/>
    </w:rPr>
  </w:style>
  <w:style w:type="paragraph" w:customStyle="1" w:styleId="2921">
    <w:name w:val="23-47表名2"/>
    <w:basedOn w:val="1"/>
    <w:autoRedefine/>
    <w:qFormat/>
    <w:uiPriority w:val="0"/>
    <w:pPr>
      <w:spacing w:afterLines="50" w:line="440" w:lineRule="exact"/>
      <w:jc w:val="center"/>
    </w:pPr>
    <w:rPr>
      <w:rFonts w:ascii="宋体" w:hAnsi="宋体"/>
      <w:b/>
      <w:sz w:val="24"/>
    </w:rPr>
  </w:style>
  <w:style w:type="paragraph" w:customStyle="1" w:styleId="2922">
    <w:name w:val="表内宋5"/>
    <w:basedOn w:val="1719"/>
    <w:autoRedefine/>
    <w:qFormat/>
    <w:uiPriority w:val="0"/>
    <w:pPr>
      <w:widowControl/>
      <w:autoSpaceDE w:val="0"/>
      <w:autoSpaceDN w:val="0"/>
      <w:jc w:val="left"/>
      <w:textAlignment w:val="auto"/>
    </w:pPr>
    <w:rPr>
      <w:color w:val="auto"/>
      <w:w w:val="90"/>
    </w:rPr>
  </w:style>
  <w:style w:type="paragraph" w:customStyle="1" w:styleId="2923">
    <w:name w:val="纯文本22"/>
    <w:basedOn w:val="1"/>
    <w:autoRedefine/>
    <w:qFormat/>
    <w:uiPriority w:val="39"/>
    <w:pPr>
      <w:adjustRightInd w:val="0"/>
    </w:pPr>
    <w:rPr>
      <w:rFonts w:ascii="宋体" w:hAnsi="Courier New"/>
      <w:szCs w:val="20"/>
    </w:rPr>
  </w:style>
  <w:style w:type="paragraph" w:customStyle="1" w:styleId="2924">
    <w:name w:val="正文格式12"/>
    <w:basedOn w:val="1"/>
    <w:autoRedefine/>
    <w:qFormat/>
    <w:uiPriority w:val="0"/>
    <w:pPr>
      <w:spacing w:line="360" w:lineRule="auto"/>
      <w:ind w:firstLine="482"/>
    </w:pPr>
    <w:rPr>
      <w:rFonts w:ascii="宋体" w:hAnsi="宋体"/>
      <w:sz w:val="24"/>
    </w:rPr>
  </w:style>
  <w:style w:type="paragraph" w:customStyle="1" w:styleId="2925">
    <w:name w:val="正文21"/>
    <w:basedOn w:val="1"/>
    <w:autoRedefine/>
    <w:qFormat/>
    <w:uiPriority w:val="0"/>
    <w:pPr>
      <w:spacing w:line="220" w:lineRule="exact"/>
    </w:pPr>
    <w:rPr>
      <w:rFonts w:hAnsi="宋体" w:eastAsia="仿宋_GB2312"/>
    </w:rPr>
  </w:style>
  <w:style w:type="paragraph" w:customStyle="1" w:styleId="2926">
    <w:name w:val="默认段落字体 Para Char Char Char Char1"/>
    <w:basedOn w:val="1"/>
    <w:autoRedefine/>
    <w:qFormat/>
    <w:uiPriority w:val="0"/>
  </w:style>
  <w:style w:type="paragraph" w:customStyle="1" w:styleId="2927">
    <w:name w:val="Char1 Char Char Char Char Char Char"/>
    <w:basedOn w:val="1"/>
    <w:autoRedefine/>
    <w:qFormat/>
    <w:uiPriority w:val="0"/>
    <w:rPr>
      <w:sz w:val="24"/>
    </w:rPr>
  </w:style>
  <w:style w:type="paragraph" w:customStyle="1" w:styleId="2928">
    <w:name w:val="Char Char Char Char Char Char Char11"/>
    <w:basedOn w:val="1"/>
    <w:autoRedefine/>
    <w:qFormat/>
    <w:uiPriority w:val="0"/>
  </w:style>
  <w:style w:type="paragraph" w:customStyle="1" w:styleId="2929">
    <w:name w:val="InstÀÀll2"/>
    <w:autoRedefine/>
    <w:qFormat/>
    <w:uiPriority w:val="39"/>
    <w:pPr>
      <w:tabs>
        <w:tab w:val="left" w:pos="-720"/>
      </w:tabs>
      <w:suppressAutoHyphens/>
      <w:jc w:val="both"/>
    </w:pPr>
    <w:rPr>
      <w:rFonts w:ascii="Courier" w:hAnsi="Courier" w:eastAsia="宋体" w:cs="Times New Roman"/>
      <w:spacing w:val="-3"/>
      <w:sz w:val="24"/>
      <w:lang w:val="en-US" w:eastAsia="sv-SE" w:bidi="ar-SA"/>
    </w:rPr>
  </w:style>
  <w:style w:type="paragraph" w:customStyle="1" w:styleId="2930">
    <w:name w:val="黑体三号1"/>
    <w:basedOn w:val="418"/>
    <w:autoRedefine/>
    <w:qFormat/>
    <w:uiPriority w:val="0"/>
    <w:pPr>
      <w:jc w:val="center"/>
    </w:pPr>
    <w:rPr>
      <w:rFonts w:ascii="黑体" w:hAnsi="宋体" w:eastAsia="黑体" w:cs="宋体"/>
      <w:bCs/>
      <w:spacing w:val="0"/>
      <w:sz w:val="32"/>
    </w:rPr>
  </w:style>
  <w:style w:type="paragraph" w:customStyle="1" w:styleId="2931">
    <w:name w:val="正文文本 22"/>
    <w:basedOn w:val="1"/>
    <w:autoRedefine/>
    <w:qFormat/>
    <w:uiPriority w:val="39"/>
    <w:pPr>
      <w:autoSpaceDE w:val="0"/>
      <w:autoSpaceDN w:val="0"/>
      <w:adjustRightInd w:val="0"/>
      <w:spacing w:line="360" w:lineRule="atLeast"/>
      <w:ind w:firstLine="425"/>
    </w:pPr>
    <w:rPr>
      <w:rFonts w:ascii="宋体" w:hAnsi="Tms Rmn"/>
      <w:kern w:val="0"/>
      <w:sz w:val="28"/>
      <w:szCs w:val="20"/>
    </w:rPr>
  </w:style>
  <w:style w:type="paragraph" w:customStyle="1" w:styleId="2932">
    <w:name w:val="正文格式82"/>
    <w:basedOn w:val="1"/>
    <w:autoRedefine/>
    <w:qFormat/>
    <w:uiPriority w:val="0"/>
    <w:pPr>
      <w:spacing w:line="360" w:lineRule="auto"/>
      <w:ind w:firstLine="482"/>
    </w:pPr>
    <w:rPr>
      <w:rFonts w:ascii="宋体" w:hAnsi="宋体"/>
      <w:sz w:val="24"/>
    </w:rPr>
  </w:style>
  <w:style w:type="paragraph" w:customStyle="1" w:styleId="2933">
    <w:name w:val="Char Char Char2"/>
    <w:basedOn w:val="1"/>
    <w:autoRedefine/>
    <w:qFormat/>
    <w:uiPriority w:val="99"/>
    <w:pPr>
      <w:widowControl/>
      <w:spacing w:after="160" w:line="240" w:lineRule="exact"/>
      <w:jc w:val="left"/>
    </w:pPr>
    <w:rPr>
      <w:rFonts w:ascii="Verdana" w:hAnsi="Verdana"/>
      <w:kern w:val="0"/>
      <w:sz w:val="20"/>
      <w:szCs w:val="20"/>
      <w:lang w:eastAsia="en-US"/>
    </w:rPr>
  </w:style>
  <w:style w:type="paragraph" w:customStyle="1" w:styleId="2934">
    <w:name w:val="燕山正文111"/>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2935">
    <w:name w:val="正文文本缩进3"/>
    <w:basedOn w:val="1"/>
    <w:autoRedefine/>
    <w:qFormat/>
    <w:uiPriority w:val="39"/>
    <w:pPr>
      <w:spacing w:after="120" w:line="360" w:lineRule="auto"/>
      <w:ind w:left="200" w:leftChars="200" w:firstLine="200" w:firstLineChars="200"/>
    </w:pPr>
    <w:rPr>
      <w:sz w:val="24"/>
    </w:rPr>
  </w:style>
  <w:style w:type="paragraph" w:customStyle="1" w:styleId="2936">
    <w:name w:val="正文格式＝8"/>
    <w:basedOn w:val="418"/>
    <w:next w:val="418"/>
    <w:autoRedefine/>
    <w:qFormat/>
    <w:uiPriority w:val="0"/>
    <w:rPr>
      <w:rFonts w:ascii="宋体" w:hAnsi="宋体"/>
      <w:b w:val="0"/>
      <w:spacing w:val="0"/>
      <w:sz w:val="24"/>
      <w:szCs w:val="24"/>
    </w:rPr>
  </w:style>
  <w:style w:type="paragraph" w:customStyle="1" w:styleId="2937">
    <w:name w:val="图题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2938">
    <w:name w:val="Char Char Char Char Char Char Char Char Char1 Char Char Char Char1"/>
    <w:basedOn w:val="1"/>
    <w:autoRedefine/>
    <w:qFormat/>
    <w:uiPriority w:val="0"/>
    <w:rPr>
      <w:rFonts w:eastAsia="黑体"/>
      <w:b/>
      <w:szCs w:val="20"/>
    </w:rPr>
  </w:style>
  <w:style w:type="paragraph" w:customStyle="1" w:styleId="2939">
    <w:name w:val="默认段落字体 Para Char Char Char Char Char"/>
    <w:basedOn w:val="1"/>
    <w:autoRedefine/>
    <w:qFormat/>
    <w:uiPriority w:val="0"/>
  </w:style>
  <w:style w:type="paragraph" w:customStyle="1" w:styleId="2940">
    <w:name w:val="Char Char2 Char Char Char Char Char Char1"/>
    <w:basedOn w:val="1"/>
    <w:autoRedefine/>
    <w:qFormat/>
    <w:uiPriority w:val="39"/>
    <w:pPr>
      <w:spacing w:line="480" w:lineRule="exact"/>
    </w:pPr>
    <w:rPr>
      <w:sz w:val="22"/>
    </w:rPr>
  </w:style>
  <w:style w:type="paragraph" w:customStyle="1" w:styleId="2941">
    <w:name w:val="标题4314"/>
    <w:basedOn w:val="1"/>
    <w:autoRedefine/>
    <w:qFormat/>
    <w:uiPriority w:val="0"/>
    <w:pPr>
      <w:adjustRightInd w:val="0"/>
      <w:snapToGrid w:val="0"/>
      <w:spacing w:line="480" w:lineRule="exact"/>
      <w:jc w:val="center"/>
    </w:pPr>
    <w:rPr>
      <w:rFonts w:ascii="宋体" w:hAnsi="宋体" w:cs="宋体"/>
      <w:sz w:val="24"/>
    </w:rPr>
  </w:style>
  <w:style w:type="paragraph" w:customStyle="1" w:styleId="2942">
    <w:name w:val="正文4"/>
    <w:autoRedefine/>
    <w:qFormat/>
    <w:uiPriority w:val="39"/>
    <w:pPr>
      <w:widowControl w:val="0"/>
      <w:adjustRightInd w:val="0"/>
      <w:spacing w:line="360" w:lineRule="atLeast"/>
    </w:pPr>
    <w:rPr>
      <w:rFonts w:ascii="宋体" w:hAnsi="Times New Roman" w:eastAsia="宋体" w:cs="Times New Roman"/>
      <w:sz w:val="24"/>
      <w:lang w:val="en-US" w:eastAsia="zh-CN" w:bidi="ar-SA"/>
    </w:rPr>
  </w:style>
  <w:style w:type="paragraph" w:customStyle="1" w:styleId="2943">
    <w:name w:val="xl242"/>
    <w:basedOn w:val="1"/>
    <w:autoRedefine/>
    <w:qFormat/>
    <w:uiPriority w:val="0"/>
    <w:pPr>
      <w:widowControl/>
      <w:pBdr>
        <w:bottom w:val="single" w:color="auto" w:sz="4" w:space="0"/>
        <w:right w:val="single" w:color="auto" w:sz="4" w:space="0"/>
      </w:pBdr>
      <w:spacing w:before="100" w:beforeAutospacing="1" w:after="100" w:afterAutospacing="1"/>
      <w:jc w:val="center"/>
    </w:pPr>
    <w:rPr>
      <w:kern w:val="0"/>
      <w:szCs w:val="21"/>
    </w:rPr>
  </w:style>
  <w:style w:type="paragraph" w:customStyle="1" w:styleId="2944">
    <w:name w:val="纯文本3"/>
    <w:basedOn w:val="1"/>
    <w:autoRedefine/>
    <w:qFormat/>
    <w:uiPriority w:val="39"/>
    <w:pPr>
      <w:adjustRightInd w:val="0"/>
    </w:pPr>
    <w:rPr>
      <w:rFonts w:ascii="宋体" w:hAnsi="Courier New"/>
      <w:szCs w:val="20"/>
    </w:rPr>
  </w:style>
  <w:style w:type="paragraph" w:customStyle="1" w:styleId="2945">
    <w:name w:val="正文修改2"/>
    <w:basedOn w:val="193"/>
    <w:autoRedefine/>
    <w:qFormat/>
    <w:uiPriority w:val="0"/>
    <w:rPr>
      <w:rFonts w:hAnsi="宋体"/>
      <w:color w:val="000000"/>
    </w:rPr>
  </w:style>
  <w:style w:type="paragraph" w:customStyle="1" w:styleId="2946">
    <w:name w:val="Char18"/>
    <w:basedOn w:val="1"/>
    <w:autoRedefine/>
    <w:qFormat/>
    <w:uiPriority w:val="0"/>
    <w:pPr>
      <w:ind w:left="-48"/>
    </w:pPr>
  </w:style>
  <w:style w:type="paragraph" w:customStyle="1" w:styleId="2947">
    <w:name w:val="Char1 Char Char Char Char Char Char1"/>
    <w:basedOn w:val="1"/>
    <w:autoRedefine/>
    <w:qFormat/>
    <w:uiPriority w:val="39"/>
    <w:rPr>
      <w:sz w:val="24"/>
    </w:rPr>
  </w:style>
  <w:style w:type="paragraph" w:customStyle="1" w:styleId="2948">
    <w:name w:val="Char Char Char Char12"/>
    <w:basedOn w:val="1"/>
    <w:autoRedefine/>
    <w:qFormat/>
    <w:uiPriority w:val="99"/>
    <w:pPr>
      <w:widowControl/>
      <w:spacing w:after="160" w:line="240" w:lineRule="exact"/>
      <w:jc w:val="left"/>
    </w:pPr>
    <w:rPr>
      <w:rFonts w:ascii="Tahoma" w:hAnsi="Tahoma" w:cs="Tahoma"/>
      <w:kern w:val="0"/>
      <w:sz w:val="20"/>
      <w:szCs w:val="20"/>
      <w:lang w:eastAsia="en-US"/>
    </w:rPr>
  </w:style>
  <w:style w:type="paragraph" w:customStyle="1" w:styleId="2949">
    <w:name w:val="Char334"/>
    <w:basedOn w:val="1"/>
    <w:autoRedefine/>
    <w:qFormat/>
    <w:uiPriority w:val="0"/>
    <w:pPr>
      <w:ind w:left="-48"/>
    </w:pPr>
  </w:style>
  <w:style w:type="paragraph" w:customStyle="1" w:styleId="2950">
    <w:name w:val="InstÀÀll3"/>
    <w:autoRedefine/>
    <w:qFormat/>
    <w:uiPriority w:val="39"/>
    <w:pPr>
      <w:tabs>
        <w:tab w:val="left" w:pos="-720"/>
      </w:tabs>
      <w:suppressAutoHyphens/>
      <w:jc w:val="both"/>
    </w:pPr>
    <w:rPr>
      <w:rFonts w:ascii="Courier" w:hAnsi="Courier" w:eastAsia="宋体" w:cs="Times New Roman"/>
      <w:spacing w:val="-3"/>
      <w:sz w:val="24"/>
      <w:lang w:val="en-US" w:eastAsia="sv-SE" w:bidi="ar-SA"/>
    </w:rPr>
  </w:style>
  <w:style w:type="paragraph" w:customStyle="1" w:styleId="2951">
    <w:name w:val="表题12"/>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2952">
    <w:name w:val="正文文本缩进4"/>
    <w:basedOn w:val="1"/>
    <w:autoRedefine/>
    <w:qFormat/>
    <w:uiPriority w:val="39"/>
    <w:pPr>
      <w:spacing w:after="120" w:line="360" w:lineRule="auto"/>
      <w:ind w:left="200" w:leftChars="200" w:firstLine="200" w:firstLineChars="200"/>
    </w:pPr>
    <w:rPr>
      <w:sz w:val="24"/>
    </w:rPr>
  </w:style>
  <w:style w:type="paragraph" w:customStyle="1" w:styleId="2953">
    <w:name w:val="Char Char Char Char Char Char Char Char Char1 Char Char Char Char2"/>
    <w:basedOn w:val="1"/>
    <w:autoRedefine/>
    <w:qFormat/>
    <w:uiPriority w:val="39"/>
    <w:rPr>
      <w:rFonts w:eastAsia="黑体"/>
      <w:b/>
      <w:szCs w:val="20"/>
    </w:rPr>
  </w:style>
  <w:style w:type="paragraph" w:customStyle="1" w:styleId="2954">
    <w:name w:val="正文.3"/>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2955">
    <w:name w:val="表2"/>
    <w:basedOn w:val="1"/>
    <w:autoRedefine/>
    <w:qFormat/>
    <w:uiPriority w:val="0"/>
    <w:pPr>
      <w:adjustRightInd w:val="0"/>
      <w:snapToGrid w:val="0"/>
      <w:jc w:val="center"/>
    </w:pPr>
    <w:rPr>
      <w:rFonts w:eastAsia="仿宋_GB2312"/>
      <w:sz w:val="24"/>
    </w:rPr>
  </w:style>
  <w:style w:type="paragraph" w:customStyle="1" w:styleId="2956">
    <w:name w:val="正文文本 23"/>
    <w:basedOn w:val="1"/>
    <w:autoRedefine/>
    <w:qFormat/>
    <w:uiPriority w:val="39"/>
    <w:pPr>
      <w:autoSpaceDE w:val="0"/>
      <w:autoSpaceDN w:val="0"/>
      <w:adjustRightInd w:val="0"/>
      <w:spacing w:line="360" w:lineRule="atLeast"/>
      <w:ind w:firstLine="425"/>
    </w:pPr>
    <w:rPr>
      <w:rFonts w:ascii="宋体" w:hAnsi="Tms Rmn"/>
      <w:kern w:val="0"/>
      <w:sz w:val="28"/>
      <w:szCs w:val="20"/>
    </w:rPr>
  </w:style>
  <w:style w:type="paragraph" w:customStyle="1" w:styleId="2957">
    <w:name w:val="表格内字体21"/>
    <w:basedOn w:val="418"/>
    <w:next w:val="418"/>
    <w:autoRedefine/>
    <w:qFormat/>
    <w:uiPriority w:val="0"/>
    <w:pPr>
      <w:adjustRightInd w:val="0"/>
      <w:snapToGrid w:val="0"/>
      <w:spacing w:line="240" w:lineRule="auto"/>
      <w:ind w:firstLine="0"/>
      <w:jc w:val="center"/>
    </w:pPr>
    <w:rPr>
      <w:rFonts w:ascii="宋体" w:hAnsi="宋体"/>
      <w:b w:val="0"/>
      <w:spacing w:val="0"/>
      <w:szCs w:val="24"/>
    </w:rPr>
  </w:style>
  <w:style w:type="paragraph" w:customStyle="1" w:styleId="2958">
    <w:name w:val="表内文字小215"/>
    <w:basedOn w:val="1"/>
    <w:autoRedefine/>
    <w:qFormat/>
    <w:uiPriority w:val="0"/>
    <w:pPr>
      <w:adjustRightInd w:val="0"/>
      <w:snapToGrid w:val="0"/>
      <w:jc w:val="center"/>
    </w:pPr>
    <w:rPr>
      <w:rFonts w:ascii="宋体" w:hAnsi="Times"/>
      <w:bCs/>
      <w:color w:val="000000"/>
      <w:szCs w:val="20"/>
    </w:rPr>
  </w:style>
  <w:style w:type="paragraph" w:customStyle="1" w:styleId="2959">
    <w:name w:val="表格内字体4"/>
    <w:basedOn w:val="418"/>
    <w:next w:val="418"/>
    <w:autoRedefine/>
    <w:qFormat/>
    <w:uiPriority w:val="0"/>
    <w:pPr>
      <w:spacing w:line="240" w:lineRule="auto"/>
      <w:ind w:firstLine="0"/>
      <w:jc w:val="center"/>
    </w:pPr>
    <w:rPr>
      <w:rFonts w:ascii="宋体" w:hAnsi="宋体"/>
      <w:b w:val="0"/>
      <w:spacing w:val="0"/>
      <w:szCs w:val="24"/>
    </w:rPr>
  </w:style>
  <w:style w:type="paragraph" w:customStyle="1" w:styleId="2960">
    <w:name w:val="Char Char2 Char Char Char Char Char Char2"/>
    <w:basedOn w:val="1"/>
    <w:autoRedefine/>
    <w:qFormat/>
    <w:uiPriority w:val="39"/>
    <w:pPr>
      <w:spacing w:line="480" w:lineRule="exact"/>
    </w:pPr>
    <w:rPr>
      <w:sz w:val="22"/>
    </w:rPr>
  </w:style>
  <w:style w:type="paragraph" w:customStyle="1" w:styleId="2961">
    <w:name w:val="正文5"/>
    <w:autoRedefine/>
    <w:qFormat/>
    <w:uiPriority w:val="39"/>
    <w:pPr>
      <w:widowControl w:val="0"/>
      <w:adjustRightInd w:val="0"/>
      <w:spacing w:line="360" w:lineRule="atLeast"/>
    </w:pPr>
    <w:rPr>
      <w:rFonts w:ascii="宋体" w:hAnsi="Times New Roman" w:eastAsia="宋体" w:cs="Times New Roman"/>
      <w:sz w:val="24"/>
      <w:lang w:val="en-US" w:eastAsia="zh-CN" w:bidi="ar-SA"/>
    </w:rPr>
  </w:style>
  <w:style w:type="paragraph" w:customStyle="1" w:styleId="2962">
    <w:name w:val="表中文字2"/>
    <w:basedOn w:val="1"/>
    <w:autoRedefine/>
    <w:qFormat/>
    <w:uiPriority w:val="0"/>
    <w:pPr>
      <w:widowControl/>
      <w:adjustRightInd w:val="0"/>
      <w:spacing w:line="240" w:lineRule="atLeast"/>
      <w:ind w:right="-42" w:rightChars="-20"/>
      <w:jc w:val="center"/>
      <w:textAlignment w:val="baseline"/>
    </w:pPr>
    <w:rPr>
      <w:rFonts w:ascii="宋体"/>
      <w:kern w:val="0"/>
      <w:szCs w:val="21"/>
    </w:rPr>
  </w:style>
  <w:style w:type="paragraph" w:customStyle="1" w:styleId="2963">
    <w:name w:val="纯文本4"/>
    <w:basedOn w:val="1"/>
    <w:autoRedefine/>
    <w:qFormat/>
    <w:uiPriority w:val="39"/>
    <w:pPr>
      <w:adjustRightInd w:val="0"/>
    </w:pPr>
    <w:rPr>
      <w:rFonts w:ascii="宋体" w:hAnsi="Courier New"/>
      <w:szCs w:val="20"/>
    </w:rPr>
  </w:style>
  <w:style w:type="paragraph" w:customStyle="1" w:styleId="2964">
    <w:name w:val="Char20"/>
    <w:basedOn w:val="1"/>
    <w:autoRedefine/>
    <w:qFormat/>
    <w:uiPriority w:val="0"/>
    <w:pPr>
      <w:ind w:left="-48"/>
    </w:pPr>
  </w:style>
  <w:style w:type="paragraph" w:customStyle="1" w:styleId="2965">
    <w:name w:val="表内文字小312"/>
    <w:basedOn w:val="1"/>
    <w:autoRedefine/>
    <w:qFormat/>
    <w:uiPriority w:val="0"/>
    <w:pPr>
      <w:adjustRightInd w:val="0"/>
      <w:snapToGrid w:val="0"/>
      <w:jc w:val="center"/>
    </w:pPr>
    <w:rPr>
      <w:rFonts w:ascii="宋体" w:hAnsi="Times" w:cs="宋体"/>
      <w:bCs/>
      <w:color w:val="003366"/>
      <w:szCs w:val="20"/>
    </w:rPr>
  </w:style>
  <w:style w:type="paragraph" w:customStyle="1" w:styleId="2966">
    <w:name w:val="Char Char Char Char2"/>
    <w:basedOn w:val="1"/>
    <w:autoRedefine/>
    <w:qFormat/>
    <w:uiPriority w:val="99"/>
    <w:pPr>
      <w:widowControl/>
      <w:spacing w:after="160" w:line="240" w:lineRule="exact"/>
      <w:jc w:val="left"/>
    </w:pPr>
    <w:rPr>
      <w:rFonts w:ascii="Tahoma" w:hAnsi="Tahoma" w:cs="Tahoma"/>
      <w:kern w:val="0"/>
      <w:sz w:val="20"/>
      <w:szCs w:val="20"/>
      <w:lang w:eastAsia="en-US"/>
    </w:rPr>
  </w:style>
  <w:style w:type="paragraph" w:customStyle="1" w:styleId="2967">
    <w:name w:val="表33"/>
    <w:basedOn w:val="1"/>
    <w:autoRedefine/>
    <w:qFormat/>
    <w:uiPriority w:val="0"/>
    <w:pPr>
      <w:adjustRightInd w:val="0"/>
      <w:snapToGrid w:val="0"/>
      <w:jc w:val="center"/>
    </w:pPr>
    <w:rPr>
      <w:rFonts w:eastAsia="仿宋_GB2312"/>
      <w:sz w:val="24"/>
    </w:rPr>
  </w:style>
  <w:style w:type="paragraph" w:customStyle="1" w:styleId="2968">
    <w:name w:val="222"/>
    <w:basedOn w:val="1"/>
    <w:autoRedefine/>
    <w:qFormat/>
    <w:uiPriority w:val="34"/>
    <w:pPr>
      <w:spacing w:beforeLines="50" w:after="160"/>
      <w:jc w:val="center"/>
    </w:pPr>
    <w:rPr>
      <w:rFonts w:ascii="宋体" w:hAnsi="宋体"/>
      <w:b/>
      <w:bCs/>
      <w:sz w:val="44"/>
      <w:szCs w:val="36"/>
    </w:rPr>
  </w:style>
  <w:style w:type="paragraph" w:customStyle="1" w:styleId="2969">
    <w:name w:val="表中文字3"/>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2970">
    <w:name w:val="tt1"/>
    <w:basedOn w:val="1"/>
    <w:autoRedefine/>
    <w:qFormat/>
    <w:uiPriority w:val="34"/>
    <w:pPr>
      <w:widowControl/>
      <w:spacing w:before="100" w:beforeAutospacing="1" w:after="100" w:afterAutospacing="1"/>
      <w:jc w:val="left"/>
    </w:pPr>
    <w:rPr>
      <w:rFonts w:ascii="Arial Unicode MS" w:hAnsi="Arial Unicode MS" w:eastAsia="Arial Unicode MS"/>
      <w:kern w:val="0"/>
      <w:sz w:val="24"/>
    </w:rPr>
  </w:style>
  <w:style w:type="paragraph" w:customStyle="1" w:styleId="2971">
    <w:name w:val="样式 宋体 小四 行距: 固定值 25 磅"/>
    <w:basedOn w:val="1"/>
    <w:autoRedefine/>
    <w:qFormat/>
    <w:uiPriority w:val="39"/>
    <w:pPr>
      <w:spacing w:line="500" w:lineRule="exact"/>
      <w:ind w:firstLine="480" w:firstLineChars="200"/>
    </w:pPr>
    <w:rPr>
      <w:rFonts w:ascii="宋体" w:hAnsi="宋体" w:eastAsia="仿宋_GB2312"/>
      <w:sz w:val="24"/>
      <w:szCs w:val="20"/>
    </w:rPr>
  </w:style>
  <w:style w:type="paragraph" w:customStyle="1" w:styleId="2972">
    <w:name w:val="正文格式4"/>
    <w:basedOn w:val="1"/>
    <w:autoRedefine/>
    <w:qFormat/>
    <w:uiPriority w:val="0"/>
    <w:pPr>
      <w:spacing w:line="360" w:lineRule="auto"/>
      <w:ind w:firstLine="482"/>
    </w:pPr>
    <w:rPr>
      <w:rFonts w:ascii="宋体" w:hAnsi="宋体"/>
      <w:sz w:val="24"/>
    </w:rPr>
  </w:style>
  <w:style w:type="paragraph" w:customStyle="1" w:styleId="2973">
    <w:name w:val="0"/>
    <w:basedOn w:val="1"/>
    <w:autoRedefine/>
    <w:qFormat/>
    <w:uiPriority w:val="39"/>
    <w:pPr>
      <w:widowControl/>
      <w:snapToGrid w:val="0"/>
    </w:pPr>
    <w:rPr>
      <w:kern w:val="0"/>
      <w:szCs w:val="21"/>
    </w:rPr>
  </w:style>
  <w:style w:type="paragraph" w:customStyle="1" w:styleId="2974">
    <w:name w:val="Char Char Char Char Char Char Char111"/>
    <w:basedOn w:val="1"/>
    <w:autoRedefine/>
    <w:qFormat/>
    <w:uiPriority w:val="0"/>
  </w:style>
  <w:style w:type="paragraph" w:customStyle="1" w:styleId="2975">
    <w:name w:val="Char Char Char Char Char Char Char12"/>
    <w:basedOn w:val="1"/>
    <w:autoRedefine/>
    <w:qFormat/>
    <w:uiPriority w:val="0"/>
    <w:rPr>
      <w:szCs w:val="20"/>
    </w:rPr>
  </w:style>
  <w:style w:type="paragraph" w:customStyle="1" w:styleId="2976">
    <w:name w:val="菲薄1"/>
    <w:basedOn w:val="1"/>
    <w:autoRedefine/>
    <w:qFormat/>
    <w:uiPriority w:val="34"/>
    <w:pPr>
      <w:spacing w:line="720" w:lineRule="exact"/>
      <w:ind w:firstLine="570"/>
    </w:pPr>
    <w:rPr>
      <w:sz w:val="28"/>
      <w:szCs w:val="28"/>
    </w:rPr>
  </w:style>
  <w:style w:type="paragraph" w:customStyle="1" w:styleId="2977">
    <w:name w:val="黑体三号2"/>
    <w:basedOn w:val="418"/>
    <w:autoRedefine/>
    <w:qFormat/>
    <w:uiPriority w:val="0"/>
    <w:pPr>
      <w:jc w:val="center"/>
    </w:pPr>
    <w:rPr>
      <w:rFonts w:ascii="黑体" w:hAnsi="宋体" w:eastAsia="黑体" w:cs="宋体"/>
      <w:bCs/>
      <w:spacing w:val="0"/>
      <w:sz w:val="32"/>
    </w:rPr>
  </w:style>
  <w:style w:type="paragraph" w:customStyle="1" w:styleId="2978">
    <w:name w:val="图"/>
    <w:basedOn w:val="9"/>
    <w:next w:val="1"/>
    <w:autoRedefine/>
    <w:qFormat/>
    <w:uiPriority w:val="39"/>
    <w:pPr>
      <w:spacing w:line="240" w:lineRule="exact"/>
      <w:ind w:firstLine="0" w:firstLineChars="0"/>
      <w:jc w:val="center"/>
    </w:pPr>
    <w:rPr>
      <w:rFonts w:ascii="宋体" w:hAnsi="宋体"/>
      <w:kern w:val="0"/>
      <w:szCs w:val="21"/>
      <w:lang w:val="en-US"/>
    </w:rPr>
  </w:style>
  <w:style w:type="paragraph" w:customStyle="1" w:styleId="2979">
    <w:name w:val="p15"/>
    <w:basedOn w:val="1"/>
    <w:autoRedefine/>
    <w:qFormat/>
    <w:uiPriority w:val="99"/>
    <w:pPr>
      <w:widowControl/>
      <w:ind w:firstLine="420"/>
    </w:pPr>
    <w:rPr>
      <w:rFonts w:cs="宋体"/>
      <w:kern w:val="0"/>
      <w:szCs w:val="21"/>
    </w:rPr>
  </w:style>
  <w:style w:type="paragraph" w:customStyle="1" w:styleId="2980">
    <w:name w:val="表内文字小22"/>
    <w:basedOn w:val="1"/>
    <w:autoRedefine/>
    <w:qFormat/>
    <w:uiPriority w:val="0"/>
    <w:pPr>
      <w:adjustRightInd w:val="0"/>
      <w:snapToGrid w:val="0"/>
      <w:jc w:val="center"/>
    </w:pPr>
    <w:rPr>
      <w:rFonts w:ascii="宋体" w:hAnsi="Times"/>
      <w:bCs/>
      <w:color w:val="000000"/>
      <w:szCs w:val="20"/>
    </w:rPr>
  </w:style>
  <w:style w:type="paragraph" w:customStyle="1" w:styleId="2981">
    <w:name w:val="图表名称2"/>
    <w:basedOn w:val="86"/>
    <w:autoRedefine/>
    <w:qFormat/>
    <w:uiPriority w:val="0"/>
    <w:pPr>
      <w:widowControl/>
      <w:adjustRightInd w:val="0"/>
      <w:snapToGrid w:val="0"/>
      <w:spacing w:after="0" w:line="480" w:lineRule="exact"/>
      <w:ind w:firstLine="0" w:firstLineChars="0"/>
      <w:jc w:val="center"/>
    </w:pPr>
    <w:rPr>
      <w:rFonts w:ascii="宋体" w:hAnsi="宋体"/>
      <w:bCs/>
      <w:sz w:val="24"/>
      <w:szCs w:val="24"/>
    </w:rPr>
  </w:style>
  <w:style w:type="paragraph" w:customStyle="1" w:styleId="2982">
    <w:name w:val="Body Text Indent3"/>
    <w:basedOn w:val="1"/>
    <w:autoRedefine/>
    <w:qFormat/>
    <w:uiPriority w:val="39"/>
    <w:pPr>
      <w:spacing w:after="120" w:line="360" w:lineRule="auto"/>
      <w:ind w:left="420" w:leftChars="200" w:firstLine="200" w:firstLineChars="200"/>
    </w:pPr>
    <w:rPr>
      <w:sz w:val="24"/>
    </w:rPr>
  </w:style>
  <w:style w:type="paragraph" w:customStyle="1" w:styleId="2983">
    <w:name w:val="标题431111"/>
    <w:basedOn w:val="1"/>
    <w:autoRedefine/>
    <w:qFormat/>
    <w:uiPriority w:val="0"/>
    <w:pPr>
      <w:adjustRightInd w:val="0"/>
      <w:snapToGrid w:val="0"/>
      <w:spacing w:line="480" w:lineRule="exact"/>
      <w:jc w:val="center"/>
    </w:pPr>
    <w:rPr>
      <w:rFonts w:ascii="宋体" w:hAnsi="宋体" w:cs="宋体"/>
      <w:sz w:val="24"/>
    </w:rPr>
  </w:style>
  <w:style w:type="paragraph" w:customStyle="1" w:styleId="2984">
    <w:name w:val="表文字53"/>
    <w:basedOn w:val="1"/>
    <w:autoRedefine/>
    <w:qFormat/>
    <w:uiPriority w:val="0"/>
    <w:pPr>
      <w:adjustRightInd w:val="0"/>
      <w:jc w:val="left"/>
      <w:textAlignment w:val="baseline"/>
    </w:pPr>
    <w:rPr>
      <w:rFonts w:ascii="宋体"/>
      <w:kern w:val="0"/>
      <w:szCs w:val="20"/>
    </w:rPr>
  </w:style>
  <w:style w:type="paragraph" w:customStyle="1" w:styleId="2985">
    <w:name w:val="Normal3"/>
    <w:autoRedefine/>
    <w:qFormat/>
    <w:uiPriority w:val="39"/>
    <w:pPr>
      <w:widowControl w:val="0"/>
      <w:adjustRightInd w:val="0"/>
      <w:spacing w:line="360" w:lineRule="atLeast"/>
      <w:textAlignment w:val="baseline"/>
    </w:pPr>
    <w:rPr>
      <w:rFonts w:ascii="宋体" w:hAnsi="Times New Roman" w:eastAsia="宋体" w:cs="Times New Roman"/>
      <w:sz w:val="24"/>
      <w:lang w:val="en-US" w:eastAsia="zh-CN" w:bidi="ar-SA"/>
    </w:rPr>
  </w:style>
  <w:style w:type="paragraph" w:customStyle="1" w:styleId="2986">
    <w:name w:val="Plain Text4"/>
    <w:basedOn w:val="1"/>
    <w:autoRedefine/>
    <w:qFormat/>
    <w:uiPriority w:val="39"/>
    <w:pPr>
      <w:adjustRightInd w:val="0"/>
      <w:textAlignment w:val="baseline"/>
    </w:pPr>
    <w:rPr>
      <w:rFonts w:ascii="宋体" w:hAnsi="Courier New"/>
      <w:szCs w:val="20"/>
    </w:rPr>
  </w:style>
  <w:style w:type="paragraph" w:customStyle="1" w:styleId="2987">
    <w:name w:val="Char Char Char1 Char2"/>
    <w:basedOn w:val="1"/>
    <w:autoRedefine/>
    <w:qFormat/>
    <w:uiPriority w:val="99"/>
    <w:rPr>
      <w:szCs w:val="20"/>
    </w:rPr>
  </w:style>
  <w:style w:type="paragraph" w:customStyle="1" w:styleId="2988">
    <w:name w:val="附件3"/>
    <w:basedOn w:val="3"/>
    <w:next w:val="418"/>
    <w:autoRedefine/>
    <w:qFormat/>
    <w:uiPriority w:val="0"/>
    <w:pPr>
      <w:keepLines/>
      <w:tabs>
        <w:tab w:val="left" w:pos="1566"/>
      </w:tabs>
      <w:overflowPunct/>
      <w:adjustRightInd w:val="0"/>
      <w:spacing w:before="0" w:after="120" w:line="360" w:lineRule="auto"/>
      <w:ind w:left="0" w:firstLine="0"/>
      <w:jc w:val="left"/>
    </w:pPr>
    <w:rPr>
      <w:rFonts w:ascii="黑体" w:hAnsi="宋体"/>
      <w:b w:val="0"/>
      <w:color w:val="auto"/>
      <w:sz w:val="32"/>
      <w:szCs w:val="32"/>
    </w:rPr>
  </w:style>
  <w:style w:type="paragraph" w:customStyle="1" w:styleId="2989">
    <w:name w:val="列出段落41"/>
    <w:basedOn w:val="1"/>
    <w:autoRedefine/>
    <w:qFormat/>
    <w:uiPriority w:val="39"/>
    <w:pPr>
      <w:ind w:firstLine="420" w:firstLineChars="200"/>
    </w:pPr>
    <w:rPr>
      <w:szCs w:val="22"/>
    </w:rPr>
  </w:style>
  <w:style w:type="paragraph" w:customStyle="1" w:styleId="2990">
    <w:name w:val="Char1 Char Char Char2"/>
    <w:basedOn w:val="1"/>
    <w:autoRedefine/>
    <w:qFormat/>
    <w:uiPriority w:val="99"/>
  </w:style>
  <w:style w:type="paragraph" w:customStyle="1" w:styleId="2991">
    <w:name w:val="Char32"/>
    <w:basedOn w:val="1"/>
    <w:autoRedefine/>
    <w:qFormat/>
    <w:uiPriority w:val="0"/>
    <w:rPr>
      <w:sz w:val="24"/>
    </w:rPr>
  </w:style>
  <w:style w:type="paragraph" w:customStyle="1" w:styleId="2992">
    <w:name w:val="Char Char Char4"/>
    <w:basedOn w:val="1"/>
    <w:autoRedefine/>
    <w:qFormat/>
    <w:uiPriority w:val="99"/>
    <w:rPr>
      <w:sz w:val="24"/>
    </w:rPr>
  </w:style>
  <w:style w:type="paragraph" w:customStyle="1" w:styleId="2993">
    <w:name w:val="表中文字41"/>
    <w:basedOn w:val="1"/>
    <w:autoRedefine/>
    <w:qFormat/>
    <w:uiPriority w:val="0"/>
    <w:pPr>
      <w:snapToGrid w:val="0"/>
      <w:spacing w:line="340" w:lineRule="exact"/>
      <w:ind w:firstLine="480" w:firstLineChars="200"/>
      <w:jc w:val="center"/>
    </w:pPr>
    <w:rPr>
      <w:rFonts w:ascii="Arial" w:hAnsi="Arial"/>
      <w:kern w:val="0"/>
      <w:sz w:val="20"/>
      <w:lang w:eastAsia="zh-TW"/>
    </w:rPr>
  </w:style>
  <w:style w:type="paragraph" w:customStyle="1" w:styleId="2994">
    <w:name w:val="标题43124"/>
    <w:basedOn w:val="1"/>
    <w:autoRedefine/>
    <w:qFormat/>
    <w:uiPriority w:val="0"/>
    <w:pPr>
      <w:adjustRightInd w:val="0"/>
      <w:snapToGrid w:val="0"/>
      <w:spacing w:line="480" w:lineRule="exact"/>
      <w:jc w:val="center"/>
    </w:pPr>
    <w:rPr>
      <w:rFonts w:ascii="宋体" w:hAnsi="宋体" w:cs="宋体"/>
      <w:sz w:val="24"/>
    </w:rPr>
  </w:style>
  <w:style w:type="paragraph" w:customStyle="1" w:styleId="2995">
    <w:name w:val="Char Char Char Char Char Char1"/>
    <w:basedOn w:val="1"/>
    <w:autoRedefine/>
    <w:qFormat/>
    <w:uiPriority w:val="0"/>
    <w:rPr>
      <w:rFonts w:ascii="宋体" w:hAnsi="宋体"/>
      <w:sz w:val="24"/>
    </w:rPr>
  </w:style>
  <w:style w:type="paragraph" w:customStyle="1" w:styleId="2996">
    <w:name w:val="Char Char2 Char Char Char Char3"/>
    <w:basedOn w:val="1"/>
    <w:autoRedefine/>
    <w:qFormat/>
    <w:uiPriority w:val="0"/>
  </w:style>
  <w:style w:type="paragraph" w:customStyle="1" w:styleId="2997">
    <w:name w:val="正文文本缩进 211"/>
    <w:basedOn w:val="1"/>
    <w:autoRedefine/>
    <w:qFormat/>
    <w:uiPriority w:val="39"/>
    <w:pPr>
      <w:adjustRightInd w:val="0"/>
      <w:spacing w:line="480" w:lineRule="atLeast"/>
      <w:ind w:firstLine="630"/>
      <w:textAlignment w:val="baseline"/>
    </w:pPr>
    <w:rPr>
      <w:rFonts w:ascii="宋体"/>
      <w:sz w:val="28"/>
      <w:szCs w:val="20"/>
    </w:rPr>
  </w:style>
  <w:style w:type="paragraph" w:customStyle="1" w:styleId="2998">
    <w:name w:val="Char Char Char Char Char Char Char Char Char Char1"/>
    <w:basedOn w:val="1"/>
    <w:autoRedefine/>
    <w:qFormat/>
    <w:uiPriority w:val="0"/>
    <w:rPr>
      <w:sz w:val="24"/>
    </w:rPr>
  </w:style>
  <w:style w:type="paragraph" w:customStyle="1" w:styleId="2999">
    <w:name w:val="正文斜体1"/>
    <w:basedOn w:val="418"/>
    <w:next w:val="418"/>
    <w:autoRedefine/>
    <w:qFormat/>
    <w:uiPriority w:val="0"/>
    <w:rPr>
      <w:rFonts w:ascii="宋体" w:hAnsi="宋体"/>
      <w:b w:val="0"/>
      <w:i/>
      <w:iCs/>
      <w:spacing w:val="0"/>
      <w:sz w:val="24"/>
      <w:szCs w:val="24"/>
    </w:rPr>
  </w:style>
  <w:style w:type="paragraph" w:customStyle="1" w:styleId="3000">
    <w:name w:val="正文格式9"/>
    <w:basedOn w:val="1"/>
    <w:autoRedefine/>
    <w:qFormat/>
    <w:uiPriority w:val="0"/>
    <w:pPr>
      <w:spacing w:line="360" w:lineRule="auto"/>
      <w:ind w:firstLine="482"/>
    </w:pPr>
    <w:rPr>
      <w:rFonts w:ascii="宋体" w:hAnsi="宋体"/>
      <w:sz w:val="24"/>
    </w:rPr>
  </w:style>
  <w:style w:type="paragraph" w:customStyle="1" w:styleId="3001">
    <w:name w:val="Char Char Char Char Char Char Char Char Char Char Char Char Char Char Char Char Char Char Char Char Char Char Char Char Char Char Char Char Char Char Char Char Char Char Char Char1"/>
    <w:basedOn w:val="1"/>
    <w:autoRedefine/>
    <w:qFormat/>
    <w:uiPriority w:val="99"/>
    <w:rPr>
      <w:sz w:val="24"/>
    </w:rPr>
  </w:style>
  <w:style w:type="paragraph" w:customStyle="1" w:styleId="3002">
    <w:name w:val="Char Char Char Char Char Char Char4"/>
    <w:basedOn w:val="1"/>
    <w:autoRedefine/>
    <w:qFormat/>
    <w:uiPriority w:val="0"/>
  </w:style>
  <w:style w:type="paragraph" w:customStyle="1" w:styleId="3003">
    <w:name w:val="Char Char Char Char Char Char Char Char Char Char Char Char Char1"/>
    <w:basedOn w:val="1"/>
    <w:autoRedefine/>
    <w:qFormat/>
    <w:uiPriority w:val="39"/>
    <w:rPr>
      <w:sz w:val="24"/>
    </w:rPr>
  </w:style>
  <w:style w:type="paragraph" w:customStyle="1" w:styleId="3004">
    <w:name w:val="Char24"/>
    <w:basedOn w:val="1"/>
    <w:autoRedefine/>
    <w:qFormat/>
    <w:uiPriority w:val="0"/>
    <w:pPr>
      <w:ind w:left="-48"/>
    </w:pPr>
  </w:style>
  <w:style w:type="paragraph" w:customStyle="1" w:styleId="3005">
    <w:name w:val="Char Char Char Char Char Char Char Char Char Char Char Char Char Char Char Char Char Char Char1"/>
    <w:basedOn w:val="1"/>
    <w:autoRedefine/>
    <w:qFormat/>
    <w:uiPriority w:val="99"/>
    <w:rPr>
      <w:sz w:val="24"/>
    </w:rPr>
  </w:style>
  <w:style w:type="paragraph" w:customStyle="1" w:styleId="3006">
    <w:name w:val="Char Char Char Char Char Char Char Char Char Char Char1 Char Char Char Char1"/>
    <w:basedOn w:val="1"/>
    <w:autoRedefine/>
    <w:qFormat/>
    <w:uiPriority w:val="39"/>
    <w:rPr>
      <w:sz w:val="24"/>
    </w:rPr>
  </w:style>
  <w:style w:type="paragraph" w:customStyle="1" w:styleId="3007">
    <w:name w:val="图题8"/>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008">
    <w:name w:val="Char Char Char Char Char Char Char Char Char Char Char Char Char Char Char Char Char1"/>
    <w:basedOn w:val="1"/>
    <w:autoRedefine/>
    <w:qFormat/>
    <w:uiPriority w:val="39"/>
    <w:rPr>
      <w:sz w:val="24"/>
    </w:rPr>
  </w:style>
  <w:style w:type="paragraph" w:customStyle="1" w:styleId="3009">
    <w:name w:val="Char Char Char Char Char Char Char Char Char1"/>
    <w:basedOn w:val="1"/>
    <w:autoRedefine/>
    <w:qFormat/>
    <w:uiPriority w:val="39"/>
    <w:rPr>
      <w:sz w:val="24"/>
    </w:rPr>
  </w:style>
  <w:style w:type="paragraph" w:customStyle="1" w:styleId="3010">
    <w:name w:val="Char Char Char Char Char Char Char Char Char Char Char Char Char Char Char Char Char Char Char Char Char Char Char Char Char Char Char Char Char Char Char Char Char Char Char Char Char Char1"/>
    <w:basedOn w:val="1"/>
    <w:autoRedefine/>
    <w:qFormat/>
    <w:uiPriority w:val="39"/>
    <w:rPr>
      <w:sz w:val="24"/>
    </w:rPr>
  </w:style>
  <w:style w:type="paragraph" w:customStyle="1" w:styleId="3011">
    <w:name w:val="Char Char Char Char Char Char Char Char Char Char Char1 Char Char Char Char Char Char1 Char1"/>
    <w:basedOn w:val="1"/>
    <w:autoRedefine/>
    <w:qFormat/>
    <w:uiPriority w:val="39"/>
    <w:rPr>
      <w:sz w:val="24"/>
    </w:rPr>
  </w:style>
  <w:style w:type="paragraph" w:customStyle="1" w:styleId="3012">
    <w:name w:val="正文格式10"/>
    <w:basedOn w:val="1"/>
    <w:autoRedefine/>
    <w:qFormat/>
    <w:uiPriority w:val="0"/>
    <w:pPr>
      <w:spacing w:line="360" w:lineRule="auto"/>
      <w:ind w:firstLine="482"/>
    </w:pPr>
    <w:rPr>
      <w:rFonts w:ascii="宋体" w:hAnsi="宋体"/>
      <w:sz w:val="24"/>
    </w:rPr>
  </w:style>
  <w:style w:type="paragraph" w:customStyle="1" w:styleId="3013">
    <w:name w:val="Char Char Char Char Char1"/>
    <w:basedOn w:val="1"/>
    <w:autoRedefine/>
    <w:qFormat/>
    <w:uiPriority w:val="39"/>
    <w:rPr>
      <w:sz w:val="24"/>
    </w:rPr>
  </w:style>
  <w:style w:type="paragraph" w:customStyle="1" w:styleId="3014">
    <w:name w:val="Char Char Char Char Char Char Char Char1 Char Char Char Char Char Char Char Char Char Char Char Char1"/>
    <w:basedOn w:val="1"/>
    <w:autoRedefine/>
    <w:qFormat/>
    <w:uiPriority w:val="39"/>
    <w:rPr>
      <w:sz w:val="24"/>
    </w:rPr>
  </w:style>
  <w:style w:type="paragraph" w:customStyle="1" w:styleId="3015">
    <w:name w:val="图题214"/>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016">
    <w:name w:val="Char Char Char Char Char Char Char Char Char Char Char Char Char Char Char1"/>
    <w:basedOn w:val="1"/>
    <w:autoRedefine/>
    <w:qFormat/>
    <w:uiPriority w:val="39"/>
    <w:rPr>
      <w:sz w:val="24"/>
    </w:rPr>
  </w:style>
  <w:style w:type="paragraph" w:customStyle="1" w:styleId="3017">
    <w:name w:val="燕山正文5"/>
    <w:basedOn w:val="1"/>
    <w:autoRedefine/>
    <w:qFormat/>
    <w:uiPriority w:val="0"/>
    <w:pPr>
      <w:tabs>
        <w:tab w:val="left" w:pos="4680"/>
      </w:tabs>
      <w:adjustRightInd w:val="0"/>
      <w:snapToGrid w:val="0"/>
      <w:spacing w:line="480" w:lineRule="exact"/>
    </w:pPr>
    <w:rPr>
      <w:rFonts w:ascii="宋体" w:cs="宋体"/>
      <w:sz w:val="24"/>
    </w:rPr>
  </w:style>
  <w:style w:type="paragraph" w:customStyle="1" w:styleId="3018">
    <w:name w:val="Char Char Char Char Char Char Char Char Char Char Char Char Char Char Char Char Char Char Char Char Char Char Char Char Char1"/>
    <w:basedOn w:val="1"/>
    <w:autoRedefine/>
    <w:qFormat/>
    <w:uiPriority w:val="39"/>
    <w:rPr>
      <w:sz w:val="24"/>
    </w:rPr>
  </w:style>
  <w:style w:type="paragraph" w:customStyle="1" w:styleId="3019">
    <w:name w:val="Char Char Char Char Char Char Char Char Char Char Char Char Char Char Char Char Char Char Char Char Char Char Char Char Char Char Char Char Char Char Char Char Char Char Char Char Char Char Char1"/>
    <w:basedOn w:val="1"/>
    <w:autoRedefine/>
    <w:qFormat/>
    <w:uiPriority w:val="39"/>
    <w:rPr>
      <w:sz w:val="24"/>
    </w:rPr>
  </w:style>
  <w:style w:type="paragraph" w:customStyle="1" w:styleId="3020">
    <w:name w:val="燕山正文23"/>
    <w:basedOn w:val="1"/>
    <w:autoRedefine/>
    <w:qFormat/>
    <w:uiPriority w:val="0"/>
    <w:pPr>
      <w:tabs>
        <w:tab w:val="left" w:pos="4680"/>
      </w:tabs>
      <w:adjustRightInd w:val="0"/>
      <w:snapToGrid w:val="0"/>
      <w:spacing w:line="480" w:lineRule="exact"/>
    </w:pPr>
    <w:rPr>
      <w:rFonts w:ascii="宋体" w:cs="宋体"/>
      <w:sz w:val="24"/>
    </w:rPr>
  </w:style>
  <w:style w:type="paragraph" w:customStyle="1" w:styleId="3021">
    <w:name w:val="Char Char Char Char Char Char Char Char Char Char Char Char Char Char Char Char Char1 Char1"/>
    <w:basedOn w:val="1"/>
    <w:autoRedefine/>
    <w:qFormat/>
    <w:uiPriority w:val="39"/>
    <w:rPr>
      <w:sz w:val="24"/>
    </w:rPr>
  </w:style>
  <w:style w:type="paragraph" w:customStyle="1" w:styleId="3022">
    <w:name w:val="表内文字边2"/>
    <w:basedOn w:val="1"/>
    <w:autoRedefine/>
    <w:qFormat/>
    <w:uiPriority w:val="0"/>
    <w:pPr>
      <w:widowControl/>
      <w:adjustRightInd w:val="0"/>
      <w:snapToGrid w:val="0"/>
      <w:spacing w:line="240" w:lineRule="atLeast"/>
      <w:ind w:left="-21" w:leftChars="-10" w:right="-42" w:rightChars="-20"/>
    </w:pPr>
    <w:rPr>
      <w:rFonts w:ascii="宋体"/>
      <w:kern w:val="0"/>
      <w:szCs w:val="21"/>
    </w:rPr>
  </w:style>
  <w:style w:type="paragraph" w:customStyle="1" w:styleId="3023">
    <w:name w:val="表内54121"/>
    <w:basedOn w:val="1"/>
    <w:autoRedefine/>
    <w:qFormat/>
    <w:uiPriority w:val="0"/>
    <w:pPr>
      <w:adjustRightInd w:val="0"/>
      <w:snapToGrid w:val="0"/>
      <w:spacing w:line="300" w:lineRule="auto"/>
      <w:jc w:val="center"/>
    </w:pPr>
    <w:rPr>
      <w:rFonts w:ascii="宋体" w:hAnsi="宋体" w:cs="宋体"/>
      <w:szCs w:val="20"/>
    </w:rPr>
  </w:style>
  <w:style w:type="paragraph" w:customStyle="1" w:styleId="3024">
    <w:name w:val="Char4 Char Char Char Char Char Char1"/>
    <w:basedOn w:val="1"/>
    <w:autoRedefine/>
    <w:qFormat/>
    <w:uiPriority w:val="39"/>
    <w:rPr>
      <w:sz w:val="24"/>
    </w:rPr>
  </w:style>
  <w:style w:type="paragraph" w:customStyle="1" w:styleId="3025">
    <w:name w:val="样式 表内小5 + 黑体 加粗 倾斜 下划线1"/>
    <w:basedOn w:val="1"/>
    <w:autoRedefine/>
    <w:qFormat/>
    <w:uiPriority w:val="0"/>
    <w:pPr>
      <w:adjustRightInd w:val="0"/>
      <w:snapToGrid w:val="0"/>
      <w:spacing w:line="300" w:lineRule="auto"/>
      <w:jc w:val="left"/>
    </w:pPr>
    <w:rPr>
      <w:rFonts w:ascii="黑体" w:hAnsi="黑体" w:eastAsia="黑体"/>
      <w:b/>
      <w:bCs/>
      <w:i/>
      <w:iCs/>
      <w:sz w:val="18"/>
      <w:u w:val="single"/>
    </w:rPr>
  </w:style>
  <w:style w:type="paragraph" w:customStyle="1" w:styleId="3026">
    <w:name w:val="图题4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027">
    <w:name w:val="Char121"/>
    <w:basedOn w:val="1"/>
    <w:autoRedefine/>
    <w:qFormat/>
    <w:uiPriority w:val="0"/>
    <w:pPr>
      <w:adjustRightInd w:val="0"/>
      <w:snapToGrid w:val="0"/>
      <w:spacing w:line="360" w:lineRule="auto"/>
    </w:pPr>
  </w:style>
  <w:style w:type="paragraph" w:customStyle="1" w:styleId="3028">
    <w:name w:val="Char Char1 Char Char Char Char1"/>
    <w:basedOn w:val="1"/>
    <w:autoRedefine/>
    <w:qFormat/>
    <w:uiPriority w:val="39"/>
    <w:rPr>
      <w:szCs w:val="20"/>
    </w:rPr>
  </w:style>
  <w:style w:type="paragraph" w:customStyle="1" w:styleId="3029">
    <w:name w:val="正文格式44"/>
    <w:basedOn w:val="1"/>
    <w:autoRedefine/>
    <w:qFormat/>
    <w:uiPriority w:val="0"/>
    <w:pPr>
      <w:spacing w:line="360" w:lineRule="auto"/>
      <w:ind w:firstLine="482"/>
    </w:pPr>
    <w:rPr>
      <w:rFonts w:ascii="宋体" w:hAnsi="宋体"/>
      <w:sz w:val="24"/>
    </w:rPr>
  </w:style>
  <w:style w:type="paragraph" w:customStyle="1" w:styleId="3030">
    <w:name w:val="T表格"/>
    <w:autoRedefine/>
    <w:qFormat/>
    <w:uiPriority w:val="0"/>
    <w:pPr>
      <w:jc w:val="center"/>
    </w:pPr>
    <w:rPr>
      <w:rFonts w:ascii="仿宋_GB2312" w:hAnsi="Times New Roman" w:eastAsia="仿宋_GB2312" w:cs="Times New Roman"/>
      <w:kern w:val="2"/>
      <w:sz w:val="21"/>
      <w:lang w:val="en-US" w:eastAsia="zh-CN" w:bidi="ar-SA"/>
    </w:rPr>
  </w:style>
  <w:style w:type="paragraph" w:customStyle="1" w:styleId="3031">
    <w:name w:val="Char Char Char1 Char Char Char Char Char Char Char Char Char Char Char Char Char Char Char1 Char Char Char Char Char Char Char Char Char Char Char Char1"/>
    <w:basedOn w:val="1"/>
    <w:autoRedefine/>
    <w:qFormat/>
    <w:uiPriority w:val="39"/>
    <w:rPr>
      <w:szCs w:val="21"/>
    </w:rPr>
  </w:style>
  <w:style w:type="paragraph" w:customStyle="1" w:styleId="3032">
    <w:name w:val="Char311"/>
    <w:basedOn w:val="1"/>
    <w:autoRedefine/>
    <w:qFormat/>
    <w:uiPriority w:val="0"/>
    <w:pPr>
      <w:ind w:left="-48"/>
    </w:pPr>
  </w:style>
  <w:style w:type="paragraph" w:customStyle="1" w:styleId="3033">
    <w:name w:val="Char Char Char Char Char Char Char121"/>
    <w:basedOn w:val="1"/>
    <w:autoRedefine/>
    <w:qFormat/>
    <w:uiPriority w:val="0"/>
    <w:rPr>
      <w:szCs w:val="20"/>
    </w:rPr>
  </w:style>
  <w:style w:type="paragraph" w:customStyle="1" w:styleId="3034">
    <w:name w:val="Char1 Char Char Char Char Char Char Char Char Char1 Char Char Char Char Char Char1"/>
    <w:basedOn w:val="1"/>
    <w:autoRedefine/>
    <w:qFormat/>
    <w:uiPriority w:val="3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035">
    <w:name w:val="燕山正文131"/>
    <w:basedOn w:val="1"/>
    <w:autoRedefine/>
    <w:qFormat/>
    <w:uiPriority w:val="0"/>
    <w:pPr>
      <w:tabs>
        <w:tab w:val="left" w:pos="4680"/>
      </w:tabs>
      <w:adjustRightInd w:val="0"/>
      <w:snapToGrid w:val="0"/>
      <w:spacing w:line="360" w:lineRule="auto"/>
      <w:ind w:firstLine="480" w:firstLineChars="200"/>
    </w:pPr>
    <w:rPr>
      <w:rFonts w:ascii="宋体" w:hAnsi="宋体" w:cs="宋体"/>
      <w:bCs/>
      <w:color w:val="000000"/>
      <w:sz w:val="24"/>
    </w:rPr>
  </w:style>
  <w:style w:type="paragraph" w:customStyle="1" w:styleId="3036">
    <w:name w:val="Char Char Char1 Char Char1"/>
    <w:basedOn w:val="1"/>
    <w:autoRedefine/>
    <w:qFormat/>
    <w:uiPriority w:val="39"/>
    <w:rPr>
      <w:rFonts w:ascii="黑体" w:hAnsi="黑体" w:eastAsia="黑体"/>
      <w:b/>
      <w:spacing w:val="10"/>
      <w:sz w:val="28"/>
      <w:szCs w:val="20"/>
    </w:rPr>
  </w:style>
  <w:style w:type="paragraph" w:customStyle="1" w:styleId="3037">
    <w:name w:val="Char Char Char Char Char Char Char Char Char Char Char Char Char Char Char Char Char Char Char Char Char Char Char Char Char Char Char Char1"/>
    <w:basedOn w:val="1"/>
    <w:autoRedefine/>
    <w:qFormat/>
    <w:uiPriority w:val="39"/>
    <w:rPr>
      <w:sz w:val="24"/>
    </w:rPr>
  </w:style>
  <w:style w:type="paragraph" w:customStyle="1" w:styleId="3038">
    <w:name w:val="Char Char Char Char Char Char Char Char Char Char Char Char Char Char Char Char Char Char Char Char Char Char Char Char Char Char Char Char Char Char Char Char Char Char Char Char2"/>
    <w:basedOn w:val="1"/>
    <w:autoRedefine/>
    <w:qFormat/>
    <w:uiPriority w:val="39"/>
    <w:rPr>
      <w:sz w:val="24"/>
    </w:rPr>
  </w:style>
  <w:style w:type="paragraph" w:customStyle="1" w:styleId="3039">
    <w:name w:val="23-47表名11"/>
    <w:basedOn w:val="1"/>
    <w:autoRedefine/>
    <w:qFormat/>
    <w:uiPriority w:val="0"/>
    <w:pPr>
      <w:spacing w:afterLines="50" w:line="440" w:lineRule="exact"/>
      <w:jc w:val="center"/>
    </w:pPr>
    <w:rPr>
      <w:rFonts w:ascii="宋体" w:hAnsi="宋体"/>
      <w:b/>
      <w:sz w:val="24"/>
    </w:rPr>
  </w:style>
  <w:style w:type="paragraph" w:customStyle="1" w:styleId="3040">
    <w:name w:val="正文斜体2"/>
    <w:basedOn w:val="418"/>
    <w:next w:val="418"/>
    <w:autoRedefine/>
    <w:qFormat/>
    <w:uiPriority w:val="0"/>
    <w:rPr>
      <w:rFonts w:ascii="宋体" w:hAnsi="宋体"/>
      <w:b w:val="0"/>
      <w:i/>
      <w:iCs/>
      <w:spacing w:val="0"/>
      <w:sz w:val="24"/>
      <w:szCs w:val="24"/>
    </w:rPr>
  </w:style>
  <w:style w:type="paragraph" w:customStyle="1" w:styleId="3041">
    <w:name w:val="默认段落字体 Para Char32"/>
    <w:basedOn w:val="1"/>
    <w:autoRedefine/>
    <w:qFormat/>
    <w:uiPriority w:val="0"/>
    <w:pPr>
      <w:spacing w:line="360" w:lineRule="auto"/>
      <w:ind w:firstLine="200" w:firstLineChars="200"/>
    </w:pPr>
    <w:rPr>
      <w:rFonts w:ascii="宋体" w:hAnsi="宋体" w:cs="宋体"/>
      <w:sz w:val="24"/>
    </w:rPr>
  </w:style>
  <w:style w:type="paragraph" w:customStyle="1" w:styleId="3042">
    <w:name w:val="表格小四"/>
    <w:basedOn w:val="1"/>
    <w:autoRedefine/>
    <w:qFormat/>
    <w:uiPriority w:val="99"/>
    <w:pPr>
      <w:snapToGrid w:val="0"/>
      <w:jc w:val="center"/>
    </w:pPr>
    <w:rPr>
      <w:rFonts w:eastAsia="仿宋_GB2312"/>
      <w:spacing w:val="-10"/>
    </w:rPr>
  </w:style>
  <w:style w:type="paragraph" w:customStyle="1" w:styleId="3043">
    <w:name w:val="c2"/>
    <w:autoRedefine/>
    <w:qFormat/>
    <w:uiPriority w:val="0"/>
    <w:pPr>
      <w:widowControl w:val="0"/>
      <w:autoSpaceDE w:val="0"/>
      <w:autoSpaceDN w:val="0"/>
      <w:adjustRightInd w:val="0"/>
      <w:jc w:val="both"/>
    </w:pPr>
    <w:rPr>
      <w:rFonts w:ascii="Arial" w:hAnsi="Arial" w:eastAsia="宋体" w:cs="Times New Roman"/>
      <w:sz w:val="24"/>
      <w:lang w:val="en-US" w:eastAsia="zh-CN" w:bidi="ar-SA"/>
    </w:rPr>
  </w:style>
  <w:style w:type="paragraph" w:customStyle="1" w:styleId="3044">
    <w:name w:val="表内5中22"/>
    <w:basedOn w:val="1"/>
    <w:autoRedefine/>
    <w:qFormat/>
    <w:uiPriority w:val="0"/>
    <w:pPr>
      <w:adjustRightInd w:val="0"/>
      <w:snapToGrid w:val="0"/>
      <w:jc w:val="center"/>
    </w:pPr>
    <w:rPr>
      <w:rFonts w:ascii="宋体" w:hAnsi="宋体" w:cs="Arial"/>
      <w:snapToGrid w:val="0"/>
      <w:color w:val="000000"/>
      <w:szCs w:val="21"/>
    </w:rPr>
  </w:style>
  <w:style w:type="paragraph" w:customStyle="1" w:styleId="3045">
    <w:name w:val="表题92"/>
    <w:basedOn w:val="45"/>
    <w:autoRedefine/>
    <w:qFormat/>
    <w:uiPriority w:val="0"/>
    <w:pPr>
      <w:adjustRightInd w:val="0"/>
      <w:snapToGrid w:val="0"/>
      <w:spacing w:line="300" w:lineRule="auto"/>
      <w:jc w:val="center"/>
    </w:pPr>
    <w:rPr>
      <w:rFonts w:ascii="黑体" w:eastAsia="黑体"/>
      <w:sz w:val="24"/>
      <w:szCs w:val="20"/>
    </w:rPr>
  </w:style>
  <w:style w:type="paragraph" w:customStyle="1" w:styleId="3046">
    <w:name w:val="一标题"/>
    <w:basedOn w:val="3"/>
    <w:autoRedefine/>
    <w:qFormat/>
    <w:uiPriority w:val="99"/>
    <w:pPr>
      <w:keepLines/>
      <w:pageBreakBefore/>
      <w:overflowPunct/>
      <w:snapToGrid/>
      <w:spacing w:before="0" w:after="0" w:line="480" w:lineRule="auto"/>
      <w:ind w:left="720" w:firstLine="0"/>
    </w:pPr>
    <w:rPr>
      <w:rFonts w:eastAsia="宋体"/>
      <w:color w:val="auto"/>
      <w:sz w:val="32"/>
      <w:szCs w:val="44"/>
    </w:rPr>
  </w:style>
  <w:style w:type="paragraph" w:customStyle="1" w:styleId="3047">
    <w:name w:val="7表格(治)"/>
    <w:autoRedefine/>
    <w:qFormat/>
    <w:uiPriority w:val="0"/>
    <w:pPr>
      <w:spacing w:line="400" w:lineRule="atLeast"/>
      <w:jc w:val="center"/>
    </w:pPr>
    <w:rPr>
      <w:rFonts w:hint="eastAsia" w:ascii="宋体" w:hAnsi="宋体" w:eastAsia="宋体" w:cs="Times New Roman"/>
      <w:sz w:val="21"/>
      <w:lang w:val="en-US" w:eastAsia="zh-CN" w:bidi="ar-SA"/>
    </w:rPr>
  </w:style>
  <w:style w:type="paragraph" w:customStyle="1" w:styleId="3048">
    <w:name w:val="表内54152"/>
    <w:basedOn w:val="1"/>
    <w:autoRedefine/>
    <w:qFormat/>
    <w:uiPriority w:val="0"/>
    <w:pPr>
      <w:adjustRightInd w:val="0"/>
      <w:snapToGrid w:val="0"/>
      <w:spacing w:line="300" w:lineRule="auto"/>
      <w:jc w:val="center"/>
    </w:pPr>
    <w:rPr>
      <w:rFonts w:ascii="宋体" w:hAnsi="宋体" w:cs="宋体"/>
      <w:szCs w:val="20"/>
    </w:rPr>
  </w:style>
  <w:style w:type="paragraph" w:customStyle="1" w:styleId="3049">
    <w:name w:val="正文修改42"/>
    <w:basedOn w:val="193"/>
    <w:autoRedefine/>
    <w:qFormat/>
    <w:uiPriority w:val="0"/>
    <w:rPr>
      <w:rFonts w:hAnsi="宋体"/>
      <w:color w:val="000000"/>
    </w:rPr>
  </w:style>
  <w:style w:type="paragraph" w:customStyle="1" w:styleId="3050">
    <w:name w:val="5文章(治)"/>
    <w:basedOn w:val="1"/>
    <w:autoRedefine/>
    <w:qFormat/>
    <w:uiPriority w:val="99"/>
    <w:pPr>
      <w:spacing w:line="500" w:lineRule="atLeast"/>
      <w:ind w:firstLine="560" w:firstLineChars="200"/>
    </w:pPr>
    <w:rPr>
      <w:rFonts w:hint="eastAsia" w:ascii="宋体" w:hAnsi="宋体"/>
      <w:sz w:val="28"/>
      <w:szCs w:val="20"/>
    </w:rPr>
  </w:style>
  <w:style w:type="paragraph" w:customStyle="1" w:styleId="3051">
    <w:name w:val="样式 本正文 + 首行缩进:  2 字符"/>
    <w:basedOn w:val="1"/>
    <w:autoRedefine/>
    <w:qFormat/>
    <w:uiPriority w:val="99"/>
    <w:pPr>
      <w:spacing w:line="360" w:lineRule="auto"/>
      <w:ind w:firstLine="560" w:firstLineChars="200"/>
    </w:pPr>
    <w:rPr>
      <w:rFonts w:ascii="宋体" w:hAnsi="宋体" w:cs="宋体"/>
      <w:sz w:val="28"/>
      <w:szCs w:val="28"/>
    </w:rPr>
  </w:style>
  <w:style w:type="paragraph" w:customStyle="1" w:styleId="3052">
    <w:name w:val="二标题"/>
    <w:basedOn w:val="4"/>
    <w:autoRedefine/>
    <w:qFormat/>
    <w:uiPriority w:val="99"/>
    <w:pPr>
      <w:spacing w:before="120" w:after="120" w:line="360" w:lineRule="auto"/>
    </w:pPr>
    <w:rPr>
      <w:rFonts w:ascii="宋体" w:hAnsi="宋体"/>
      <w:sz w:val="30"/>
    </w:rPr>
  </w:style>
  <w:style w:type="paragraph" w:customStyle="1" w:styleId="3053">
    <w:name w:val="ZW Char Char Char"/>
    <w:basedOn w:val="1"/>
    <w:autoRedefine/>
    <w:qFormat/>
    <w:uiPriority w:val="99"/>
    <w:pPr>
      <w:spacing w:beforeLines="20"/>
      <w:ind w:firstLine="200" w:firstLineChars="200"/>
    </w:pPr>
    <w:rPr>
      <w:sz w:val="24"/>
    </w:rPr>
  </w:style>
  <w:style w:type="paragraph" w:customStyle="1" w:styleId="3054">
    <w:name w:val="本正文"/>
    <w:basedOn w:val="1"/>
    <w:autoRedefine/>
    <w:qFormat/>
    <w:uiPriority w:val="99"/>
    <w:pPr>
      <w:spacing w:line="360" w:lineRule="auto"/>
      <w:ind w:firstLine="200" w:firstLineChars="200"/>
    </w:pPr>
    <w:rPr>
      <w:sz w:val="28"/>
    </w:rPr>
  </w:style>
  <w:style w:type="paragraph" w:customStyle="1" w:styleId="3055">
    <w:name w:val="默认段落字体 Para Char42"/>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056">
    <w:name w:val="样式 标题 1-*+章标题 11.标题 1h11st levelSection Headl1b1H1Head..."/>
    <w:basedOn w:val="3"/>
    <w:autoRedefine/>
    <w:qFormat/>
    <w:uiPriority w:val="99"/>
    <w:pPr>
      <w:keepLines/>
      <w:tabs>
        <w:tab w:val="left" w:pos="432"/>
      </w:tabs>
      <w:overflowPunct/>
      <w:snapToGrid/>
      <w:spacing w:before="0" w:after="0" w:line="360" w:lineRule="auto"/>
      <w:jc w:val="left"/>
    </w:pPr>
    <w:rPr>
      <w:rFonts w:ascii="宋体" w:hAnsi="宋体" w:eastAsia="宋体" w:cs="宋体"/>
      <w:kern w:val="0"/>
      <w:sz w:val="32"/>
      <w:szCs w:val="24"/>
    </w:rPr>
  </w:style>
  <w:style w:type="paragraph" w:customStyle="1" w:styleId="3057">
    <w:name w:val="表内容1"/>
    <w:basedOn w:val="1"/>
    <w:autoRedefine/>
    <w:qFormat/>
    <w:uiPriority w:val="99"/>
    <w:pPr>
      <w:widowControl/>
      <w:tabs>
        <w:tab w:val="left" w:pos="480"/>
      </w:tabs>
      <w:autoSpaceDE w:val="0"/>
      <w:autoSpaceDN w:val="0"/>
      <w:spacing w:after="200" w:line="264" w:lineRule="auto"/>
      <w:jc w:val="center"/>
      <w:textAlignment w:val="bottom"/>
    </w:pPr>
    <w:rPr>
      <w:rFonts w:ascii="宋体"/>
      <w:kern w:val="0"/>
      <w:sz w:val="24"/>
      <w:szCs w:val="22"/>
      <w:lang w:eastAsia="en-US" w:bidi="en-US"/>
    </w:rPr>
  </w:style>
  <w:style w:type="paragraph" w:customStyle="1" w:styleId="3058">
    <w:name w:val="燕山正文132"/>
    <w:basedOn w:val="1"/>
    <w:autoRedefine/>
    <w:qFormat/>
    <w:uiPriority w:val="0"/>
    <w:pPr>
      <w:tabs>
        <w:tab w:val="left" w:pos="4680"/>
      </w:tabs>
      <w:adjustRightInd w:val="0"/>
      <w:snapToGrid w:val="0"/>
      <w:spacing w:line="360" w:lineRule="auto"/>
      <w:ind w:firstLine="480" w:firstLineChars="200"/>
    </w:pPr>
    <w:rPr>
      <w:rFonts w:ascii="宋体" w:hAnsi="宋体" w:cs="宋体"/>
      <w:bCs/>
      <w:color w:val="000000"/>
      <w:sz w:val="24"/>
    </w:rPr>
  </w:style>
  <w:style w:type="paragraph" w:customStyle="1" w:styleId="3059">
    <w:name w:val="无间隔1"/>
    <w:autoRedefine/>
    <w:qFormat/>
    <w:uiPriority w:val="99"/>
    <w:pPr>
      <w:widowControl w:val="0"/>
      <w:jc w:val="both"/>
    </w:pPr>
    <w:rPr>
      <w:rFonts w:ascii="Times New Roman" w:hAnsi="Times New Roman" w:eastAsia="宋体" w:cs="Times New Roman"/>
      <w:kern w:val="2"/>
      <w:sz w:val="21"/>
      <w:szCs w:val="22"/>
      <w:lang w:val="en-US" w:eastAsia="zh-CN" w:bidi="ar-SA"/>
    </w:rPr>
  </w:style>
  <w:style w:type="paragraph" w:customStyle="1" w:styleId="3060">
    <w:name w:val="样式4.1.1.1"/>
    <w:basedOn w:val="1"/>
    <w:autoRedefine/>
    <w:qFormat/>
    <w:uiPriority w:val="99"/>
    <w:pPr>
      <w:tabs>
        <w:tab w:val="left" w:pos="0"/>
        <w:tab w:val="left" w:pos="864"/>
      </w:tabs>
      <w:spacing w:beforeLines="50" w:line="360" w:lineRule="auto"/>
      <w:ind w:left="864" w:hanging="864"/>
      <w:outlineLvl w:val="3"/>
    </w:pPr>
    <w:rPr>
      <w:b/>
      <w:bCs/>
      <w:sz w:val="24"/>
    </w:rPr>
  </w:style>
  <w:style w:type="paragraph" w:customStyle="1" w:styleId="3061">
    <w:name w:val="正"/>
    <w:basedOn w:val="5"/>
    <w:autoRedefine/>
    <w:qFormat/>
    <w:uiPriority w:val="99"/>
    <w:pPr>
      <w:tabs>
        <w:tab w:val="left" w:pos="-720"/>
      </w:tabs>
      <w:snapToGrid w:val="0"/>
      <w:spacing w:before="0" w:after="0" w:line="336" w:lineRule="auto"/>
      <w:ind w:left="-720" w:firstLine="615"/>
    </w:pPr>
    <w:rPr>
      <w:rFonts w:ascii="宋体" w:cs="宋体"/>
      <w:kern w:val="0"/>
      <w:sz w:val="28"/>
      <w:szCs w:val="28"/>
      <w:lang w:val="en-US"/>
    </w:rPr>
  </w:style>
  <w:style w:type="paragraph" w:customStyle="1" w:styleId="3062">
    <w:name w:val="标准符号 行距1倍"/>
    <w:basedOn w:val="1"/>
    <w:autoRedefine/>
    <w:qFormat/>
    <w:uiPriority w:val="99"/>
    <w:pPr>
      <w:adjustRightInd w:val="0"/>
      <w:snapToGrid w:val="0"/>
      <w:spacing w:beforeLines="50"/>
      <w:jc w:val="center"/>
      <w:textAlignment w:val="center"/>
    </w:pPr>
    <w:rPr>
      <w:rFonts w:ascii="黑体" w:eastAsia="黑体" w:cs="宋体"/>
      <w:color w:val="000000"/>
      <w:kern w:val="0"/>
      <w:sz w:val="24"/>
    </w:rPr>
  </w:style>
  <w:style w:type="paragraph" w:customStyle="1" w:styleId="3063">
    <w:name w:val="表内5中412"/>
    <w:basedOn w:val="1"/>
    <w:autoRedefine/>
    <w:qFormat/>
    <w:uiPriority w:val="0"/>
    <w:pPr>
      <w:adjustRightInd w:val="0"/>
      <w:snapToGrid w:val="0"/>
      <w:jc w:val="center"/>
    </w:pPr>
    <w:rPr>
      <w:rFonts w:ascii="宋体"/>
      <w:bCs/>
      <w:szCs w:val="20"/>
    </w:rPr>
  </w:style>
  <w:style w:type="paragraph" w:customStyle="1" w:styleId="3064">
    <w:name w:val="样式 表内小5 + 黑体 加粗 倾斜 下划线2"/>
    <w:basedOn w:val="1"/>
    <w:autoRedefine/>
    <w:qFormat/>
    <w:uiPriority w:val="0"/>
    <w:pPr>
      <w:adjustRightInd w:val="0"/>
      <w:snapToGrid w:val="0"/>
      <w:spacing w:line="300" w:lineRule="auto"/>
      <w:jc w:val="left"/>
    </w:pPr>
    <w:rPr>
      <w:rFonts w:ascii="黑体" w:hAnsi="黑体" w:eastAsia="黑体"/>
      <w:b/>
      <w:bCs/>
      <w:i/>
      <w:iCs/>
      <w:sz w:val="18"/>
      <w:u w:val="single"/>
    </w:rPr>
  </w:style>
  <w:style w:type="paragraph" w:customStyle="1" w:styleId="3065">
    <w:name w:val="样式 标题 4 + 宋体 小四 非加粗"/>
    <w:basedOn w:val="6"/>
    <w:autoRedefine/>
    <w:qFormat/>
    <w:uiPriority w:val="99"/>
    <w:pPr>
      <w:tabs>
        <w:tab w:val="left" w:pos="0"/>
      </w:tabs>
      <w:adjustRightInd w:val="0"/>
      <w:spacing w:before="160" w:after="170" w:line="240" w:lineRule="auto"/>
      <w:ind w:left="100" w:leftChars="100" w:right="100" w:rightChars="100"/>
      <w:jc w:val="left"/>
      <w:textAlignment w:val="baseline"/>
    </w:pPr>
    <w:rPr>
      <w:rFonts w:ascii="宋体" w:hAnsi="宋体" w:eastAsia="宋体"/>
      <w:b w:val="0"/>
      <w:bCs w:val="0"/>
      <w:sz w:val="24"/>
      <w:szCs w:val="20"/>
    </w:rPr>
  </w:style>
  <w:style w:type="paragraph" w:customStyle="1" w:styleId="3066">
    <w:name w:val="样式 标题 2节第一章 标题 2Heading 2 HiddenHeading 2 CCBSheading 2H2..."/>
    <w:basedOn w:val="4"/>
    <w:autoRedefine/>
    <w:qFormat/>
    <w:uiPriority w:val="0"/>
    <w:pPr>
      <w:spacing w:before="0" w:after="0" w:line="360" w:lineRule="auto"/>
    </w:pPr>
    <w:rPr>
      <w:rFonts w:ascii="宋体" w:hAnsi="宋体" w:cs="宋体"/>
      <w:kern w:val="21"/>
      <w:sz w:val="30"/>
      <w:szCs w:val="20"/>
    </w:rPr>
  </w:style>
  <w:style w:type="paragraph" w:customStyle="1" w:styleId="3067">
    <w:name w:val="样式 标题 2节节标题 1.1H2（一）Underrubrik1prop2Heading 2 HiddenHea...1"/>
    <w:basedOn w:val="4"/>
    <w:autoRedefine/>
    <w:qFormat/>
    <w:uiPriority w:val="99"/>
    <w:pPr>
      <w:tabs>
        <w:tab w:val="left" w:pos="576"/>
      </w:tabs>
      <w:spacing w:beforeLines="50" w:after="0" w:line="360" w:lineRule="auto"/>
      <w:jc w:val="left"/>
    </w:pPr>
    <w:rPr>
      <w:rFonts w:ascii="宋体" w:hAnsi="Arial"/>
      <w:color w:val="000000"/>
      <w:sz w:val="30"/>
    </w:rPr>
  </w:style>
  <w:style w:type="paragraph" w:customStyle="1" w:styleId="3068">
    <w:name w:val="封面标准文稿编辑信息1"/>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069">
    <w:name w:val="附件14"/>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3070">
    <w:name w:val="样式 标题 4无效格式无效格式1河石管道4H4H41小小节河石管道41H42H411小小节1河石管道42...22"/>
    <w:basedOn w:val="6"/>
    <w:autoRedefine/>
    <w:qFormat/>
    <w:uiPriority w:val="0"/>
    <w:pPr>
      <w:adjustRightInd w:val="0"/>
      <w:snapToGrid w:val="0"/>
      <w:spacing w:before="0" w:after="0" w:line="360" w:lineRule="auto"/>
      <w:ind w:left="664" w:hanging="864"/>
    </w:pPr>
    <w:rPr>
      <w:rFonts w:ascii="黑体"/>
      <w:b w:val="0"/>
      <w:bCs w:val="0"/>
      <w:sz w:val="24"/>
      <w:szCs w:val="24"/>
    </w:rPr>
  </w:style>
  <w:style w:type="paragraph" w:customStyle="1" w:styleId="3071">
    <w:name w:val="表内文字边3"/>
    <w:basedOn w:val="1"/>
    <w:autoRedefine/>
    <w:qFormat/>
    <w:uiPriority w:val="0"/>
    <w:pPr>
      <w:widowControl/>
      <w:adjustRightInd w:val="0"/>
      <w:snapToGrid w:val="0"/>
      <w:spacing w:line="240" w:lineRule="atLeast"/>
      <w:ind w:left="-21" w:leftChars="-10" w:right="-42" w:rightChars="-20"/>
    </w:pPr>
    <w:rPr>
      <w:rFonts w:ascii="宋体"/>
      <w:kern w:val="0"/>
      <w:szCs w:val="21"/>
    </w:rPr>
  </w:style>
  <w:style w:type="paragraph" w:customStyle="1" w:styleId="3072">
    <w:name w:val="表内文字边11"/>
    <w:basedOn w:val="1"/>
    <w:autoRedefine/>
    <w:qFormat/>
    <w:uiPriority w:val="0"/>
    <w:pPr>
      <w:widowControl/>
      <w:adjustRightInd w:val="0"/>
      <w:snapToGrid w:val="0"/>
      <w:spacing w:line="240" w:lineRule="atLeast"/>
      <w:ind w:left="-21" w:leftChars="-10" w:right="-42" w:rightChars="-20"/>
    </w:pPr>
    <w:rPr>
      <w:rFonts w:ascii="宋体"/>
      <w:kern w:val="0"/>
      <w:szCs w:val="21"/>
    </w:rPr>
  </w:style>
  <w:style w:type="paragraph" w:customStyle="1" w:styleId="3073">
    <w:name w:val="样式 样式3.1 + 段前: 0.5 行"/>
    <w:basedOn w:val="2320"/>
    <w:autoRedefine/>
    <w:qFormat/>
    <w:uiPriority w:val="99"/>
    <w:pPr>
      <w:spacing w:before="0"/>
    </w:pPr>
  </w:style>
  <w:style w:type="paragraph" w:customStyle="1" w:styleId="3074">
    <w:name w:val="表格内字体114"/>
    <w:basedOn w:val="418"/>
    <w:autoRedefine/>
    <w:qFormat/>
    <w:uiPriority w:val="0"/>
    <w:pPr>
      <w:spacing w:line="240" w:lineRule="auto"/>
      <w:ind w:firstLine="0"/>
      <w:jc w:val="center"/>
    </w:pPr>
    <w:rPr>
      <w:rFonts w:ascii="宋体" w:hAnsi="Times New Roman" w:cs="宋体"/>
      <w:b w:val="0"/>
      <w:spacing w:val="0"/>
    </w:rPr>
  </w:style>
  <w:style w:type="paragraph" w:customStyle="1" w:styleId="3075">
    <w:name w:val="样式 标题 3Char1 Char1Char1 Char CharChar1 Char条标题1.1.1h3H3l..."/>
    <w:basedOn w:val="5"/>
    <w:autoRedefine/>
    <w:qFormat/>
    <w:uiPriority w:val="99"/>
    <w:pPr>
      <w:keepLines w:val="0"/>
      <w:spacing w:before="0" w:after="0" w:line="500" w:lineRule="atLeast"/>
      <w:ind w:hanging="420"/>
    </w:pPr>
    <w:rPr>
      <w:rFonts w:cs="宋体"/>
      <w:b w:val="0"/>
      <w:bCs w:val="0"/>
      <w:kern w:val="0"/>
      <w:sz w:val="28"/>
      <w:szCs w:val="20"/>
      <w:lang w:val="en-US"/>
    </w:rPr>
  </w:style>
  <w:style w:type="paragraph" w:customStyle="1" w:styleId="3076">
    <w:name w:val="默认段落字体 Para Char13"/>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077">
    <w:name w:val="正文格式112"/>
    <w:basedOn w:val="1"/>
    <w:autoRedefine/>
    <w:qFormat/>
    <w:uiPriority w:val="0"/>
    <w:pPr>
      <w:spacing w:line="360" w:lineRule="auto"/>
      <w:ind w:firstLine="482"/>
    </w:pPr>
    <w:rPr>
      <w:rFonts w:ascii="宋体" w:hAnsi="宋体"/>
      <w:sz w:val="24"/>
    </w:rPr>
  </w:style>
  <w:style w:type="paragraph" w:customStyle="1" w:styleId="3078">
    <w:name w:val="样式 标题 2 Char节标题 1.1节Char节标题 1.1 Char Char节标题 1.1 Char Char..."/>
    <w:basedOn w:val="4"/>
    <w:autoRedefine/>
    <w:qFormat/>
    <w:uiPriority w:val="99"/>
    <w:pPr>
      <w:spacing w:before="0" w:after="0" w:line="500" w:lineRule="atLeast"/>
      <w:ind w:left="840" w:hanging="420"/>
    </w:pPr>
    <w:rPr>
      <w:rFonts w:ascii="Times New Roman" w:hAnsi="Times New Roman"/>
      <w:sz w:val="28"/>
      <w:szCs w:val="28"/>
    </w:rPr>
  </w:style>
  <w:style w:type="paragraph" w:customStyle="1" w:styleId="3079">
    <w:name w:val="首行缩进:  0.99 厘米 + 首行缩进:  2 字符12"/>
    <w:basedOn w:val="1"/>
    <w:autoRedefine/>
    <w:qFormat/>
    <w:uiPriority w:val="0"/>
    <w:pPr>
      <w:widowControl/>
      <w:topLinePunct/>
      <w:spacing w:line="480" w:lineRule="exact"/>
      <w:ind w:firstLine="420" w:firstLineChars="200"/>
      <w:jc w:val="center"/>
    </w:pPr>
    <w:rPr>
      <w:rFonts w:ascii="宋体" w:cs="宋体"/>
      <w:snapToGrid w:val="0"/>
      <w:color w:val="FF0000"/>
      <w:kern w:val="0"/>
      <w:szCs w:val="21"/>
    </w:rPr>
  </w:style>
  <w:style w:type="paragraph" w:customStyle="1" w:styleId="3080">
    <w:name w:val="表内宋5中211"/>
    <w:basedOn w:val="1"/>
    <w:autoRedefine/>
    <w:qFormat/>
    <w:uiPriority w:val="0"/>
    <w:pPr>
      <w:adjustRightInd w:val="0"/>
      <w:snapToGrid w:val="0"/>
      <w:jc w:val="center"/>
      <w:textAlignment w:val="baseline"/>
    </w:pPr>
    <w:rPr>
      <w:rFonts w:ascii="宋体" w:hAnsi="宋体"/>
      <w:kern w:val="0"/>
      <w:szCs w:val="20"/>
    </w:rPr>
  </w:style>
  <w:style w:type="paragraph" w:customStyle="1" w:styleId="3081">
    <w:name w:val="样式 样式 左侧:  2 字符 + 首行缩进:  2 字符 Char"/>
    <w:basedOn w:val="1"/>
    <w:autoRedefine/>
    <w:qFormat/>
    <w:uiPriority w:val="99"/>
    <w:pPr>
      <w:tabs>
        <w:tab w:val="left" w:pos="540"/>
      </w:tabs>
      <w:spacing w:line="360" w:lineRule="auto"/>
      <w:ind w:firstLine="478" w:firstLineChars="199"/>
    </w:pPr>
    <w:rPr>
      <w:rFonts w:ascii="宋体" w:hAnsi="宋体"/>
      <w:bCs/>
      <w:sz w:val="24"/>
    </w:rPr>
  </w:style>
  <w:style w:type="paragraph" w:customStyle="1" w:styleId="3082">
    <w:name w:val="Char1411"/>
    <w:basedOn w:val="1"/>
    <w:autoRedefine/>
    <w:qFormat/>
    <w:uiPriority w:val="0"/>
    <w:pPr>
      <w:ind w:left="-48"/>
    </w:pPr>
  </w:style>
  <w:style w:type="paragraph" w:customStyle="1" w:styleId="3083">
    <w:name w:val="表内宋513"/>
    <w:basedOn w:val="1719"/>
    <w:autoRedefine/>
    <w:qFormat/>
    <w:uiPriority w:val="0"/>
    <w:pPr>
      <w:widowControl/>
      <w:autoSpaceDE w:val="0"/>
      <w:autoSpaceDN w:val="0"/>
      <w:jc w:val="left"/>
      <w:textAlignment w:val="auto"/>
    </w:pPr>
    <w:rPr>
      <w:color w:val="auto"/>
      <w:w w:val="90"/>
    </w:rPr>
  </w:style>
  <w:style w:type="paragraph" w:customStyle="1" w:styleId="3084">
    <w:name w:val="Char Char Char1 Char Char Char Char Char Char2"/>
    <w:basedOn w:val="1"/>
    <w:autoRedefine/>
    <w:qFormat/>
    <w:uiPriority w:val="99"/>
    <w:rPr>
      <w:sz w:val="24"/>
    </w:rPr>
  </w:style>
  <w:style w:type="paragraph" w:customStyle="1" w:styleId="3085">
    <w:name w:val="表中文字311"/>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086">
    <w:name w:val="Char Char Char Char Char Char Char16"/>
    <w:basedOn w:val="1"/>
    <w:autoRedefine/>
    <w:qFormat/>
    <w:uiPriority w:val="0"/>
  </w:style>
  <w:style w:type="paragraph" w:customStyle="1" w:styleId="3087">
    <w:name w:val="正文修改33"/>
    <w:basedOn w:val="193"/>
    <w:autoRedefine/>
    <w:qFormat/>
    <w:uiPriority w:val="0"/>
    <w:rPr>
      <w:rFonts w:hAnsi="宋体"/>
      <w:color w:val="000000"/>
    </w:rPr>
  </w:style>
  <w:style w:type="paragraph" w:customStyle="1" w:styleId="3088">
    <w:name w:val="表题1122"/>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3089">
    <w:name w:val="表格内字体7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090">
    <w:name w:val="图题1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091">
    <w:name w:val="Char Char Char1 Char Char Char Char Char Char Char Char Char Char Char Char Char Char Char Char Char Char Char Char Char Char2"/>
    <w:basedOn w:val="1"/>
    <w:autoRedefine/>
    <w:qFormat/>
    <w:uiPriority w:val="39"/>
    <w:rPr>
      <w:szCs w:val="20"/>
    </w:rPr>
  </w:style>
  <w:style w:type="paragraph" w:customStyle="1" w:styleId="3092">
    <w:name w:val="Char Char Char1 Char Char Char Char Char Char Char"/>
    <w:basedOn w:val="1"/>
    <w:autoRedefine/>
    <w:qFormat/>
    <w:uiPriority w:val="99"/>
    <w:rPr>
      <w:rFonts w:ascii="Tahoma" w:hAnsi="Tahoma"/>
      <w:sz w:val="24"/>
      <w:szCs w:val="20"/>
    </w:rPr>
  </w:style>
  <w:style w:type="paragraph" w:customStyle="1" w:styleId="3093">
    <w:name w:val="燕山正文311"/>
    <w:basedOn w:val="1"/>
    <w:autoRedefine/>
    <w:qFormat/>
    <w:uiPriority w:val="0"/>
    <w:pPr>
      <w:tabs>
        <w:tab w:val="left" w:pos="4680"/>
      </w:tabs>
      <w:adjustRightInd w:val="0"/>
      <w:snapToGrid w:val="0"/>
      <w:spacing w:line="480" w:lineRule="exact"/>
    </w:pPr>
    <w:rPr>
      <w:rFonts w:ascii="宋体" w:cs="宋体"/>
      <w:sz w:val="24"/>
    </w:rPr>
  </w:style>
  <w:style w:type="paragraph" w:customStyle="1" w:styleId="3094">
    <w:name w:val="封面标准文稿编辑信息2"/>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095">
    <w:name w:val="表题3112"/>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096">
    <w:name w:val="Char45"/>
    <w:basedOn w:val="1"/>
    <w:autoRedefine/>
    <w:qFormat/>
    <w:uiPriority w:val="0"/>
    <w:pPr>
      <w:ind w:left="-48"/>
    </w:pPr>
  </w:style>
  <w:style w:type="paragraph" w:customStyle="1" w:styleId="3097">
    <w:name w:val="首行缩进:  0.99 厘米 + 首行缩进:  2 字符2"/>
    <w:basedOn w:val="1"/>
    <w:autoRedefine/>
    <w:qFormat/>
    <w:uiPriority w:val="0"/>
    <w:pPr>
      <w:widowControl/>
      <w:topLinePunct/>
      <w:spacing w:line="480" w:lineRule="exact"/>
      <w:ind w:firstLine="420" w:firstLineChars="200"/>
      <w:jc w:val="center"/>
    </w:pPr>
    <w:rPr>
      <w:rFonts w:ascii="宋体" w:cs="宋体"/>
      <w:snapToGrid w:val="0"/>
      <w:color w:val="FF0000"/>
      <w:kern w:val="0"/>
      <w:szCs w:val="21"/>
    </w:rPr>
  </w:style>
  <w:style w:type="paragraph" w:customStyle="1" w:styleId="3098">
    <w:name w:val="样式 样式2.4.1 + 段前: 0.5 行"/>
    <w:basedOn w:val="1826"/>
    <w:autoRedefine/>
    <w:qFormat/>
    <w:uiPriority w:val="99"/>
    <w:pPr>
      <w:tabs>
        <w:tab w:val="left" w:pos="0"/>
        <w:tab w:val="left" w:pos="360"/>
      </w:tabs>
      <w:ind w:left="360" w:hanging="360"/>
    </w:pPr>
    <w:rPr>
      <w:rFonts w:cs="宋体"/>
      <w:szCs w:val="20"/>
    </w:rPr>
  </w:style>
  <w:style w:type="paragraph" w:customStyle="1" w:styleId="3099">
    <w:name w:val="样式 表格内字体 +4"/>
    <w:basedOn w:val="417"/>
    <w:autoRedefine/>
    <w:qFormat/>
    <w:uiPriority w:val="0"/>
    <w:pPr>
      <w:spacing w:line="280" w:lineRule="exact"/>
      <w:ind w:firstLine="36"/>
      <w:jc w:val="both"/>
    </w:pPr>
  </w:style>
  <w:style w:type="paragraph" w:customStyle="1" w:styleId="3100">
    <w:name w:val="表题4112"/>
    <w:basedOn w:val="35"/>
    <w:autoRedefine/>
    <w:qFormat/>
    <w:uiPriority w:val="0"/>
    <w:pPr>
      <w:tabs>
        <w:tab w:val="left" w:pos="4305"/>
      </w:tabs>
      <w:adjustRightInd w:val="0"/>
      <w:snapToGrid w:val="0"/>
      <w:spacing w:after="0"/>
      <w:ind w:left="0" w:leftChars="0"/>
      <w:jc w:val="center"/>
    </w:pPr>
    <w:rPr>
      <w:rFonts w:ascii="宋体" w:hAnsi="宋体" w:cs="宋体"/>
      <w:color w:val="000000"/>
      <w:szCs w:val="24"/>
      <w:lang w:val="en-US"/>
    </w:rPr>
  </w:style>
  <w:style w:type="paragraph" w:customStyle="1" w:styleId="3101">
    <w:name w:val="Char410"/>
    <w:basedOn w:val="1"/>
    <w:autoRedefine/>
    <w:qFormat/>
    <w:uiPriority w:val="0"/>
    <w:pPr>
      <w:ind w:left="-48"/>
    </w:pPr>
  </w:style>
  <w:style w:type="paragraph" w:customStyle="1" w:styleId="3102">
    <w:name w:val="图表题1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103">
    <w:name w:val="默认段落字体 Para Char Char Char Char511"/>
    <w:basedOn w:val="1"/>
    <w:autoRedefine/>
    <w:qFormat/>
    <w:uiPriority w:val="0"/>
  </w:style>
  <w:style w:type="paragraph" w:customStyle="1" w:styleId="3104">
    <w:name w:val="表内5314"/>
    <w:basedOn w:val="1"/>
    <w:autoRedefine/>
    <w:qFormat/>
    <w:uiPriority w:val="0"/>
    <w:pPr>
      <w:adjustRightInd w:val="0"/>
      <w:snapToGrid w:val="0"/>
      <w:spacing w:line="300" w:lineRule="auto"/>
      <w:jc w:val="left"/>
    </w:pPr>
    <w:rPr>
      <w:rFonts w:ascii="宋体"/>
      <w:szCs w:val="20"/>
    </w:rPr>
  </w:style>
  <w:style w:type="paragraph" w:customStyle="1" w:styleId="3105">
    <w:name w:val="表内文字小21112"/>
    <w:basedOn w:val="1"/>
    <w:autoRedefine/>
    <w:qFormat/>
    <w:uiPriority w:val="0"/>
    <w:pPr>
      <w:adjustRightInd w:val="0"/>
      <w:snapToGrid w:val="0"/>
      <w:jc w:val="center"/>
    </w:pPr>
    <w:rPr>
      <w:rFonts w:ascii="宋体" w:hAnsi="Times"/>
      <w:bCs/>
      <w:color w:val="000000"/>
      <w:szCs w:val="20"/>
    </w:rPr>
  </w:style>
  <w:style w:type="paragraph" w:customStyle="1" w:styleId="3106">
    <w:name w:val="表中文字62"/>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107">
    <w:name w:val="默认段落字体 Para Char111"/>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108">
    <w:name w:val="正文格式＝12"/>
    <w:basedOn w:val="418"/>
    <w:next w:val="418"/>
    <w:autoRedefine/>
    <w:qFormat/>
    <w:uiPriority w:val="0"/>
    <w:rPr>
      <w:rFonts w:ascii="宋体" w:hAnsi="宋体"/>
      <w:b w:val="0"/>
      <w:spacing w:val="0"/>
      <w:sz w:val="24"/>
      <w:szCs w:val="24"/>
    </w:rPr>
  </w:style>
  <w:style w:type="paragraph" w:customStyle="1" w:styleId="3109">
    <w:name w:val="Char4 Char Char Char Char Char Char Char Char Char Char Char Char Char Char Char Char Char1 Char Char Char Char Char Char1 Char Char Char Char Char Char Char Char Char Char Char Char Char Char Char Char2"/>
    <w:basedOn w:val="1"/>
    <w:autoRedefine/>
    <w:qFormat/>
    <w:uiPriority w:val="39"/>
    <w:pPr>
      <w:spacing w:line="240" w:lineRule="exact"/>
      <w:ind w:firstLine="200" w:firstLineChars="200"/>
    </w:pPr>
    <w:rPr>
      <w:sz w:val="28"/>
      <w:szCs w:val="28"/>
    </w:rPr>
  </w:style>
  <w:style w:type="paragraph" w:customStyle="1" w:styleId="3110">
    <w:name w:val="表内宋51114"/>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3111">
    <w:name w:val="福建正文缩进12"/>
    <w:basedOn w:val="9"/>
    <w:autoRedefine/>
    <w:qFormat/>
    <w:uiPriority w:val="0"/>
    <w:pPr>
      <w:adjustRightInd w:val="0"/>
      <w:snapToGrid w:val="0"/>
      <w:spacing w:line="360" w:lineRule="auto"/>
      <w:ind w:firstLine="567" w:firstLineChars="0"/>
    </w:pPr>
    <w:rPr>
      <w:rFonts w:ascii="宋体"/>
      <w:kern w:val="0"/>
      <w:sz w:val="24"/>
      <w:lang w:val="en-US"/>
    </w:rPr>
  </w:style>
  <w:style w:type="paragraph" w:customStyle="1" w:styleId="3112">
    <w:name w:val="Char36"/>
    <w:basedOn w:val="1"/>
    <w:autoRedefine/>
    <w:qFormat/>
    <w:uiPriority w:val="0"/>
    <w:pPr>
      <w:ind w:left="-48"/>
    </w:pPr>
  </w:style>
  <w:style w:type="paragraph" w:customStyle="1" w:styleId="3113">
    <w:name w:val="样式411"/>
    <w:basedOn w:val="34"/>
    <w:autoRedefine/>
    <w:qFormat/>
    <w:uiPriority w:val="0"/>
    <w:pPr>
      <w:widowControl w:val="0"/>
      <w:tabs>
        <w:tab w:val="left" w:pos="1820"/>
      </w:tabs>
      <w:spacing w:before="0" w:after="0" w:line="240" w:lineRule="atLeast"/>
      <w:ind w:right="0"/>
      <w:jc w:val="center"/>
    </w:pPr>
    <w:rPr>
      <w:rFonts w:eastAsia="幼圆"/>
      <w:sz w:val="20"/>
      <w:lang w:val="en-US"/>
    </w:rPr>
  </w:style>
  <w:style w:type="paragraph" w:customStyle="1" w:styleId="3114">
    <w:name w:val="Char Char2 Char Char Char Char12"/>
    <w:basedOn w:val="1"/>
    <w:autoRedefine/>
    <w:qFormat/>
    <w:uiPriority w:val="0"/>
  </w:style>
  <w:style w:type="paragraph" w:customStyle="1" w:styleId="3115">
    <w:name w:val="表中文字411"/>
    <w:basedOn w:val="1"/>
    <w:autoRedefine/>
    <w:qFormat/>
    <w:uiPriority w:val="0"/>
    <w:pPr>
      <w:snapToGrid w:val="0"/>
      <w:spacing w:line="340" w:lineRule="exact"/>
      <w:ind w:firstLine="480" w:firstLineChars="200"/>
      <w:jc w:val="center"/>
    </w:pPr>
    <w:rPr>
      <w:rFonts w:ascii="Arial" w:hAnsi="Arial"/>
      <w:kern w:val="0"/>
      <w:sz w:val="20"/>
      <w:lang w:eastAsia="zh-TW"/>
    </w:rPr>
  </w:style>
  <w:style w:type="paragraph" w:customStyle="1" w:styleId="3116">
    <w:name w:val="默认段落字体 Para Char Char Char Char8"/>
    <w:basedOn w:val="1"/>
    <w:autoRedefine/>
    <w:qFormat/>
    <w:uiPriority w:val="0"/>
  </w:style>
  <w:style w:type="paragraph" w:customStyle="1" w:styleId="3117">
    <w:name w:val="正文格式312"/>
    <w:basedOn w:val="1"/>
    <w:autoRedefine/>
    <w:qFormat/>
    <w:uiPriority w:val="0"/>
    <w:pPr>
      <w:spacing w:line="360" w:lineRule="auto"/>
      <w:ind w:firstLine="482"/>
    </w:pPr>
    <w:rPr>
      <w:rFonts w:ascii="宋体" w:hAnsi="宋体"/>
      <w:sz w:val="24"/>
    </w:rPr>
  </w:style>
  <w:style w:type="paragraph" w:customStyle="1" w:styleId="3118">
    <w:name w:val="样式 样式  小四 黑色 居中 首行缩进:  2 字符 行距: 固定值 18 磅 + 首行缩进:  0.85 厘米"/>
    <w:basedOn w:val="1"/>
    <w:autoRedefine/>
    <w:qFormat/>
    <w:uiPriority w:val="99"/>
    <w:pPr>
      <w:spacing w:after="156" w:line="360" w:lineRule="exact"/>
      <w:jc w:val="center"/>
    </w:pPr>
    <w:rPr>
      <w:rFonts w:ascii="仿宋_GB2312" w:hAnsi="仿宋_GB2312" w:cs="宋体"/>
      <w:b/>
      <w:bCs/>
      <w:sz w:val="24"/>
      <w:szCs w:val="20"/>
    </w:rPr>
  </w:style>
  <w:style w:type="paragraph" w:customStyle="1" w:styleId="3119">
    <w:name w:val="Char3311"/>
    <w:basedOn w:val="1"/>
    <w:autoRedefine/>
    <w:qFormat/>
    <w:uiPriority w:val="0"/>
    <w:pPr>
      <w:ind w:left="-48"/>
    </w:pPr>
  </w:style>
  <w:style w:type="paragraph" w:customStyle="1" w:styleId="3120">
    <w:name w:val="Char Char Char Char5"/>
    <w:basedOn w:val="26"/>
    <w:autoRedefine/>
    <w:qFormat/>
    <w:uiPriority w:val="99"/>
    <w:pPr>
      <w:widowControl/>
      <w:adjustRightInd w:val="0"/>
      <w:snapToGrid w:val="0"/>
      <w:spacing w:line="360" w:lineRule="auto"/>
      <w:jc w:val="left"/>
    </w:pPr>
    <w:rPr>
      <w:rFonts w:ascii="Tahoma" w:hAnsi="Tahoma" w:cs="宋体"/>
      <w:sz w:val="24"/>
      <w:szCs w:val="24"/>
    </w:rPr>
  </w:style>
  <w:style w:type="paragraph" w:customStyle="1" w:styleId="3121">
    <w:name w:val="标题415"/>
    <w:basedOn w:val="6"/>
    <w:next w:val="1"/>
    <w:autoRedefine/>
    <w:qFormat/>
    <w:uiPriority w:val="0"/>
    <w:pPr>
      <w:spacing w:before="160" w:after="170" w:line="360" w:lineRule="auto"/>
      <w:ind w:left="0" w:firstLine="0"/>
    </w:pPr>
    <w:rPr>
      <w:rFonts w:ascii="黑体"/>
      <w:sz w:val="24"/>
    </w:rPr>
  </w:style>
  <w:style w:type="paragraph" w:customStyle="1" w:styleId="3122">
    <w:name w:val="Char Char Char Char Char Char Char27"/>
    <w:basedOn w:val="1"/>
    <w:autoRedefine/>
    <w:qFormat/>
    <w:uiPriority w:val="0"/>
  </w:style>
  <w:style w:type="paragraph" w:customStyle="1" w:styleId="3123">
    <w:name w:val="公用工程"/>
    <w:basedOn w:val="6"/>
    <w:autoRedefine/>
    <w:qFormat/>
    <w:uiPriority w:val="99"/>
    <w:pPr>
      <w:tabs>
        <w:tab w:val="left" w:pos="0"/>
        <w:tab w:val="left" w:pos="286"/>
      </w:tabs>
      <w:spacing w:before="0" w:after="0" w:line="360" w:lineRule="auto"/>
      <w:ind w:left="2102" w:hanging="420"/>
      <w:jc w:val="left"/>
    </w:pPr>
    <w:rPr>
      <w:rFonts w:ascii="宋体" w:eastAsia="宋体"/>
      <w:b w:val="0"/>
      <w:color w:val="000000"/>
      <w:sz w:val="24"/>
    </w:rPr>
  </w:style>
  <w:style w:type="paragraph" w:customStyle="1" w:styleId="3124">
    <w:name w:val="样式 表格内字体 +3"/>
    <w:basedOn w:val="417"/>
    <w:autoRedefine/>
    <w:qFormat/>
    <w:uiPriority w:val="0"/>
    <w:pPr>
      <w:spacing w:line="280" w:lineRule="exact"/>
      <w:ind w:firstLine="36"/>
      <w:jc w:val="both"/>
    </w:pPr>
  </w:style>
  <w:style w:type="paragraph" w:customStyle="1" w:styleId="3125">
    <w:name w:val="表文字5122"/>
    <w:basedOn w:val="1"/>
    <w:autoRedefine/>
    <w:qFormat/>
    <w:uiPriority w:val="0"/>
    <w:pPr>
      <w:adjustRightInd w:val="0"/>
      <w:jc w:val="left"/>
      <w:textAlignment w:val="baseline"/>
    </w:pPr>
    <w:rPr>
      <w:rFonts w:ascii="宋体"/>
      <w:kern w:val="0"/>
      <w:szCs w:val="20"/>
    </w:rPr>
  </w:style>
  <w:style w:type="paragraph" w:customStyle="1" w:styleId="3126">
    <w:name w:val="表格内字体41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127">
    <w:name w:val="表内514"/>
    <w:basedOn w:val="1"/>
    <w:autoRedefine/>
    <w:qFormat/>
    <w:uiPriority w:val="0"/>
    <w:pPr>
      <w:adjustRightInd w:val="0"/>
      <w:snapToGrid w:val="0"/>
      <w:jc w:val="center"/>
    </w:pPr>
    <w:rPr>
      <w:rFonts w:ascii="宋体" w:hAnsi="宋体"/>
      <w:kern w:val="0"/>
      <w:sz w:val="20"/>
      <w:szCs w:val="20"/>
    </w:rPr>
  </w:style>
  <w:style w:type="paragraph" w:customStyle="1" w:styleId="3128">
    <w:name w:val="表题31211"/>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129">
    <w:name w:val="附件34"/>
    <w:basedOn w:val="3"/>
    <w:next w:val="418"/>
    <w:autoRedefine/>
    <w:qFormat/>
    <w:uiPriority w:val="0"/>
    <w:pPr>
      <w:keepLines/>
      <w:tabs>
        <w:tab w:val="left" w:pos="1566"/>
      </w:tabs>
      <w:overflowPunct/>
      <w:adjustRightInd w:val="0"/>
      <w:spacing w:before="0" w:after="120" w:line="360" w:lineRule="auto"/>
      <w:ind w:left="0" w:firstLine="0"/>
      <w:jc w:val="left"/>
    </w:pPr>
    <w:rPr>
      <w:rFonts w:ascii="黑体" w:hAnsi="宋体"/>
      <w:b w:val="0"/>
      <w:color w:val="auto"/>
      <w:sz w:val="32"/>
      <w:szCs w:val="32"/>
    </w:rPr>
  </w:style>
  <w:style w:type="paragraph" w:customStyle="1" w:styleId="3130">
    <w:name w:val="表内54142"/>
    <w:basedOn w:val="1"/>
    <w:autoRedefine/>
    <w:qFormat/>
    <w:uiPriority w:val="0"/>
    <w:pPr>
      <w:adjustRightInd w:val="0"/>
      <w:snapToGrid w:val="0"/>
      <w:spacing w:line="300" w:lineRule="auto"/>
      <w:jc w:val="center"/>
    </w:pPr>
    <w:rPr>
      <w:rFonts w:ascii="宋体" w:hAnsi="宋体" w:cs="宋体"/>
      <w:szCs w:val="20"/>
    </w:rPr>
  </w:style>
  <w:style w:type="paragraph" w:customStyle="1" w:styleId="3131">
    <w:name w:val="字元 字元"/>
    <w:basedOn w:val="1"/>
    <w:autoRedefine/>
    <w:qFormat/>
    <w:uiPriority w:val="0"/>
    <w:rPr>
      <w:szCs w:val="21"/>
    </w:rPr>
  </w:style>
  <w:style w:type="paragraph" w:customStyle="1" w:styleId="3132">
    <w:name w:val="表内54122"/>
    <w:basedOn w:val="1"/>
    <w:autoRedefine/>
    <w:qFormat/>
    <w:uiPriority w:val="0"/>
    <w:pPr>
      <w:adjustRightInd w:val="0"/>
      <w:snapToGrid w:val="0"/>
      <w:spacing w:line="300" w:lineRule="auto"/>
      <w:jc w:val="center"/>
    </w:pPr>
    <w:rPr>
      <w:rFonts w:ascii="宋体" w:hAnsi="宋体" w:cs="宋体"/>
      <w:szCs w:val="20"/>
    </w:rPr>
  </w:style>
  <w:style w:type="paragraph" w:customStyle="1" w:styleId="3133">
    <w:name w:val="报告书正文段落"/>
    <w:basedOn w:val="1"/>
    <w:autoRedefine/>
    <w:qFormat/>
    <w:uiPriority w:val="99"/>
    <w:pPr>
      <w:spacing w:line="520" w:lineRule="exact"/>
      <w:ind w:firstLine="480" w:firstLineChars="200"/>
      <w:jc w:val="left"/>
    </w:pPr>
    <w:rPr>
      <w:rFonts w:cs="宋体"/>
      <w:kern w:val="0"/>
      <w:sz w:val="24"/>
      <w:lang w:val="zh-CN"/>
    </w:rPr>
  </w:style>
  <w:style w:type="paragraph" w:customStyle="1" w:styleId="3134">
    <w:name w:val="首行缩进:  0.99 厘米 + 首行缩进:  2 字符3"/>
    <w:basedOn w:val="1"/>
    <w:autoRedefine/>
    <w:qFormat/>
    <w:uiPriority w:val="0"/>
    <w:pPr>
      <w:widowControl/>
      <w:topLinePunct/>
      <w:spacing w:line="480" w:lineRule="exact"/>
      <w:ind w:firstLine="420" w:firstLineChars="200"/>
      <w:jc w:val="center"/>
    </w:pPr>
    <w:rPr>
      <w:rFonts w:ascii="宋体" w:cs="宋体"/>
      <w:snapToGrid w:val="0"/>
      <w:color w:val="FF0000"/>
      <w:kern w:val="0"/>
      <w:szCs w:val="21"/>
    </w:rPr>
  </w:style>
  <w:style w:type="paragraph" w:customStyle="1" w:styleId="3135">
    <w:name w:val="表内文字小2122"/>
    <w:basedOn w:val="1"/>
    <w:autoRedefine/>
    <w:qFormat/>
    <w:uiPriority w:val="0"/>
    <w:pPr>
      <w:adjustRightInd w:val="0"/>
      <w:snapToGrid w:val="0"/>
      <w:jc w:val="center"/>
    </w:pPr>
    <w:rPr>
      <w:rFonts w:ascii="宋体" w:hAnsi="Times"/>
      <w:bCs/>
      <w:color w:val="000000"/>
      <w:szCs w:val="20"/>
    </w:rPr>
  </w:style>
  <w:style w:type="paragraph" w:customStyle="1" w:styleId="3136">
    <w:name w:val="默认段落字体 Para Char Char Char Char62"/>
    <w:basedOn w:val="1"/>
    <w:autoRedefine/>
    <w:qFormat/>
    <w:uiPriority w:val="0"/>
  </w:style>
  <w:style w:type="paragraph" w:customStyle="1" w:styleId="3137">
    <w:name w:val="表格内字体113"/>
    <w:basedOn w:val="418"/>
    <w:autoRedefine/>
    <w:qFormat/>
    <w:uiPriority w:val="0"/>
    <w:pPr>
      <w:spacing w:line="240" w:lineRule="auto"/>
      <w:ind w:firstLine="0"/>
      <w:jc w:val="center"/>
    </w:pPr>
    <w:rPr>
      <w:rFonts w:ascii="宋体" w:hAnsi="Times New Roman" w:cs="宋体"/>
      <w:b w:val="0"/>
      <w:spacing w:val="0"/>
    </w:rPr>
  </w:style>
  <w:style w:type="paragraph" w:customStyle="1" w:styleId="3138">
    <w:name w:val="表题122"/>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139">
    <w:name w:val="样式 标题 4"/>
    <w:basedOn w:val="6"/>
    <w:autoRedefine/>
    <w:qFormat/>
    <w:uiPriority w:val="99"/>
    <w:pPr>
      <w:tabs>
        <w:tab w:val="left" w:pos="-480"/>
        <w:tab w:val="left" w:pos="0"/>
        <w:tab w:val="left" w:pos="2240"/>
      </w:tabs>
      <w:spacing w:before="0" w:after="0" w:line="360" w:lineRule="auto"/>
      <w:ind w:left="2240" w:hanging="420"/>
      <w:jc w:val="left"/>
    </w:pPr>
    <w:rPr>
      <w:rFonts w:ascii="宋体" w:eastAsia="宋体"/>
      <w:b w:val="0"/>
      <w:bCs w:val="0"/>
      <w:color w:val="000000"/>
      <w:sz w:val="24"/>
    </w:rPr>
  </w:style>
  <w:style w:type="paragraph" w:customStyle="1" w:styleId="3140">
    <w:name w:val="表中文字53"/>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141">
    <w:name w:val="Fax Header11"/>
    <w:basedOn w:val="1"/>
    <w:autoRedefine/>
    <w:qFormat/>
    <w:uiPriority w:val="0"/>
    <w:pPr>
      <w:widowControl/>
      <w:spacing w:before="240" w:after="60"/>
      <w:jc w:val="left"/>
    </w:pPr>
    <w:rPr>
      <w:kern w:val="0"/>
      <w:sz w:val="20"/>
      <w:szCs w:val="20"/>
    </w:rPr>
  </w:style>
  <w:style w:type="paragraph" w:customStyle="1" w:styleId="3142">
    <w:name w:val="表格内字体8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143">
    <w:name w:val="Char Char Char1 Char Char Char Char Char Char Char Char Char Char Char Char Char Char Char1 Char Char Char Char Char Char Char Char Char Char Char Char Char Char Char Char Char Char Char Char Char Char Char Char Char Char Char Char Char Char2"/>
    <w:basedOn w:val="1"/>
    <w:autoRedefine/>
    <w:qFormat/>
    <w:uiPriority w:val="39"/>
    <w:pPr>
      <w:spacing w:line="240" w:lineRule="exact"/>
      <w:ind w:firstLine="200" w:firstLineChars="200"/>
    </w:pPr>
    <w:rPr>
      <w:sz w:val="28"/>
      <w:szCs w:val="28"/>
    </w:rPr>
  </w:style>
  <w:style w:type="paragraph" w:customStyle="1" w:styleId="3144">
    <w:name w:val="xl6311"/>
    <w:basedOn w:val="1"/>
    <w:autoRedefine/>
    <w:qFormat/>
    <w:uiPriority w:val="0"/>
    <w:pPr>
      <w:widowControl/>
      <w:spacing w:before="100" w:beforeAutospacing="1" w:after="100" w:afterAutospacing="1"/>
      <w:jc w:val="center"/>
      <w:textAlignment w:val="center"/>
    </w:pPr>
    <w:rPr>
      <w:rFonts w:hint="eastAsia" w:ascii="黑体" w:hAnsi="宋体" w:eastAsia="黑体"/>
      <w:kern w:val="0"/>
      <w:sz w:val="24"/>
    </w:rPr>
  </w:style>
  <w:style w:type="paragraph" w:customStyle="1" w:styleId="3145">
    <w:name w:val="正文格式311"/>
    <w:basedOn w:val="1"/>
    <w:autoRedefine/>
    <w:qFormat/>
    <w:uiPriority w:val="0"/>
    <w:pPr>
      <w:spacing w:line="360" w:lineRule="auto"/>
      <w:ind w:firstLine="482"/>
    </w:pPr>
    <w:rPr>
      <w:rFonts w:ascii="宋体" w:hAnsi="宋体"/>
      <w:sz w:val="24"/>
    </w:rPr>
  </w:style>
  <w:style w:type="paragraph" w:customStyle="1" w:styleId="3146">
    <w:name w:val="黑体三号212"/>
    <w:basedOn w:val="418"/>
    <w:autoRedefine/>
    <w:qFormat/>
    <w:uiPriority w:val="0"/>
    <w:pPr>
      <w:jc w:val="center"/>
    </w:pPr>
    <w:rPr>
      <w:rFonts w:ascii="黑体" w:hAnsi="宋体" w:eastAsia="黑体" w:cs="宋体"/>
      <w:bCs/>
      <w:spacing w:val="0"/>
      <w:sz w:val="32"/>
    </w:rPr>
  </w:style>
  <w:style w:type="paragraph" w:customStyle="1" w:styleId="3147">
    <w:name w:val="Char1 Char Char Char Char Char Char Char Char Char1 Char Char Char Char Char Char2"/>
    <w:basedOn w:val="1"/>
    <w:autoRedefine/>
    <w:qFormat/>
    <w:uiPriority w:val="3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148">
    <w:name w:val="表内宋5中113"/>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3149">
    <w:name w:val="Char Char2 Char Char Char Char311"/>
    <w:basedOn w:val="1"/>
    <w:autoRedefine/>
    <w:qFormat/>
    <w:uiPriority w:val="0"/>
  </w:style>
  <w:style w:type="paragraph" w:customStyle="1" w:styleId="3150">
    <w:name w:val="Char28"/>
    <w:basedOn w:val="1"/>
    <w:autoRedefine/>
    <w:qFormat/>
    <w:uiPriority w:val="0"/>
    <w:pPr>
      <w:ind w:left="-48"/>
    </w:pPr>
  </w:style>
  <w:style w:type="paragraph" w:customStyle="1" w:styleId="3151">
    <w:name w:val="表内5322"/>
    <w:basedOn w:val="1"/>
    <w:autoRedefine/>
    <w:qFormat/>
    <w:uiPriority w:val="0"/>
    <w:pPr>
      <w:adjustRightInd w:val="0"/>
      <w:snapToGrid w:val="0"/>
      <w:spacing w:line="300" w:lineRule="auto"/>
      <w:jc w:val="left"/>
    </w:pPr>
    <w:rPr>
      <w:rFonts w:ascii="宋体"/>
      <w:szCs w:val="20"/>
    </w:rPr>
  </w:style>
  <w:style w:type="paragraph" w:customStyle="1" w:styleId="3152">
    <w:name w:val="表格内字体71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153">
    <w:name w:val="表内文字小3122"/>
    <w:basedOn w:val="1"/>
    <w:autoRedefine/>
    <w:qFormat/>
    <w:uiPriority w:val="0"/>
    <w:pPr>
      <w:adjustRightInd w:val="0"/>
      <w:snapToGrid w:val="0"/>
      <w:jc w:val="center"/>
    </w:pPr>
    <w:rPr>
      <w:rFonts w:ascii="宋体" w:hAnsi="Times" w:cs="宋体"/>
      <w:bCs/>
      <w:color w:val="003366"/>
      <w:szCs w:val="20"/>
    </w:rPr>
  </w:style>
  <w:style w:type="paragraph" w:customStyle="1" w:styleId="3154">
    <w:name w:val="BBBBBBBBBB"/>
    <w:basedOn w:val="1"/>
    <w:autoRedefine/>
    <w:qFormat/>
    <w:uiPriority w:val="99"/>
    <w:pPr>
      <w:spacing w:line="324" w:lineRule="auto"/>
      <w:jc w:val="center"/>
    </w:pPr>
    <w:rPr>
      <w:rFonts w:hAnsi="宋体"/>
      <w:b/>
      <w:bCs/>
      <w:szCs w:val="21"/>
    </w:rPr>
  </w:style>
  <w:style w:type="paragraph" w:customStyle="1" w:styleId="3155">
    <w:name w:val="正文文本缩进 35"/>
    <w:basedOn w:val="1"/>
    <w:autoRedefine/>
    <w:qFormat/>
    <w:uiPriority w:val="34"/>
    <w:pPr>
      <w:spacing w:after="120"/>
      <w:ind w:left="420" w:leftChars="200"/>
    </w:pPr>
    <w:rPr>
      <w:rFonts w:eastAsia="仿宋_GB2312"/>
      <w:sz w:val="16"/>
      <w:szCs w:val="16"/>
    </w:rPr>
  </w:style>
  <w:style w:type="paragraph" w:customStyle="1" w:styleId="3156">
    <w:name w:val="表内522"/>
    <w:basedOn w:val="1"/>
    <w:autoRedefine/>
    <w:qFormat/>
    <w:uiPriority w:val="0"/>
    <w:pPr>
      <w:adjustRightInd w:val="0"/>
      <w:snapToGrid w:val="0"/>
      <w:spacing w:line="300" w:lineRule="auto"/>
      <w:jc w:val="left"/>
    </w:pPr>
    <w:rPr>
      <w:rFonts w:ascii="宋体"/>
      <w:sz w:val="18"/>
      <w:szCs w:val="20"/>
    </w:rPr>
  </w:style>
  <w:style w:type="paragraph" w:customStyle="1" w:styleId="3157">
    <w:name w:val="样式 样式 宋体 + 首行缩进:  2 字符13"/>
    <w:basedOn w:val="1"/>
    <w:autoRedefine/>
    <w:qFormat/>
    <w:uiPriority w:val="0"/>
    <w:pPr>
      <w:spacing w:line="360" w:lineRule="auto"/>
      <w:ind w:firstLine="480" w:firstLineChars="200"/>
      <w:jc w:val="left"/>
    </w:pPr>
    <w:rPr>
      <w:rFonts w:ascii="宋体" w:cs="宋体"/>
      <w:sz w:val="24"/>
    </w:rPr>
  </w:style>
  <w:style w:type="paragraph" w:customStyle="1" w:styleId="3158">
    <w:name w:val="样式 标题 2节节标题 1.1H2（一）Underrubrik1prop2Heading 2 HiddenHea...2"/>
    <w:basedOn w:val="4"/>
    <w:autoRedefine/>
    <w:qFormat/>
    <w:uiPriority w:val="99"/>
    <w:pPr>
      <w:tabs>
        <w:tab w:val="left" w:pos="576"/>
      </w:tabs>
      <w:spacing w:beforeLines="50" w:after="0" w:line="360" w:lineRule="auto"/>
      <w:jc w:val="left"/>
    </w:pPr>
    <w:rPr>
      <w:rFonts w:ascii="宋体" w:hAnsi="Arial"/>
      <w:color w:val="000000"/>
      <w:sz w:val="30"/>
    </w:rPr>
  </w:style>
  <w:style w:type="paragraph" w:customStyle="1" w:styleId="3159">
    <w:name w:val="c3"/>
    <w:autoRedefine/>
    <w:qFormat/>
    <w:uiPriority w:val="0"/>
    <w:pPr>
      <w:widowControl w:val="0"/>
      <w:autoSpaceDE w:val="0"/>
      <w:autoSpaceDN w:val="0"/>
      <w:adjustRightInd w:val="0"/>
      <w:jc w:val="both"/>
    </w:pPr>
    <w:rPr>
      <w:rFonts w:ascii="Arial" w:hAnsi="Arial" w:eastAsia="宋体" w:cs="Times New Roman"/>
      <w:sz w:val="24"/>
      <w:lang w:val="en-US" w:eastAsia="zh-CN" w:bidi="ar-SA"/>
    </w:rPr>
  </w:style>
  <w:style w:type="paragraph" w:customStyle="1" w:styleId="3160">
    <w:name w:val="正文格式63"/>
    <w:basedOn w:val="1"/>
    <w:autoRedefine/>
    <w:qFormat/>
    <w:uiPriority w:val="0"/>
    <w:pPr>
      <w:spacing w:line="360" w:lineRule="auto"/>
      <w:ind w:firstLine="482"/>
    </w:pPr>
    <w:rPr>
      <w:rFonts w:ascii="宋体" w:hAnsi="宋体"/>
      <w:sz w:val="24"/>
    </w:rPr>
  </w:style>
  <w:style w:type="paragraph" w:customStyle="1" w:styleId="3161">
    <w:name w:val="表212"/>
    <w:basedOn w:val="1"/>
    <w:autoRedefine/>
    <w:qFormat/>
    <w:uiPriority w:val="0"/>
    <w:pPr>
      <w:adjustRightInd w:val="0"/>
      <w:snapToGrid w:val="0"/>
      <w:jc w:val="center"/>
    </w:pPr>
    <w:rPr>
      <w:rFonts w:eastAsia="仿宋_GB2312"/>
      <w:sz w:val="24"/>
    </w:rPr>
  </w:style>
  <w:style w:type="paragraph" w:customStyle="1" w:styleId="3162">
    <w:name w:val="Char Char Char Char Char Char Char17"/>
    <w:basedOn w:val="1"/>
    <w:autoRedefine/>
    <w:qFormat/>
    <w:uiPriority w:val="0"/>
  </w:style>
  <w:style w:type="paragraph" w:customStyle="1" w:styleId="3163">
    <w:name w:val="附件212"/>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3164">
    <w:name w:val="表内5中42"/>
    <w:basedOn w:val="1"/>
    <w:autoRedefine/>
    <w:qFormat/>
    <w:uiPriority w:val="0"/>
    <w:pPr>
      <w:adjustRightInd w:val="0"/>
      <w:snapToGrid w:val="0"/>
      <w:jc w:val="center"/>
    </w:pPr>
    <w:rPr>
      <w:rFonts w:ascii="宋体"/>
      <w:bCs/>
      <w:szCs w:val="20"/>
    </w:rPr>
  </w:style>
  <w:style w:type="paragraph" w:customStyle="1" w:styleId="3165">
    <w:name w:val="表内文字小3134"/>
    <w:basedOn w:val="1"/>
    <w:autoRedefine/>
    <w:qFormat/>
    <w:uiPriority w:val="0"/>
    <w:pPr>
      <w:adjustRightInd w:val="0"/>
      <w:snapToGrid w:val="0"/>
      <w:jc w:val="center"/>
    </w:pPr>
    <w:rPr>
      <w:rFonts w:ascii="宋体" w:hAnsi="Times" w:cs="宋体"/>
      <w:bCs/>
      <w:color w:val="003366"/>
      <w:szCs w:val="20"/>
    </w:rPr>
  </w:style>
  <w:style w:type="paragraph" w:customStyle="1" w:styleId="3166">
    <w:name w:val="图题71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167">
    <w:name w:val="样式122"/>
    <w:basedOn w:val="1605"/>
    <w:autoRedefine/>
    <w:qFormat/>
    <w:uiPriority w:val="0"/>
    <w:pPr>
      <w:spacing w:line="240" w:lineRule="auto"/>
      <w:ind w:firstLine="0"/>
      <w:jc w:val="center"/>
    </w:pPr>
    <w:rPr>
      <w:rFonts w:cs="Times New Roman"/>
      <w:b/>
      <w:color w:val="auto"/>
      <w:szCs w:val="20"/>
    </w:rPr>
  </w:style>
  <w:style w:type="paragraph" w:customStyle="1" w:styleId="3168">
    <w:name w:val="日期5"/>
    <w:basedOn w:val="1"/>
    <w:next w:val="1"/>
    <w:autoRedefine/>
    <w:qFormat/>
    <w:uiPriority w:val="39"/>
    <w:rPr>
      <w:rFonts w:eastAsia="仿宋_GB2312"/>
      <w:sz w:val="30"/>
      <w:szCs w:val="20"/>
    </w:rPr>
  </w:style>
  <w:style w:type="paragraph" w:customStyle="1" w:styleId="3169">
    <w:name w:val="Char Char2 Char Char Char Char13"/>
    <w:basedOn w:val="1"/>
    <w:autoRedefine/>
    <w:qFormat/>
    <w:uiPriority w:val="0"/>
  </w:style>
  <w:style w:type="paragraph" w:customStyle="1" w:styleId="3170">
    <w:name w:val="燕山正文1122"/>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3171">
    <w:name w:val="默认段落字体 Para Char411"/>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172">
    <w:name w:val="文本框14"/>
    <w:basedOn w:val="1"/>
    <w:autoRedefine/>
    <w:qFormat/>
    <w:uiPriority w:val="0"/>
    <w:pPr>
      <w:adjustRightInd w:val="0"/>
      <w:snapToGrid w:val="0"/>
      <w:spacing w:after="6"/>
      <w:jc w:val="center"/>
    </w:pPr>
    <w:rPr>
      <w:rFonts w:eastAsia="仿宋_GB2312"/>
    </w:rPr>
  </w:style>
  <w:style w:type="paragraph" w:customStyle="1" w:styleId="3173">
    <w:name w:val="正文修改7"/>
    <w:basedOn w:val="193"/>
    <w:autoRedefine/>
    <w:qFormat/>
    <w:uiPriority w:val="0"/>
    <w:rPr>
      <w:rFonts w:hAnsi="宋体"/>
      <w:color w:val="000000"/>
    </w:rPr>
  </w:style>
  <w:style w:type="paragraph" w:customStyle="1" w:styleId="3174">
    <w:name w:val="表题93"/>
    <w:basedOn w:val="45"/>
    <w:autoRedefine/>
    <w:qFormat/>
    <w:uiPriority w:val="0"/>
    <w:pPr>
      <w:adjustRightInd w:val="0"/>
      <w:snapToGrid w:val="0"/>
      <w:spacing w:line="300" w:lineRule="auto"/>
      <w:jc w:val="center"/>
    </w:pPr>
    <w:rPr>
      <w:rFonts w:ascii="黑体" w:eastAsia="黑体"/>
      <w:sz w:val="24"/>
      <w:szCs w:val="20"/>
    </w:rPr>
  </w:style>
  <w:style w:type="paragraph" w:customStyle="1" w:styleId="3175">
    <w:name w:val="样式1111"/>
    <w:basedOn w:val="1605"/>
    <w:autoRedefine/>
    <w:qFormat/>
    <w:uiPriority w:val="0"/>
    <w:pPr>
      <w:spacing w:line="240" w:lineRule="auto"/>
      <w:ind w:firstLine="0"/>
      <w:jc w:val="center"/>
    </w:pPr>
    <w:rPr>
      <w:rFonts w:cs="Times New Roman"/>
      <w:b/>
      <w:color w:val="auto"/>
      <w:szCs w:val="20"/>
    </w:rPr>
  </w:style>
  <w:style w:type="paragraph" w:customStyle="1" w:styleId="3176">
    <w:name w:val="标题414"/>
    <w:basedOn w:val="6"/>
    <w:next w:val="1"/>
    <w:autoRedefine/>
    <w:qFormat/>
    <w:uiPriority w:val="0"/>
    <w:pPr>
      <w:spacing w:before="160" w:after="170" w:line="360" w:lineRule="auto"/>
      <w:ind w:left="0" w:firstLine="0"/>
    </w:pPr>
    <w:rPr>
      <w:rFonts w:ascii="黑体"/>
      <w:sz w:val="24"/>
    </w:rPr>
  </w:style>
  <w:style w:type="paragraph" w:customStyle="1" w:styleId="3177">
    <w:name w:val="Char46"/>
    <w:basedOn w:val="1"/>
    <w:autoRedefine/>
    <w:qFormat/>
    <w:uiPriority w:val="0"/>
    <w:pPr>
      <w:ind w:left="-48"/>
    </w:pPr>
  </w:style>
  <w:style w:type="paragraph" w:customStyle="1" w:styleId="3178">
    <w:name w:val="表内5312"/>
    <w:basedOn w:val="1"/>
    <w:autoRedefine/>
    <w:qFormat/>
    <w:uiPriority w:val="0"/>
    <w:pPr>
      <w:adjustRightInd w:val="0"/>
      <w:snapToGrid w:val="0"/>
      <w:spacing w:line="300" w:lineRule="auto"/>
      <w:jc w:val="left"/>
    </w:pPr>
    <w:rPr>
      <w:rFonts w:ascii="宋体"/>
      <w:szCs w:val="20"/>
    </w:rPr>
  </w:style>
  <w:style w:type="paragraph" w:customStyle="1" w:styleId="3179">
    <w:name w:val="Char34"/>
    <w:basedOn w:val="1"/>
    <w:autoRedefine/>
    <w:qFormat/>
    <w:uiPriority w:val="0"/>
    <w:pPr>
      <w:ind w:left="-48"/>
    </w:pPr>
  </w:style>
  <w:style w:type="paragraph" w:customStyle="1" w:styleId="3180">
    <w:name w:val="表格内字体8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181">
    <w:name w:val="纯文本5"/>
    <w:basedOn w:val="1"/>
    <w:autoRedefine/>
    <w:qFormat/>
    <w:uiPriority w:val="39"/>
    <w:pPr>
      <w:adjustRightInd w:val="0"/>
      <w:textAlignment w:val="baseline"/>
    </w:pPr>
    <w:rPr>
      <w:rFonts w:ascii="宋体" w:hAnsi="Courier New"/>
      <w:szCs w:val="20"/>
    </w:rPr>
  </w:style>
  <w:style w:type="paragraph" w:customStyle="1" w:styleId="3182">
    <w:name w:val="AAAAAAAAAAAA"/>
    <w:basedOn w:val="1"/>
    <w:autoRedefine/>
    <w:qFormat/>
    <w:uiPriority w:val="99"/>
    <w:pPr>
      <w:jc w:val="center"/>
    </w:pPr>
    <w:rPr>
      <w:rFonts w:hAnsi="宋体"/>
      <w:bCs/>
      <w:szCs w:val="21"/>
    </w:rPr>
  </w:style>
  <w:style w:type="paragraph" w:customStyle="1" w:styleId="3183">
    <w:name w:val="表42"/>
    <w:basedOn w:val="1"/>
    <w:autoRedefine/>
    <w:qFormat/>
    <w:uiPriority w:val="0"/>
    <w:pPr>
      <w:adjustRightInd w:val="0"/>
      <w:snapToGrid w:val="0"/>
      <w:jc w:val="center"/>
    </w:pPr>
    <w:rPr>
      <w:rFonts w:eastAsia="仿宋_GB2312"/>
      <w:sz w:val="24"/>
    </w:rPr>
  </w:style>
  <w:style w:type="paragraph" w:customStyle="1" w:styleId="3184">
    <w:name w:val="图题64"/>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185">
    <w:name w:val="封面标准文稿编辑信息3"/>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186">
    <w:name w:val="Char Char Char Char Char Char Char32"/>
    <w:basedOn w:val="1"/>
    <w:autoRedefine/>
    <w:qFormat/>
    <w:uiPriority w:val="0"/>
  </w:style>
  <w:style w:type="paragraph" w:customStyle="1" w:styleId="3187">
    <w:name w:val="默认段落字体 Para Char Char Char Char44"/>
    <w:basedOn w:val="1"/>
    <w:autoRedefine/>
    <w:qFormat/>
    <w:uiPriority w:val="0"/>
  </w:style>
  <w:style w:type="paragraph" w:customStyle="1" w:styleId="3188">
    <w:name w:val="Char Char Char Char Char Char Char122"/>
    <w:basedOn w:val="1"/>
    <w:autoRedefine/>
    <w:qFormat/>
    <w:uiPriority w:val="0"/>
    <w:rPr>
      <w:szCs w:val="20"/>
    </w:rPr>
  </w:style>
  <w:style w:type="paragraph" w:customStyle="1" w:styleId="3189">
    <w:name w:val="表内文字小222"/>
    <w:basedOn w:val="1"/>
    <w:autoRedefine/>
    <w:qFormat/>
    <w:uiPriority w:val="0"/>
    <w:pPr>
      <w:adjustRightInd w:val="0"/>
      <w:snapToGrid w:val="0"/>
      <w:jc w:val="center"/>
    </w:pPr>
    <w:rPr>
      <w:rFonts w:ascii="宋体" w:hAnsi="Times"/>
      <w:bCs/>
      <w:color w:val="000000"/>
      <w:szCs w:val="20"/>
    </w:rPr>
  </w:style>
  <w:style w:type="paragraph" w:customStyle="1" w:styleId="3190">
    <w:name w:val="表内54134"/>
    <w:basedOn w:val="1"/>
    <w:autoRedefine/>
    <w:qFormat/>
    <w:uiPriority w:val="0"/>
    <w:pPr>
      <w:adjustRightInd w:val="0"/>
      <w:snapToGrid w:val="0"/>
      <w:spacing w:line="300" w:lineRule="auto"/>
      <w:jc w:val="center"/>
    </w:pPr>
    <w:rPr>
      <w:rFonts w:ascii="宋体" w:hAnsi="宋体" w:cs="宋体"/>
      <w:szCs w:val="20"/>
    </w:rPr>
  </w:style>
  <w:style w:type="paragraph" w:customStyle="1" w:styleId="3191">
    <w:name w:val="表中文字22"/>
    <w:basedOn w:val="1"/>
    <w:autoRedefine/>
    <w:qFormat/>
    <w:uiPriority w:val="0"/>
    <w:pPr>
      <w:widowControl/>
      <w:adjustRightInd w:val="0"/>
      <w:spacing w:line="240" w:lineRule="atLeast"/>
      <w:ind w:right="-42" w:rightChars="-20"/>
      <w:jc w:val="center"/>
      <w:textAlignment w:val="baseline"/>
    </w:pPr>
    <w:rPr>
      <w:rFonts w:ascii="宋体"/>
      <w:kern w:val="0"/>
      <w:szCs w:val="21"/>
    </w:rPr>
  </w:style>
  <w:style w:type="paragraph" w:customStyle="1" w:styleId="3192">
    <w:name w:val="Char Char1 Char2"/>
    <w:basedOn w:val="1"/>
    <w:autoRedefine/>
    <w:qFormat/>
    <w:uiPriority w:val="0"/>
    <w:rPr>
      <w:szCs w:val="21"/>
    </w:rPr>
  </w:style>
  <w:style w:type="paragraph" w:customStyle="1" w:styleId="3193">
    <w:name w:val="正文缩进5"/>
    <w:basedOn w:val="1"/>
    <w:autoRedefine/>
    <w:qFormat/>
    <w:uiPriority w:val="99"/>
    <w:pPr>
      <w:adjustRightInd w:val="0"/>
      <w:ind w:firstLine="420" w:firstLineChars="200"/>
      <w:textAlignment w:val="baseline"/>
    </w:pPr>
    <w:rPr>
      <w:rFonts w:hint="eastAsia" w:hAnsi="宋体"/>
      <w:sz w:val="24"/>
      <w:szCs w:val="20"/>
    </w:rPr>
  </w:style>
  <w:style w:type="paragraph" w:customStyle="1" w:styleId="3194">
    <w:name w:val="正文修改22"/>
    <w:basedOn w:val="193"/>
    <w:autoRedefine/>
    <w:qFormat/>
    <w:uiPriority w:val="0"/>
    <w:rPr>
      <w:rFonts w:hAnsi="宋体"/>
      <w:color w:val="000000"/>
    </w:rPr>
  </w:style>
  <w:style w:type="paragraph" w:customStyle="1" w:styleId="3195">
    <w:name w:val="Char Char Char Char Char Char Char Char Char Char Char Char Char Char Char Char Char Char Char Char Char Char2"/>
    <w:basedOn w:val="1"/>
    <w:autoRedefine/>
    <w:qFormat/>
    <w:uiPriority w:val="39"/>
    <w:rPr>
      <w:sz w:val="24"/>
    </w:rPr>
  </w:style>
  <w:style w:type="paragraph" w:customStyle="1" w:styleId="3196">
    <w:name w:val="表内5中111"/>
    <w:basedOn w:val="1"/>
    <w:autoRedefine/>
    <w:qFormat/>
    <w:uiPriority w:val="0"/>
    <w:pPr>
      <w:adjustRightInd w:val="0"/>
      <w:snapToGrid w:val="0"/>
      <w:jc w:val="center"/>
    </w:pPr>
    <w:rPr>
      <w:rFonts w:ascii="宋体" w:hAnsi="宋体" w:cs="Arial"/>
      <w:snapToGrid w:val="0"/>
      <w:color w:val="000000"/>
      <w:szCs w:val="21"/>
    </w:rPr>
  </w:style>
  <w:style w:type="paragraph" w:customStyle="1" w:styleId="3197">
    <w:name w:val="正文格式101"/>
    <w:basedOn w:val="1"/>
    <w:autoRedefine/>
    <w:qFormat/>
    <w:uiPriority w:val="0"/>
    <w:pPr>
      <w:spacing w:line="360" w:lineRule="auto"/>
      <w:ind w:firstLine="482"/>
    </w:pPr>
    <w:rPr>
      <w:rFonts w:ascii="宋体" w:hAnsi="宋体"/>
      <w:sz w:val="24"/>
    </w:rPr>
  </w:style>
  <w:style w:type="paragraph" w:customStyle="1" w:styleId="3198">
    <w:name w:val="表题162"/>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199">
    <w:name w:val="Char Char Char Char Char Char Char25"/>
    <w:basedOn w:val="1"/>
    <w:autoRedefine/>
    <w:qFormat/>
    <w:uiPriority w:val="0"/>
  </w:style>
  <w:style w:type="paragraph" w:customStyle="1" w:styleId="3200">
    <w:name w:val="Char Char2 Char Char Char Char1111"/>
    <w:basedOn w:val="1"/>
    <w:autoRedefine/>
    <w:qFormat/>
    <w:uiPriority w:val="0"/>
  </w:style>
  <w:style w:type="paragraph" w:customStyle="1" w:styleId="3201">
    <w:name w:val="表内5912"/>
    <w:basedOn w:val="1"/>
    <w:autoRedefine/>
    <w:qFormat/>
    <w:uiPriority w:val="0"/>
    <w:pPr>
      <w:adjustRightInd w:val="0"/>
      <w:snapToGrid w:val="0"/>
      <w:spacing w:line="300" w:lineRule="auto"/>
      <w:jc w:val="center"/>
    </w:pPr>
    <w:rPr>
      <w:rFonts w:ascii="宋体"/>
      <w:snapToGrid w:val="0"/>
      <w:szCs w:val="21"/>
    </w:rPr>
  </w:style>
  <w:style w:type="paragraph" w:customStyle="1" w:styleId="3202">
    <w:name w:val="默认段落字体 Para Char Char Char Char212"/>
    <w:basedOn w:val="1"/>
    <w:autoRedefine/>
    <w:qFormat/>
    <w:uiPriority w:val="0"/>
  </w:style>
  <w:style w:type="paragraph" w:customStyle="1" w:styleId="3203">
    <w:name w:val="表内宋53"/>
    <w:basedOn w:val="1719"/>
    <w:autoRedefine/>
    <w:qFormat/>
    <w:uiPriority w:val="0"/>
    <w:pPr>
      <w:widowControl/>
      <w:autoSpaceDE w:val="0"/>
      <w:autoSpaceDN w:val="0"/>
      <w:jc w:val="left"/>
      <w:textAlignment w:val="auto"/>
    </w:pPr>
    <w:rPr>
      <w:color w:val="auto"/>
      <w:w w:val="90"/>
    </w:rPr>
  </w:style>
  <w:style w:type="paragraph" w:customStyle="1" w:styleId="3204">
    <w:name w:val="正文斜体11"/>
    <w:basedOn w:val="418"/>
    <w:next w:val="418"/>
    <w:autoRedefine/>
    <w:qFormat/>
    <w:uiPriority w:val="0"/>
    <w:rPr>
      <w:rFonts w:ascii="宋体" w:hAnsi="宋体"/>
      <w:b w:val="0"/>
      <w:i/>
      <w:iCs/>
      <w:spacing w:val="0"/>
      <w:sz w:val="24"/>
      <w:szCs w:val="24"/>
    </w:rPr>
  </w:style>
  <w:style w:type="paragraph" w:customStyle="1" w:styleId="3205">
    <w:name w:val="图题41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206">
    <w:name w:val="表格内容2"/>
    <w:autoRedefine/>
    <w:qFormat/>
    <w:uiPriority w:val="0"/>
    <w:pPr>
      <w:jc w:val="center"/>
    </w:pPr>
    <w:rPr>
      <w:rFonts w:ascii="Times New Roman" w:hAnsi="Times New Roman" w:eastAsia="宋体" w:cs="Times New Roman"/>
      <w:kern w:val="2"/>
      <w:sz w:val="21"/>
      <w:szCs w:val="21"/>
      <w:lang w:val="en-US" w:eastAsia="zh-CN" w:bidi="ar-SA"/>
    </w:rPr>
  </w:style>
  <w:style w:type="paragraph" w:customStyle="1" w:styleId="3207">
    <w:name w:val="表内文字小31112"/>
    <w:basedOn w:val="1"/>
    <w:autoRedefine/>
    <w:qFormat/>
    <w:uiPriority w:val="0"/>
    <w:pPr>
      <w:adjustRightInd w:val="0"/>
      <w:snapToGrid w:val="0"/>
      <w:jc w:val="center"/>
    </w:pPr>
    <w:rPr>
      <w:rFonts w:ascii="宋体" w:hAnsi="Times" w:cs="宋体"/>
      <w:bCs/>
      <w:color w:val="003366"/>
      <w:szCs w:val="20"/>
    </w:rPr>
  </w:style>
  <w:style w:type="paragraph" w:customStyle="1" w:styleId="3208">
    <w:name w:val="Char Char Char Char Char Char Char Char Char Char Char Char Char Char Char Char Char Char Char Char Char Char Char Char Char Char Char Char2"/>
    <w:basedOn w:val="1"/>
    <w:autoRedefine/>
    <w:qFormat/>
    <w:uiPriority w:val="39"/>
    <w:rPr>
      <w:sz w:val="24"/>
    </w:rPr>
  </w:style>
  <w:style w:type="paragraph" w:customStyle="1" w:styleId="3209">
    <w:name w:val="标题43111"/>
    <w:basedOn w:val="1"/>
    <w:autoRedefine/>
    <w:qFormat/>
    <w:uiPriority w:val="0"/>
    <w:pPr>
      <w:adjustRightInd w:val="0"/>
      <w:snapToGrid w:val="0"/>
      <w:spacing w:line="480" w:lineRule="exact"/>
      <w:jc w:val="center"/>
    </w:pPr>
    <w:rPr>
      <w:rFonts w:ascii="宋体" w:hAnsi="宋体" w:cs="宋体"/>
      <w:sz w:val="24"/>
    </w:rPr>
  </w:style>
  <w:style w:type="paragraph" w:customStyle="1" w:styleId="3210">
    <w:name w:val="黑体三号44"/>
    <w:basedOn w:val="418"/>
    <w:autoRedefine/>
    <w:qFormat/>
    <w:uiPriority w:val="0"/>
    <w:pPr>
      <w:jc w:val="center"/>
    </w:pPr>
    <w:rPr>
      <w:rFonts w:ascii="黑体" w:hAnsi="宋体" w:eastAsia="黑体" w:cs="宋体"/>
      <w:bCs/>
      <w:spacing w:val="0"/>
      <w:sz w:val="32"/>
    </w:rPr>
  </w:style>
  <w:style w:type="paragraph" w:customStyle="1" w:styleId="3211">
    <w:name w:val="默认段落字体 Para Char12"/>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212">
    <w:name w:val="Char434"/>
    <w:basedOn w:val="1"/>
    <w:autoRedefine/>
    <w:qFormat/>
    <w:uiPriority w:val="0"/>
    <w:rPr>
      <w:sz w:val="24"/>
    </w:rPr>
  </w:style>
  <w:style w:type="paragraph" w:customStyle="1" w:styleId="3213">
    <w:name w:val="表内文字小2212"/>
    <w:basedOn w:val="1"/>
    <w:autoRedefine/>
    <w:qFormat/>
    <w:uiPriority w:val="0"/>
    <w:pPr>
      <w:adjustRightInd w:val="0"/>
      <w:snapToGrid w:val="0"/>
      <w:jc w:val="center"/>
    </w:pPr>
    <w:rPr>
      <w:rFonts w:ascii="宋体" w:hAnsi="Times"/>
      <w:bCs/>
      <w:color w:val="000000"/>
      <w:szCs w:val="20"/>
    </w:rPr>
  </w:style>
  <w:style w:type="paragraph" w:customStyle="1" w:styleId="3214">
    <w:name w:val="Char Char Char Char Char Char Char15"/>
    <w:basedOn w:val="1"/>
    <w:autoRedefine/>
    <w:qFormat/>
    <w:uiPriority w:val="0"/>
    <w:rPr>
      <w:szCs w:val="20"/>
    </w:rPr>
  </w:style>
  <w:style w:type="paragraph" w:customStyle="1" w:styleId="3215">
    <w:name w:val="正文文本缩进 22"/>
    <w:basedOn w:val="1"/>
    <w:autoRedefine/>
    <w:qFormat/>
    <w:uiPriority w:val="39"/>
    <w:pPr>
      <w:adjustRightInd w:val="0"/>
      <w:spacing w:line="480" w:lineRule="atLeast"/>
      <w:ind w:firstLine="630"/>
      <w:textAlignment w:val="baseline"/>
    </w:pPr>
    <w:rPr>
      <w:rFonts w:ascii="宋体"/>
      <w:sz w:val="28"/>
      <w:szCs w:val="20"/>
    </w:rPr>
  </w:style>
  <w:style w:type="paragraph" w:customStyle="1" w:styleId="3216">
    <w:name w:val="Char112"/>
    <w:basedOn w:val="1"/>
    <w:autoRedefine/>
    <w:qFormat/>
    <w:uiPriority w:val="0"/>
    <w:pPr>
      <w:ind w:left="-48"/>
    </w:pPr>
  </w:style>
  <w:style w:type="paragraph" w:customStyle="1" w:styleId="3217">
    <w:name w:val="图题21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218">
    <w:name w:val="默认段落字体 Para Char Char Char Char Char3"/>
    <w:basedOn w:val="1"/>
    <w:autoRedefine/>
    <w:qFormat/>
    <w:uiPriority w:val="0"/>
  </w:style>
  <w:style w:type="paragraph" w:customStyle="1" w:styleId="3219">
    <w:name w:val="正文格式＝71"/>
    <w:basedOn w:val="418"/>
    <w:next w:val="418"/>
    <w:autoRedefine/>
    <w:qFormat/>
    <w:uiPriority w:val="0"/>
    <w:rPr>
      <w:rFonts w:ascii="宋体" w:hAnsi="宋体"/>
      <w:b w:val="0"/>
      <w:spacing w:val="0"/>
      <w:sz w:val="24"/>
      <w:szCs w:val="24"/>
    </w:rPr>
  </w:style>
  <w:style w:type="paragraph" w:customStyle="1" w:styleId="3220">
    <w:name w:val="reader-word-layer reader-word-s3-7"/>
    <w:basedOn w:val="1"/>
    <w:autoRedefine/>
    <w:qFormat/>
    <w:uiPriority w:val="99"/>
    <w:pPr>
      <w:widowControl/>
      <w:spacing w:before="100" w:beforeAutospacing="1" w:after="100" w:afterAutospacing="1"/>
      <w:jc w:val="left"/>
    </w:pPr>
    <w:rPr>
      <w:rFonts w:ascii="宋体" w:hAnsi="宋体" w:cs="宋体"/>
      <w:kern w:val="0"/>
      <w:sz w:val="24"/>
    </w:rPr>
  </w:style>
  <w:style w:type="paragraph" w:customStyle="1" w:styleId="3221">
    <w:name w:val="正文格式＝212"/>
    <w:basedOn w:val="418"/>
    <w:next w:val="418"/>
    <w:autoRedefine/>
    <w:qFormat/>
    <w:uiPriority w:val="0"/>
    <w:rPr>
      <w:rFonts w:ascii="宋体" w:hAnsi="宋体"/>
      <w:b w:val="0"/>
      <w:spacing w:val="0"/>
      <w:sz w:val="24"/>
      <w:szCs w:val="24"/>
    </w:rPr>
  </w:style>
  <w:style w:type="paragraph" w:customStyle="1" w:styleId="3222">
    <w:name w:val="reader-word-layer reader-word-s3-9"/>
    <w:basedOn w:val="1"/>
    <w:autoRedefine/>
    <w:qFormat/>
    <w:uiPriority w:val="99"/>
    <w:pPr>
      <w:widowControl/>
      <w:spacing w:before="100" w:beforeAutospacing="1" w:after="100" w:afterAutospacing="1"/>
      <w:jc w:val="left"/>
    </w:pPr>
    <w:rPr>
      <w:rFonts w:ascii="宋体" w:hAnsi="宋体" w:cs="宋体"/>
      <w:kern w:val="0"/>
      <w:sz w:val="24"/>
    </w:rPr>
  </w:style>
  <w:style w:type="paragraph" w:customStyle="1" w:styleId="3223">
    <w:name w:val="表格内字体64"/>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224">
    <w:name w:val="表题1112"/>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3225">
    <w:name w:val="表文字542"/>
    <w:basedOn w:val="1"/>
    <w:autoRedefine/>
    <w:qFormat/>
    <w:uiPriority w:val="0"/>
    <w:pPr>
      <w:adjustRightInd w:val="0"/>
      <w:jc w:val="left"/>
      <w:textAlignment w:val="baseline"/>
    </w:pPr>
    <w:rPr>
      <w:rFonts w:ascii="宋体"/>
      <w:kern w:val="0"/>
      <w:szCs w:val="20"/>
    </w:rPr>
  </w:style>
  <w:style w:type="paragraph" w:customStyle="1" w:styleId="3226">
    <w:name w:val="Char512"/>
    <w:basedOn w:val="1"/>
    <w:autoRedefine/>
    <w:qFormat/>
    <w:uiPriority w:val="0"/>
    <w:pPr>
      <w:adjustRightInd w:val="0"/>
      <w:snapToGrid w:val="0"/>
      <w:ind w:left="-45"/>
    </w:pPr>
  </w:style>
  <w:style w:type="paragraph" w:customStyle="1" w:styleId="3227">
    <w:name w:val="表题18"/>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228">
    <w:name w:val="表内541411"/>
    <w:basedOn w:val="1"/>
    <w:autoRedefine/>
    <w:qFormat/>
    <w:uiPriority w:val="0"/>
    <w:pPr>
      <w:adjustRightInd w:val="0"/>
      <w:snapToGrid w:val="0"/>
      <w:spacing w:line="300" w:lineRule="auto"/>
      <w:jc w:val="center"/>
    </w:pPr>
    <w:rPr>
      <w:rFonts w:ascii="宋体" w:hAnsi="宋体" w:cs="宋体"/>
      <w:szCs w:val="20"/>
    </w:rPr>
  </w:style>
  <w:style w:type="paragraph" w:customStyle="1" w:styleId="3229">
    <w:name w:val="表题11112"/>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3230">
    <w:name w:val="正文文本缩进5"/>
    <w:basedOn w:val="1"/>
    <w:autoRedefine/>
    <w:qFormat/>
    <w:uiPriority w:val="39"/>
    <w:pPr>
      <w:spacing w:after="120" w:line="360" w:lineRule="auto"/>
      <w:ind w:left="420" w:leftChars="200" w:firstLine="200" w:firstLineChars="200"/>
    </w:pPr>
    <w:rPr>
      <w:sz w:val="24"/>
    </w:rPr>
  </w:style>
  <w:style w:type="paragraph" w:customStyle="1" w:styleId="3231">
    <w:name w:val="表312"/>
    <w:basedOn w:val="1"/>
    <w:autoRedefine/>
    <w:qFormat/>
    <w:uiPriority w:val="0"/>
    <w:pPr>
      <w:adjustRightInd w:val="0"/>
      <w:snapToGrid w:val="0"/>
      <w:jc w:val="center"/>
    </w:pPr>
    <w:rPr>
      <w:rFonts w:eastAsia="仿宋_GB2312"/>
      <w:sz w:val="24"/>
    </w:rPr>
  </w:style>
  <w:style w:type="paragraph" w:customStyle="1" w:styleId="3232">
    <w:name w:val="layer4"/>
    <w:basedOn w:val="9"/>
    <w:next w:val="9"/>
    <w:autoRedefine/>
    <w:qFormat/>
    <w:uiPriority w:val="99"/>
    <w:pPr>
      <w:tabs>
        <w:tab w:val="left" w:pos="1440"/>
      </w:tabs>
      <w:spacing w:before="120" w:after="120" w:line="300" w:lineRule="auto"/>
      <w:ind w:left="851" w:hanging="851" w:firstLineChars="0"/>
    </w:pPr>
    <w:rPr>
      <w:rFonts w:ascii="Arial" w:hAnsi="Arial" w:eastAsia="楷体_GB2312"/>
      <w:kern w:val="0"/>
      <w:sz w:val="30"/>
      <w:lang w:val="en-US"/>
    </w:rPr>
  </w:style>
  <w:style w:type="paragraph" w:customStyle="1" w:styleId="3233">
    <w:name w:val="表112"/>
    <w:basedOn w:val="1"/>
    <w:autoRedefine/>
    <w:qFormat/>
    <w:uiPriority w:val="0"/>
    <w:pPr>
      <w:adjustRightInd w:val="0"/>
      <w:snapToGrid w:val="0"/>
      <w:jc w:val="center"/>
    </w:pPr>
    <w:rPr>
      <w:rFonts w:eastAsia="仿宋_GB2312"/>
      <w:sz w:val="24"/>
    </w:rPr>
  </w:style>
  <w:style w:type="paragraph" w:customStyle="1" w:styleId="3234">
    <w:name w:val="表内541211"/>
    <w:basedOn w:val="1"/>
    <w:autoRedefine/>
    <w:qFormat/>
    <w:uiPriority w:val="0"/>
    <w:pPr>
      <w:adjustRightInd w:val="0"/>
      <w:snapToGrid w:val="0"/>
      <w:spacing w:line="300" w:lineRule="auto"/>
      <w:jc w:val="center"/>
    </w:pPr>
    <w:rPr>
      <w:rFonts w:ascii="宋体" w:hAnsi="宋体" w:cs="宋体"/>
      <w:szCs w:val="20"/>
    </w:rPr>
  </w:style>
  <w:style w:type="paragraph" w:customStyle="1" w:styleId="3235">
    <w:name w:val="正文修改212"/>
    <w:basedOn w:val="193"/>
    <w:autoRedefine/>
    <w:qFormat/>
    <w:uiPriority w:val="0"/>
    <w:rPr>
      <w:rFonts w:hAnsi="宋体"/>
      <w:color w:val="000000"/>
    </w:rPr>
  </w:style>
  <w:style w:type="paragraph" w:customStyle="1" w:styleId="3236">
    <w:name w:val="正文修改312"/>
    <w:basedOn w:val="193"/>
    <w:autoRedefine/>
    <w:qFormat/>
    <w:uiPriority w:val="0"/>
    <w:rPr>
      <w:rFonts w:hAnsi="宋体"/>
      <w:color w:val="000000"/>
    </w:rPr>
  </w:style>
  <w:style w:type="paragraph" w:customStyle="1" w:styleId="3237">
    <w:name w:val="样式 样式 题注 + 两端对齐 + 宋体"/>
    <w:basedOn w:val="1"/>
    <w:autoRedefine/>
    <w:qFormat/>
    <w:uiPriority w:val="0"/>
    <w:pPr>
      <w:keepNext/>
      <w:spacing w:line="360" w:lineRule="auto"/>
      <w:jc w:val="center"/>
    </w:pPr>
    <w:rPr>
      <w:rFonts w:ascii="宋体" w:hAnsi="宋体" w:eastAsia="仿宋_GB2312"/>
      <w:snapToGrid w:val="0"/>
      <w:kern w:val="0"/>
      <w:sz w:val="28"/>
      <w:szCs w:val="20"/>
    </w:rPr>
  </w:style>
  <w:style w:type="paragraph" w:customStyle="1" w:styleId="3238">
    <w:name w:val="文本框112"/>
    <w:basedOn w:val="1"/>
    <w:autoRedefine/>
    <w:qFormat/>
    <w:uiPriority w:val="0"/>
    <w:pPr>
      <w:adjustRightInd w:val="0"/>
      <w:snapToGrid w:val="0"/>
      <w:spacing w:after="6"/>
      <w:jc w:val="center"/>
    </w:pPr>
    <w:rPr>
      <w:rFonts w:eastAsia="仿宋_GB2312"/>
    </w:rPr>
  </w:style>
  <w:style w:type="paragraph" w:customStyle="1" w:styleId="3239">
    <w:name w:val="Char1011"/>
    <w:basedOn w:val="1"/>
    <w:autoRedefine/>
    <w:qFormat/>
    <w:uiPriority w:val="0"/>
    <w:pPr>
      <w:adjustRightInd w:val="0"/>
      <w:snapToGrid w:val="0"/>
      <w:spacing w:line="360" w:lineRule="auto"/>
    </w:pPr>
  </w:style>
  <w:style w:type="paragraph" w:customStyle="1" w:styleId="3240">
    <w:name w:val="图题8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241">
    <w:name w:val="23"/>
    <w:basedOn w:val="1"/>
    <w:next w:val="35"/>
    <w:autoRedefine/>
    <w:qFormat/>
    <w:uiPriority w:val="0"/>
    <w:pPr>
      <w:spacing w:line="500" w:lineRule="exact"/>
      <w:ind w:firstLine="560" w:firstLineChars="200"/>
    </w:pPr>
    <w:rPr>
      <w:rFonts w:ascii="仿宋_GB2312" w:eastAsia="仿宋_GB2312"/>
      <w:color w:val="FF0000"/>
      <w:sz w:val="28"/>
      <w:szCs w:val="20"/>
    </w:rPr>
  </w:style>
  <w:style w:type="paragraph" w:customStyle="1" w:styleId="3242">
    <w:name w:val="Char Char Char1 Char4"/>
    <w:basedOn w:val="1"/>
    <w:autoRedefine/>
    <w:qFormat/>
    <w:uiPriority w:val="39"/>
    <w:rPr>
      <w:szCs w:val="20"/>
    </w:rPr>
  </w:style>
  <w:style w:type="paragraph" w:customStyle="1" w:styleId="3243">
    <w:name w:val="表内文字小32"/>
    <w:basedOn w:val="1"/>
    <w:autoRedefine/>
    <w:qFormat/>
    <w:uiPriority w:val="0"/>
    <w:pPr>
      <w:adjustRightInd w:val="0"/>
      <w:snapToGrid w:val="0"/>
      <w:jc w:val="center"/>
    </w:pPr>
    <w:rPr>
      <w:rFonts w:ascii="宋体" w:hAnsi="Times"/>
      <w:szCs w:val="20"/>
    </w:rPr>
  </w:style>
  <w:style w:type="paragraph" w:customStyle="1" w:styleId="3244">
    <w:name w:val="正文格式＝312"/>
    <w:basedOn w:val="418"/>
    <w:next w:val="418"/>
    <w:autoRedefine/>
    <w:qFormat/>
    <w:uiPriority w:val="0"/>
    <w:rPr>
      <w:rFonts w:ascii="宋体" w:hAnsi="宋体"/>
      <w:b w:val="0"/>
      <w:spacing w:val="0"/>
      <w:sz w:val="24"/>
      <w:szCs w:val="24"/>
    </w:rPr>
  </w:style>
  <w:style w:type="paragraph" w:customStyle="1" w:styleId="3245">
    <w:name w:val="正文斜体3"/>
    <w:basedOn w:val="418"/>
    <w:next w:val="418"/>
    <w:autoRedefine/>
    <w:qFormat/>
    <w:uiPriority w:val="0"/>
    <w:rPr>
      <w:rFonts w:ascii="宋体" w:hAnsi="宋体"/>
      <w:b w:val="0"/>
      <w:i/>
      <w:iCs/>
      <w:spacing w:val="0"/>
      <w:sz w:val="24"/>
      <w:szCs w:val="24"/>
    </w:rPr>
  </w:style>
  <w:style w:type="paragraph" w:customStyle="1" w:styleId="3246">
    <w:name w:val="正文格式＝13"/>
    <w:basedOn w:val="418"/>
    <w:next w:val="418"/>
    <w:autoRedefine/>
    <w:qFormat/>
    <w:uiPriority w:val="0"/>
    <w:rPr>
      <w:rFonts w:ascii="宋体" w:hAnsi="宋体"/>
      <w:b w:val="0"/>
      <w:spacing w:val="0"/>
      <w:sz w:val="24"/>
      <w:szCs w:val="24"/>
    </w:rPr>
  </w:style>
  <w:style w:type="paragraph" w:customStyle="1" w:styleId="3247">
    <w:name w:val="表中文字212"/>
    <w:basedOn w:val="1"/>
    <w:autoRedefine/>
    <w:qFormat/>
    <w:uiPriority w:val="0"/>
    <w:pPr>
      <w:widowControl/>
      <w:adjustRightInd w:val="0"/>
      <w:spacing w:line="240" w:lineRule="atLeast"/>
      <w:ind w:right="-42" w:rightChars="-20"/>
      <w:jc w:val="center"/>
      <w:textAlignment w:val="baseline"/>
    </w:pPr>
    <w:rPr>
      <w:rFonts w:ascii="宋体"/>
      <w:kern w:val="0"/>
      <w:szCs w:val="21"/>
    </w:rPr>
  </w:style>
  <w:style w:type="paragraph" w:customStyle="1" w:styleId="3248">
    <w:name w:val="燕山正文43"/>
    <w:basedOn w:val="1"/>
    <w:autoRedefine/>
    <w:qFormat/>
    <w:uiPriority w:val="0"/>
    <w:pPr>
      <w:tabs>
        <w:tab w:val="left" w:pos="4680"/>
      </w:tabs>
      <w:adjustRightInd w:val="0"/>
      <w:snapToGrid w:val="0"/>
      <w:spacing w:line="480" w:lineRule="exact"/>
    </w:pPr>
    <w:rPr>
      <w:rFonts w:ascii="宋体" w:cs="宋体"/>
      <w:sz w:val="24"/>
    </w:rPr>
  </w:style>
  <w:style w:type="paragraph" w:customStyle="1" w:styleId="3249">
    <w:name w:val="proposal"/>
    <w:basedOn w:val="1"/>
    <w:autoRedefine/>
    <w:qFormat/>
    <w:uiPriority w:val="0"/>
    <w:pPr>
      <w:widowControl/>
      <w:autoSpaceDE w:val="0"/>
      <w:autoSpaceDN w:val="0"/>
      <w:spacing w:line="300" w:lineRule="auto"/>
      <w:ind w:left="1440" w:hanging="1440"/>
    </w:pPr>
    <w:rPr>
      <w:rFonts w:eastAsia="仿宋_GB2312"/>
      <w:kern w:val="0"/>
      <w:sz w:val="24"/>
      <w:lang w:val="en-GB" w:eastAsia="en-GB"/>
    </w:rPr>
  </w:style>
  <w:style w:type="paragraph" w:customStyle="1" w:styleId="3250">
    <w:name w:val="燕山正文11212"/>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3251">
    <w:name w:val="正文格式52"/>
    <w:basedOn w:val="1"/>
    <w:autoRedefine/>
    <w:qFormat/>
    <w:uiPriority w:val="0"/>
    <w:pPr>
      <w:spacing w:line="360" w:lineRule="auto"/>
      <w:ind w:firstLine="482"/>
    </w:pPr>
    <w:rPr>
      <w:rFonts w:ascii="宋体" w:hAnsi="宋体"/>
      <w:sz w:val="24"/>
    </w:rPr>
  </w:style>
  <w:style w:type="paragraph" w:customStyle="1" w:styleId="3252">
    <w:name w:val="表中文字112"/>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253">
    <w:name w:val="样式 样式 宋体 + 首行缩进:  2 字符112"/>
    <w:basedOn w:val="1"/>
    <w:autoRedefine/>
    <w:qFormat/>
    <w:uiPriority w:val="0"/>
    <w:pPr>
      <w:spacing w:line="360" w:lineRule="auto"/>
      <w:ind w:firstLine="480" w:firstLineChars="200"/>
      <w:jc w:val="left"/>
    </w:pPr>
    <w:rPr>
      <w:rFonts w:ascii="宋体" w:cs="宋体"/>
      <w:sz w:val="24"/>
    </w:rPr>
  </w:style>
  <w:style w:type="paragraph" w:customStyle="1" w:styleId="3254">
    <w:name w:val="列出段落6"/>
    <w:basedOn w:val="1"/>
    <w:autoRedefine/>
    <w:qFormat/>
    <w:uiPriority w:val="39"/>
    <w:pPr>
      <w:ind w:firstLine="420" w:firstLineChars="200"/>
    </w:pPr>
    <w:rPr>
      <w:szCs w:val="22"/>
    </w:rPr>
  </w:style>
  <w:style w:type="paragraph" w:customStyle="1" w:styleId="3255">
    <w:name w:val="居中正文"/>
    <w:basedOn w:val="86"/>
    <w:autoRedefine/>
    <w:qFormat/>
    <w:uiPriority w:val="99"/>
    <w:pPr>
      <w:adjustRightInd w:val="0"/>
      <w:spacing w:before="120" w:after="0" w:line="360" w:lineRule="auto"/>
      <w:ind w:firstLine="0" w:firstLineChars="0"/>
      <w:jc w:val="center"/>
    </w:pPr>
    <w:rPr>
      <w:rFonts w:ascii="宋体" w:hAnsi="Calibri"/>
      <w:kern w:val="28"/>
      <w:sz w:val="24"/>
      <w:szCs w:val="22"/>
    </w:rPr>
  </w:style>
  <w:style w:type="paragraph" w:customStyle="1" w:styleId="3256">
    <w:name w:val="正文2112"/>
    <w:autoRedefine/>
    <w:qFormat/>
    <w:uiPriority w:val="0"/>
    <w:pPr>
      <w:adjustRightInd w:val="0"/>
      <w:snapToGrid w:val="0"/>
      <w:spacing w:line="480" w:lineRule="atLeast"/>
      <w:jc w:val="center"/>
    </w:pPr>
    <w:rPr>
      <w:rFonts w:ascii="宋体" w:hAnsi="Times New Roman" w:eastAsia="宋体" w:cs="Times New Roman"/>
      <w:snapToGrid w:val="0"/>
      <w:spacing w:val="6"/>
      <w:sz w:val="21"/>
      <w:lang w:val="en-US" w:eastAsia="zh-CN" w:bidi="ar-SA"/>
    </w:rPr>
  </w:style>
  <w:style w:type="paragraph" w:customStyle="1" w:styleId="3257">
    <w:name w:val="Char115"/>
    <w:basedOn w:val="1"/>
    <w:autoRedefine/>
    <w:qFormat/>
    <w:uiPriority w:val="0"/>
    <w:pPr>
      <w:ind w:left="-48"/>
    </w:pPr>
  </w:style>
  <w:style w:type="paragraph" w:customStyle="1" w:styleId="3258">
    <w:name w:val="燕山正文1132"/>
    <w:basedOn w:val="1"/>
    <w:autoRedefine/>
    <w:qFormat/>
    <w:uiPriority w:val="0"/>
    <w:pPr>
      <w:tabs>
        <w:tab w:val="left" w:pos="4680"/>
      </w:tabs>
      <w:adjustRightInd w:val="0"/>
      <w:snapToGrid w:val="0"/>
      <w:spacing w:line="360" w:lineRule="auto"/>
      <w:ind w:firstLine="480" w:firstLineChars="200"/>
    </w:pPr>
    <w:rPr>
      <w:rFonts w:ascii="宋体" w:hAnsi="宋体" w:cs="宋体"/>
      <w:bCs/>
      <w:snapToGrid w:val="0"/>
      <w:color w:val="000000"/>
      <w:kern w:val="0"/>
      <w:sz w:val="24"/>
    </w:rPr>
  </w:style>
  <w:style w:type="paragraph" w:customStyle="1" w:styleId="3259">
    <w:name w:val="表格内字体31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260">
    <w:name w:val="33333333333333"/>
    <w:basedOn w:val="5"/>
    <w:next w:val="1"/>
    <w:autoRedefine/>
    <w:qFormat/>
    <w:uiPriority w:val="99"/>
    <w:pPr>
      <w:adjustRightInd w:val="0"/>
      <w:snapToGrid w:val="0"/>
      <w:spacing w:beforeLines="50" w:afterLines="50" w:line="500" w:lineRule="exact"/>
    </w:pPr>
    <w:rPr>
      <w:rFonts w:ascii="仿宋_GB2312" w:eastAsia="仿宋_GB2312"/>
      <w:b w:val="0"/>
      <w:bCs w:val="0"/>
      <w:kern w:val="0"/>
      <w:sz w:val="28"/>
      <w:szCs w:val="28"/>
      <w:lang w:val="en-US"/>
    </w:rPr>
  </w:style>
  <w:style w:type="paragraph" w:customStyle="1" w:styleId="3261">
    <w:name w:val="样式44"/>
    <w:basedOn w:val="34"/>
    <w:autoRedefine/>
    <w:qFormat/>
    <w:uiPriority w:val="0"/>
    <w:pPr>
      <w:widowControl w:val="0"/>
      <w:snapToGrid/>
      <w:spacing w:before="0" w:after="120" w:line="240" w:lineRule="auto"/>
      <w:ind w:right="0"/>
    </w:pPr>
    <w:rPr>
      <w:sz w:val="20"/>
      <w:szCs w:val="24"/>
      <w:lang w:val="en-US"/>
    </w:rPr>
  </w:style>
  <w:style w:type="paragraph" w:customStyle="1" w:styleId="3262">
    <w:name w:val="表内宋5中5"/>
    <w:basedOn w:val="1"/>
    <w:autoRedefine/>
    <w:qFormat/>
    <w:uiPriority w:val="0"/>
    <w:pPr>
      <w:adjustRightInd w:val="0"/>
      <w:snapToGrid w:val="0"/>
      <w:textAlignment w:val="baseline"/>
    </w:pPr>
    <w:rPr>
      <w:color w:val="000000"/>
      <w:kern w:val="0"/>
      <w:szCs w:val="20"/>
    </w:rPr>
  </w:style>
  <w:style w:type="paragraph" w:customStyle="1" w:styleId="3263">
    <w:name w:val="Char Char Char Char Char Char Char Char Char1 Char Char Char1 Char2"/>
    <w:basedOn w:val="1"/>
    <w:autoRedefine/>
    <w:qFormat/>
    <w:uiPriority w:val="39"/>
    <w:pPr>
      <w:spacing w:line="360" w:lineRule="auto"/>
      <w:ind w:firstLine="200" w:firstLineChars="200"/>
    </w:pPr>
    <w:rPr>
      <w:rFonts w:ascii="宋体" w:hAnsi="宋体" w:cs="宋体"/>
      <w:sz w:val="24"/>
    </w:rPr>
  </w:style>
  <w:style w:type="paragraph" w:customStyle="1" w:styleId="3264">
    <w:name w:val="Char1 Char Char Char4"/>
    <w:basedOn w:val="1"/>
    <w:autoRedefine/>
    <w:qFormat/>
    <w:uiPriority w:val="39"/>
  </w:style>
  <w:style w:type="paragraph" w:customStyle="1" w:styleId="3265">
    <w:name w:val="表中文字9"/>
    <w:basedOn w:val="1"/>
    <w:autoRedefine/>
    <w:qFormat/>
    <w:uiPriority w:val="0"/>
    <w:pPr>
      <w:widowControl/>
      <w:adjustRightInd w:val="0"/>
      <w:spacing w:line="240" w:lineRule="atLeast"/>
      <w:ind w:right="-42" w:rightChars="-20"/>
      <w:jc w:val="center"/>
      <w:textAlignment w:val="baseline"/>
    </w:pPr>
    <w:rPr>
      <w:rFonts w:ascii="宋体"/>
      <w:kern w:val="0"/>
      <w:szCs w:val="21"/>
    </w:rPr>
  </w:style>
  <w:style w:type="paragraph" w:customStyle="1" w:styleId="3266">
    <w:name w:val="表内5112"/>
    <w:basedOn w:val="1"/>
    <w:autoRedefine/>
    <w:qFormat/>
    <w:uiPriority w:val="0"/>
    <w:pPr>
      <w:adjustRightInd w:val="0"/>
      <w:snapToGrid w:val="0"/>
      <w:jc w:val="center"/>
    </w:pPr>
    <w:rPr>
      <w:rFonts w:ascii="宋体" w:hAnsi="宋体"/>
      <w:kern w:val="0"/>
      <w:sz w:val="20"/>
      <w:szCs w:val="20"/>
    </w:rPr>
  </w:style>
  <w:style w:type="paragraph" w:customStyle="1" w:styleId="3267">
    <w:name w:val="Fax Header3"/>
    <w:basedOn w:val="1"/>
    <w:autoRedefine/>
    <w:qFormat/>
    <w:uiPriority w:val="0"/>
    <w:pPr>
      <w:widowControl/>
      <w:spacing w:before="240" w:after="60"/>
      <w:jc w:val="left"/>
    </w:pPr>
    <w:rPr>
      <w:kern w:val="0"/>
      <w:sz w:val="20"/>
      <w:szCs w:val="20"/>
    </w:rPr>
  </w:style>
  <w:style w:type="paragraph" w:customStyle="1" w:styleId="3268">
    <w:name w:val="Char712"/>
    <w:basedOn w:val="1"/>
    <w:autoRedefine/>
    <w:qFormat/>
    <w:uiPriority w:val="0"/>
    <w:pPr>
      <w:ind w:left="-48"/>
    </w:pPr>
  </w:style>
  <w:style w:type="paragraph" w:customStyle="1" w:styleId="3269">
    <w:name w:val="样式23"/>
    <w:basedOn w:val="1"/>
    <w:autoRedefine/>
    <w:qFormat/>
    <w:uiPriority w:val="0"/>
    <w:pPr>
      <w:adjustRightInd w:val="0"/>
      <w:spacing w:line="360" w:lineRule="auto"/>
      <w:jc w:val="center"/>
      <w:textAlignment w:val="baseline"/>
      <w:outlineLvl w:val="0"/>
    </w:pPr>
    <w:rPr>
      <w:kern w:val="0"/>
      <w:szCs w:val="20"/>
    </w:rPr>
  </w:style>
  <w:style w:type="paragraph" w:customStyle="1" w:styleId="3270">
    <w:name w:val="表内541312"/>
    <w:basedOn w:val="1"/>
    <w:autoRedefine/>
    <w:qFormat/>
    <w:uiPriority w:val="0"/>
    <w:pPr>
      <w:adjustRightInd w:val="0"/>
      <w:snapToGrid w:val="0"/>
      <w:spacing w:line="300" w:lineRule="auto"/>
      <w:jc w:val="center"/>
    </w:pPr>
    <w:rPr>
      <w:rFonts w:ascii="宋体" w:hAnsi="宋体" w:cs="宋体"/>
      <w:szCs w:val="20"/>
    </w:rPr>
  </w:style>
  <w:style w:type="paragraph" w:customStyle="1" w:styleId="3271">
    <w:name w:val="Char4311"/>
    <w:basedOn w:val="1"/>
    <w:autoRedefine/>
    <w:qFormat/>
    <w:uiPriority w:val="0"/>
    <w:pPr>
      <w:ind w:left="-48"/>
    </w:pPr>
  </w:style>
  <w:style w:type="paragraph" w:customStyle="1" w:styleId="3272">
    <w:name w:val="表中文字121"/>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273">
    <w:name w:val="正文格式＝10"/>
    <w:basedOn w:val="418"/>
    <w:next w:val="418"/>
    <w:autoRedefine/>
    <w:qFormat/>
    <w:uiPriority w:val="0"/>
    <w:rPr>
      <w:rFonts w:ascii="宋体" w:hAnsi="宋体"/>
      <w:b w:val="0"/>
      <w:spacing w:val="0"/>
      <w:sz w:val="24"/>
      <w:szCs w:val="24"/>
    </w:rPr>
  </w:style>
  <w:style w:type="paragraph" w:customStyle="1" w:styleId="3274">
    <w:name w:val="正文格式821"/>
    <w:basedOn w:val="1"/>
    <w:autoRedefine/>
    <w:qFormat/>
    <w:uiPriority w:val="0"/>
    <w:pPr>
      <w:spacing w:line="360" w:lineRule="auto"/>
      <w:ind w:firstLine="482"/>
    </w:pPr>
    <w:rPr>
      <w:rFonts w:ascii="宋体" w:hAnsi="宋体"/>
      <w:sz w:val="24"/>
    </w:rPr>
  </w:style>
  <w:style w:type="paragraph" w:customStyle="1" w:styleId="3275">
    <w:name w:val="表题161"/>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276">
    <w:name w:val="Char Char2 Char Char Char Char9"/>
    <w:basedOn w:val="1"/>
    <w:autoRedefine/>
    <w:qFormat/>
    <w:uiPriority w:val="0"/>
  </w:style>
  <w:style w:type="paragraph" w:customStyle="1" w:styleId="3277">
    <w:name w:val="Char162"/>
    <w:basedOn w:val="1"/>
    <w:autoRedefine/>
    <w:qFormat/>
    <w:uiPriority w:val="0"/>
    <w:pPr>
      <w:ind w:left="-48"/>
    </w:pPr>
  </w:style>
  <w:style w:type="paragraph" w:customStyle="1" w:styleId="3278">
    <w:name w:val="表格内字体1112"/>
    <w:basedOn w:val="418"/>
    <w:autoRedefine/>
    <w:qFormat/>
    <w:uiPriority w:val="0"/>
    <w:pPr>
      <w:spacing w:line="240" w:lineRule="auto"/>
      <w:ind w:firstLine="0"/>
      <w:jc w:val="center"/>
    </w:pPr>
    <w:rPr>
      <w:rFonts w:ascii="宋体" w:hAnsi="Times New Roman" w:cs="宋体"/>
      <w:b w:val="0"/>
      <w:spacing w:val="0"/>
    </w:rPr>
  </w:style>
  <w:style w:type="paragraph" w:customStyle="1" w:styleId="3279">
    <w:name w:val="22"/>
    <w:basedOn w:val="1"/>
    <w:next w:val="35"/>
    <w:autoRedefine/>
    <w:qFormat/>
    <w:uiPriority w:val="0"/>
    <w:pPr>
      <w:spacing w:line="500" w:lineRule="exact"/>
      <w:ind w:firstLine="560" w:firstLineChars="200"/>
    </w:pPr>
    <w:rPr>
      <w:rFonts w:ascii="仿宋_GB2312" w:eastAsia="仿宋_GB2312"/>
      <w:color w:val="FF0000"/>
      <w:sz w:val="28"/>
      <w:szCs w:val="20"/>
    </w:rPr>
  </w:style>
  <w:style w:type="paragraph" w:customStyle="1" w:styleId="3280">
    <w:name w:val="Char612"/>
    <w:basedOn w:val="1"/>
    <w:autoRedefine/>
    <w:qFormat/>
    <w:uiPriority w:val="0"/>
    <w:pPr>
      <w:adjustRightInd w:val="0"/>
      <w:snapToGrid w:val="0"/>
      <w:spacing w:beforeLines="50" w:line="360" w:lineRule="auto"/>
    </w:pPr>
    <w:rPr>
      <w:rFonts w:ascii="黑体" w:eastAsia="黑体"/>
      <w:sz w:val="32"/>
      <w:szCs w:val="32"/>
    </w:rPr>
  </w:style>
  <w:style w:type="paragraph" w:customStyle="1" w:styleId="3281">
    <w:name w:val="表内文字小21312"/>
    <w:basedOn w:val="1"/>
    <w:autoRedefine/>
    <w:qFormat/>
    <w:uiPriority w:val="0"/>
    <w:pPr>
      <w:adjustRightInd w:val="0"/>
      <w:snapToGrid w:val="0"/>
      <w:jc w:val="center"/>
      <w:textAlignment w:val="baseline"/>
    </w:pPr>
    <w:rPr>
      <w:rFonts w:ascii="宋体" w:hAnsi="Times"/>
      <w:bCs/>
      <w:color w:val="000000"/>
      <w:szCs w:val="20"/>
    </w:rPr>
  </w:style>
  <w:style w:type="paragraph" w:customStyle="1" w:styleId="3282">
    <w:name w:val="Char314"/>
    <w:basedOn w:val="1"/>
    <w:autoRedefine/>
    <w:qFormat/>
    <w:uiPriority w:val="0"/>
    <w:rPr>
      <w:sz w:val="24"/>
    </w:rPr>
  </w:style>
  <w:style w:type="paragraph" w:customStyle="1" w:styleId="3283">
    <w:name w:val="默认段落字体 Para Char51"/>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284">
    <w:name w:val="表格内字体61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285">
    <w:name w:val="表格内字体52"/>
    <w:basedOn w:val="418"/>
    <w:next w:val="418"/>
    <w:autoRedefine/>
    <w:qFormat/>
    <w:uiPriority w:val="0"/>
    <w:pPr>
      <w:adjustRightInd w:val="0"/>
      <w:snapToGrid w:val="0"/>
      <w:spacing w:line="240" w:lineRule="auto"/>
      <w:ind w:firstLine="0"/>
    </w:pPr>
    <w:rPr>
      <w:rFonts w:ascii="宋体" w:hAnsi="宋体"/>
      <w:b w:val="0"/>
      <w:spacing w:val="0"/>
      <w:szCs w:val="24"/>
    </w:rPr>
  </w:style>
  <w:style w:type="paragraph" w:customStyle="1" w:styleId="3286">
    <w:name w:val="表内5321"/>
    <w:basedOn w:val="1"/>
    <w:autoRedefine/>
    <w:qFormat/>
    <w:uiPriority w:val="0"/>
    <w:pPr>
      <w:adjustRightInd w:val="0"/>
      <w:snapToGrid w:val="0"/>
      <w:spacing w:line="300" w:lineRule="auto"/>
      <w:jc w:val="left"/>
    </w:pPr>
    <w:rPr>
      <w:rFonts w:ascii="宋体"/>
      <w:szCs w:val="20"/>
    </w:rPr>
  </w:style>
  <w:style w:type="paragraph" w:customStyle="1" w:styleId="3287">
    <w:name w:val="Char35"/>
    <w:basedOn w:val="1"/>
    <w:autoRedefine/>
    <w:qFormat/>
    <w:uiPriority w:val="0"/>
    <w:pPr>
      <w:ind w:left="-48"/>
    </w:pPr>
  </w:style>
  <w:style w:type="paragraph" w:customStyle="1" w:styleId="3288">
    <w:name w:val="附件211"/>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3289">
    <w:name w:val="表格111"/>
    <w:basedOn w:val="1"/>
    <w:autoRedefine/>
    <w:qFormat/>
    <w:uiPriority w:val="0"/>
    <w:pPr>
      <w:adjustRightInd w:val="0"/>
      <w:jc w:val="center"/>
      <w:textAlignment w:val="baseline"/>
    </w:pPr>
    <w:rPr>
      <w:rFonts w:ascii="宋体"/>
      <w:kern w:val="0"/>
      <w:sz w:val="24"/>
      <w:szCs w:val="20"/>
    </w:rPr>
  </w:style>
  <w:style w:type="paragraph" w:customStyle="1" w:styleId="3290">
    <w:name w:val="文本居中"/>
    <w:basedOn w:val="1"/>
    <w:autoRedefine/>
    <w:qFormat/>
    <w:uiPriority w:val="0"/>
    <w:pPr>
      <w:adjustRightInd w:val="0"/>
      <w:spacing w:line="360" w:lineRule="auto"/>
      <w:jc w:val="center"/>
    </w:pPr>
    <w:rPr>
      <w:sz w:val="28"/>
    </w:rPr>
  </w:style>
  <w:style w:type="paragraph" w:customStyle="1" w:styleId="3291">
    <w:name w:val="图题51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292">
    <w:name w:val="正文212"/>
    <w:autoRedefine/>
    <w:qFormat/>
    <w:uiPriority w:val="0"/>
    <w:pPr>
      <w:adjustRightInd w:val="0"/>
      <w:snapToGrid w:val="0"/>
      <w:spacing w:line="480" w:lineRule="atLeast"/>
      <w:jc w:val="center"/>
    </w:pPr>
    <w:rPr>
      <w:rFonts w:ascii="宋体" w:hAnsi="Times New Roman" w:eastAsia="宋体" w:cs="Times New Roman"/>
      <w:snapToGrid w:val="0"/>
      <w:spacing w:val="6"/>
      <w:sz w:val="21"/>
      <w:lang w:val="en-US" w:eastAsia="zh-CN" w:bidi="ar-SA"/>
    </w:rPr>
  </w:style>
  <w:style w:type="paragraph" w:customStyle="1" w:styleId="3293">
    <w:name w:val="正文文本缩进 36"/>
    <w:basedOn w:val="1"/>
    <w:autoRedefine/>
    <w:qFormat/>
    <w:uiPriority w:val="99"/>
    <w:pPr>
      <w:spacing w:after="120"/>
      <w:ind w:left="420" w:leftChars="200"/>
    </w:pPr>
    <w:rPr>
      <w:rFonts w:eastAsia="仿宋_GB2312"/>
      <w:sz w:val="16"/>
      <w:szCs w:val="16"/>
    </w:rPr>
  </w:style>
  <w:style w:type="paragraph" w:customStyle="1" w:styleId="3294">
    <w:name w:val="表内文字边4"/>
    <w:basedOn w:val="1"/>
    <w:autoRedefine/>
    <w:qFormat/>
    <w:uiPriority w:val="0"/>
    <w:pPr>
      <w:widowControl/>
      <w:adjustRightInd w:val="0"/>
      <w:snapToGrid w:val="0"/>
      <w:spacing w:line="240" w:lineRule="atLeast"/>
      <w:ind w:left="-21" w:leftChars="-10" w:right="-42" w:rightChars="-20"/>
    </w:pPr>
    <w:rPr>
      <w:rFonts w:ascii="宋体"/>
      <w:kern w:val="0"/>
      <w:szCs w:val="21"/>
    </w:rPr>
  </w:style>
  <w:style w:type="paragraph" w:customStyle="1" w:styleId="3295">
    <w:name w:val="表中文字14"/>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296">
    <w:name w:val="燕山正文32"/>
    <w:basedOn w:val="1"/>
    <w:autoRedefine/>
    <w:qFormat/>
    <w:uiPriority w:val="0"/>
    <w:pPr>
      <w:tabs>
        <w:tab w:val="left" w:pos="4680"/>
      </w:tabs>
      <w:adjustRightInd w:val="0"/>
      <w:snapToGrid w:val="0"/>
      <w:spacing w:line="480" w:lineRule="exact"/>
    </w:pPr>
    <w:rPr>
      <w:rFonts w:ascii="宋体" w:cs="宋体"/>
      <w:sz w:val="24"/>
    </w:rPr>
  </w:style>
  <w:style w:type="paragraph" w:customStyle="1" w:styleId="3297">
    <w:name w:val="正文格式811"/>
    <w:basedOn w:val="1"/>
    <w:autoRedefine/>
    <w:qFormat/>
    <w:uiPriority w:val="0"/>
    <w:pPr>
      <w:spacing w:line="360" w:lineRule="auto"/>
      <w:ind w:firstLine="482"/>
    </w:pPr>
    <w:rPr>
      <w:rFonts w:ascii="宋体" w:hAnsi="宋体"/>
      <w:sz w:val="24"/>
    </w:rPr>
  </w:style>
  <w:style w:type="paragraph" w:customStyle="1" w:styleId="3298">
    <w:name w:val="表格内字体16"/>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299">
    <w:name w:val="表内文字小21211"/>
    <w:basedOn w:val="1"/>
    <w:autoRedefine/>
    <w:qFormat/>
    <w:uiPriority w:val="0"/>
    <w:pPr>
      <w:adjustRightInd w:val="0"/>
      <w:snapToGrid w:val="0"/>
      <w:jc w:val="center"/>
    </w:pPr>
    <w:rPr>
      <w:rFonts w:ascii="宋体" w:hAnsi="Times"/>
      <w:bCs/>
      <w:color w:val="000000"/>
      <w:szCs w:val="20"/>
    </w:rPr>
  </w:style>
  <w:style w:type="paragraph" w:customStyle="1" w:styleId="3300">
    <w:name w:val="14"/>
    <w:basedOn w:val="1"/>
    <w:next w:val="35"/>
    <w:autoRedefine/>
    <w:qFormat/>
    <w:uiPriority w:val="0"/>
    <w:pPr>
      <w:spacing w:line="500" w:lineRule="exact"/>
      <w:ind w:firstLine="560" w:firstLineChars="200"/>
    </w:pPr>
    <w:rPr>
      <w:rFonts w:ascii="仿宋_GB2312" w:eastAsia="仿宋_GB2312"/>
      <w:color w:val="FF0000"/>
      <w:sz w:val="28"/>
      <w:szCs w:val="20"/>
    </w:rPr>
  </w:style>
  <w:style w:type="paragraph" w:customStyle="1" w:styleId="3301">
    <w:name w:val="日期6"/>
    <w:basedOn w:val="1"/>
    <w:next w:val="1"/>
    <w:autoRedefine/>
    <w:qFormat/>
    <w:uiPriority w:val="39"/>
    <w:rPr>
      <w:rFonts w:eastAsia="仿宋_GB2312"/>
      <w:sz w:val="30"/>
      <w:szCs w:val="20"/>
    </w:rPr>
  </w:style>
  <w:style w:type="paragraph" w:customStyle="1" w:styleId="3302">
    <w:name w:val="正文格式15"/>
    <w:basedOn w:val="1"/>
    <w:autoRedefine/>
    <w:qFormat/>
    <w:uiPriority w:val="0"/>
    <w:pPr>
      <w:spacing w:line="360" w:lineRule="auto"/>
      <w:ind w:firstLine="482"/>
    </w:pPr>
    <w:rPr>
      <w:rFonts w:ascii="宋体" w:hAnsi="宋体"/>
      <w:sz w:val="24"/>
    </w:rPr>
  </w:style>
  <w:style w:type="paragraph" w:customStyle="1" w:styleId="3303">
    <w:name w:val="表内592"/>
    <w:basedOn w:val="1"/>
    <w:autoRedefine/>
    <w:qFormat/>
    <w:uiPriority w:val="0"/>
    <w:pPr>
      <w:adjustRightInd w:val="0"/>
      <w:snapToGrid w:val="0"/>
      <w:spacing w:line="300" w:lineRule="auto"/>
      <w:jc w:val="center"/>
    </w:pPr>
    <w:rPr>
      <w:rFonts w:ascii="宋体"/>
      <w:snapToGrid w:val="0"/>
      <w:szCs w:val="21"/>
    </w:rPr>
  </w:style>
  <w:style w:type="paragraph" w:customStyle="1" w:styleId="3304">
    <w:name w:val="正文格式＝211"/>
    <w:basedOn w:val="418"/>
    <w:next w:val="418"/>
    <w:autoRedefine/>
    <w:qFormat/>
    <w:uiPriority w:val="0"/>
    <w:rPr>
      <w:rFonts w:ascii="宋体" w:hAnsi="宋体"/>
      <w:b w:val="0"/>
      <w:spacing w:val="0"/>
      <w:sz w:val="24"/>
      <w:szCs w:val="24"/>
    </w:rPr>
  </w:style>
  <w:style w:type="paragraph" w:customStyle="1" w:styleId="3305">
    <w:name w:val="表题414"/>
    <w:basedOn w:val="35"/>
    <w:autoRedefine/>
    <w:qFormat/>
    <w:uiPriority w:val="0"/>
    <w:pPr>
      <w:tabs>
        <w:tab w:val="left" w:pos="4305"/>
      </w:tabs>
      <w:adjustRightInd w:val="0"/>
      <w:snapToGrid w:val="0"/>
      <w:spacing w:after="0"/>
      <w:ind w:left="0" w:leftChars="0"/>
      <w:jc w:val="center"/>
    </w:pPr>
    <w:rPr>
      <w:rFonts w:ascii="宋体" w:hAnsi="宋体" w:cs="宋体"/>
      <w:color w:val="000000"/>
      <w:szCs w:val="24"/>
      <w:lang w:val="en-US"/>
    </w:rPr>
  </w:style>
  <w:style w:type="paragraph" w:customStyle="1" w:styleId="3306">
    <w:name w:val="Char119"/>
    <w:basedOn w:val="1"/>
    <w:autoRedefine/>
    <w:qFormat/>
    <w:uiPriority w:val="0"/>
  </w:style>
  <w:style w:type="paragraph" w:customStyle="1" w:styleId="3307">
    <w:name w:val="标题43113"/>
    <w:basedOn w:val="1"/>
    <w:autoRedefine/>
    <w:qFormat/>
    <w:uiPriority w:val="0"/>
    <w:pPr>
      <w:adjustRightInd w:val="0"/>
      <w:snapToGrid w:val="0"/>
      <w:spacing w:line="480" w:lineRule="exact"/>
      <w:jc w:val="center"/>
    </w:pPr>
    <w:rPr>
      <w:rFonts w:ascii="宋体" w:hAnsi="宋体" w:cs="宋体"/>
      <w:sz w:val="24"/>
    </w:rPr>
  </w:style>
  <w:style w:type="paragraph" w:customStyle="1" w:styleId="3308">
    <w:name w:val="表内5417"/>
    <w:basedOn w:val="1"/>
    <w:autoRedefine/>
    <w:qFormat/>
    <w:uiPriority w:val="0"/>
    <w:pPr>
      <w:adjustRightInd w:val="0"/>
      <w:snapToGrid w:val="0"/>
      <w:spacing w:line="300" w:lineRule="auto"/>
      <w:jc w:val="center"/>
    </w:pPr>
    <w:rPr>
      <w:rFonts w:ascii="宋体" w:hAnsi="宋体" w:cs="宋体"/>
      <w:szCs w:val="20"/>
    </w:rPr>
  </w:style>
  <w:style w:type="paragraph" w:customStyle="1" w:styleId="3309">
    <w:name w:val="表格内字体14"/>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310">
    <w:name w:val="正文修改51"/>
    <w:basedOn w:val="193"/>
    <w:autoRedefine/>
    <w:qFormat/>
    <w:uiPriority w:val="0"/>
    <w:rPr>
      <w:rFonts w:hAnsi="宋体"/>
      <w:color w:val="000000"/>
    </w:rPr>
  </w:style>
  <w:style w:type="paragraph" w:customStyle="1" w:styleId="3311">
    <w:name w:val="11"/>
    <w:basedOn w:val="1"/>
    <w:next w:val="63"/>
    <w:autoRedefine/>
    <w:qFormat/>
    <w:uiPriority w:val="0"/>
    <w:pPr>
      <w:spacing w:line="500" w:lineRule="exact"/>
    </w:pPr>
    <w:rPr>
      <w:rFonts w:ascii="仿宋_GB2312" w:eastAsia="仿宋_GB2312"/>
      <w:sz w:val="28"/>
      <w:szCs w:val="20"/>
    </w:rPr>
  </w:style>
  <w:style w:type="paragraph" w:customStyle="1" w:styleId="3312">
    <w:name w:val="表格内字体21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313">
    <w:name w:val="表内5中12"/>
    <w:basedOn w:val="1"/>
    <w:autoRedefine/>
    <w:qFormat/>
    <w:uiPriority w:val="0"/>
    <w:pPr>
      <w:adjustRightInd w:val="0"/>
      <w:snapToGrid w:val="0"/>
      <w:jc w:val="center"/>
    </w:pPr>
    <w:rPr>
      <w:rFonts w:ascii="宋体" w:hAnsi="宋体" w:cs="Arial"/>
      <w:snapToGrid w:val="0"/>
      <w:color w:val="000000"/>
      <w:szCs w:val="21"/>
    </w:rPr>
  </w:style>
  <w:style w:type="paragraph" w:customStyle="1" w:styleId="3314">
    <w:name w:val="Char Char Char Char Char Char1 Char Char Char Char2"/>
    <w:basedOn w:val="1"/>
    <w:autoRedefine/>
    <w:qFormat/>
    <w:uiPriority w:val="39"/>
    <w:rPr>
      <w:sz w:val="24"/>
    </w:rPr>
  </w:style>
  <w:style w:type="paragraph" w:customStyle="1" w:styleId="3315">
    <w:name w:val="MFS正文 Char Char"/>
    <w:basedOn w:val="86"/>
    <w:autoRedefine/>
    <w:qFormat/>
    <w:uiPriority w:val="99"/>
    <w:pPr>
      <w:adjustRightInd w:val="0"/>
      <w:snapToGrid w:val="0"/>
      <w:spacing w:before="93" w:line="360" w:lineRule="auto"/>
      <w:ind w:firstLine="487" w:firstLineChars="200"/>
    </w:pPr>
    <w:rPr>
      <w:rFonts w:hAnsi="Calibri" w:eastAsia="楷体_GB2312"/>
      <w:sz w:val="24"/>
      <w:szCs w:val="22"/>
    </w:rPr>
  </w:style>
  <w:style w:type="paragraph" w:customStyle="1" w:styleId="3316">
    <w:name w:val="黑体三号211"/>
    <w:basedOn w:val="418"/>
    <w:autoRedefine/>
    <w:qFormat/>
    <w:uiPriority w:val="0"/>
    <w:pPr>
      <w:jc w:val="center"/>
    </w:pPr>
    <w:rPr>
      <w:rFonts w:ascii="黑体" w:hAnsi="宋体" w:eastAsia="黑体" w:cs="宋体"/>
      <w:bCs/>
      <w:spacing w:val="0"/>
      <w:sz w:val="32"/>
    </w:rPr>
  </w:style>
  <w:style w:type="paragraph" w:customStyle="1" w:styleId="3317">
    <w:name w:val="正文格式＝32"/>
    <w:basedOn w:val="418"/>
    <w:next w:val="418"/>
    <w:autoRedefine/>
    <w:qFormat/>
    <w:uiPriority w:val="0"/>
    <w:rPr>
      <w:rFonts w:ascii="宋体" w:hAnsi="宋体"/>
      <w:b w:val="0"/>
      <w:spacing w:val="0"/>
      <w:sz w:val="24"/>
      <w:szCs w:val="24"/>
    </w:rPr>
  </w:style>
  <w:style w:type="paragraph" w:customStyle="1" w:styleId="3318">
    <w:name w:val="样式 标题 2节标题 1.1H2（一）Underrubrik1prop2Heading 2 HiddenHeadi..."/>
    <w:basedOn w:val="4"/>
    <w:autoRedefine/>
    <w:qFormat/>
    <w:uiPriority w:val="0"/>
    <w:pPr>
      <w:adjustRightInd w:val="0"/>
      <w:snapToGrid w:val="0"/>
      <w:spacing w:before="120" w:after="120" w:line="240" w:lineRule="auto"/>
    </w:pPr>
    <w:rPr>
      <w:rFonts w:ascii="宋体" w:hAnsi="宋体" w:cs="宋体"/>
      <w:snapToGrid w:val="0"/>
      <w:sz w:val="28"/>
      <w:szCs w:val="20"/>
    </w:rPr>
  </w:style>
  <w:style w:type="paragraph" w:customStyle="1" w:styleId="3319">
    <w:name w:val="Char Char Char6"/>
    <w:basedOn w:val="1"/>
    <w:autoRedefine/>
    <w:qFormat/>
    <w:uiPriority w:val="39"/>
    <w:rPr>
      <w:sz w:val="24"/>
    </w:rPr>
  </w:style>
  <w:style w:type="paragraph" w:customStyle="1" w:styleId="3320">
    <w:name w:val="Char Char Char Char1 Char Char Char6"/>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3321">
    <w:name w:val="封面标准文稿编辑信息11"/>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322">
    <w:name w:val="正文格式＝411"/>
    <w:basedOn w:val="418"/>
    <w:next w:val="418"/>
    <w:autoRedefine/>
    <w:qFormat/>
    <w:uiPriority w:val="0"/>
    <w:rPr>
      <w:rFonts w:ascii="宋体" w:hAnsi="宋体"/>
      <w:b w:val="0"/>
      <w:spacing w:val="0"/>
      <w:sz w:val="24"/>
      <w:szCs w:val="24"/>
    </w:rPr>
  </w:style>
  <w:style w:type="paragraph" w:customStyle="1" w:styleId="3323">
    <w:name w:val="表内文字小5"/>
    <w:basedOn w:val="1"/>
    <w:autoRedefine/>
    <w:qFormat/>
    <w:uiPriority w:val="0"/>
    <w:pPr>
      <w:adjustRightInd w:val="0"/>
      <w:snapToGrid w:val="0"/>
      <w:jc w:val="center"/>
    </w:pPr>
    <w:rPr>
      <w:rFonts w:ascii="宋体" w:hAnsi="Times"/>
      <w:szCs w:val="20"/>
    </w:rPr>
  </w:style>
  <w:style w:type="paragraph" w:customStyle="1" w:styleId="3324">
    <w:name w:val="19"/>
    <w:basedOn w:val="1"/>
    <w:next w:val="35"/>
    <w:autoRedefine/>
    <w:qFormat/>
    <w:uiPriority w:val="0"/>
    <w:pPr>
      <w:spacing w:line="500" w:lineRule="exact"/>
      <w:ind w:firstLine="560" w:firstLineChars="200"/>
    </w:pPr>
    <w:rPr>
      <w:rFonts w:ascii="仿宋_GB2312" w:eastAsia="仿宋_GB2312"/>
      <w:color w:val="FF0000"/>
      <w:sz w:val="28"/>
      <w:szCs w:val="20"/>
    </w:rPr>
  </w:style>
  <w:style w:type="paragraph" w:customStyle="1" w:styleId="3325">
    <w:name w:val="样式 正文文本缩进正文文字缩进 + 行距: 单倍行距"/>
    <w:basedOn w:val="35"/>
    <w:autoRedefine/>
    <w:qFormat/>
    <w:uiPriority w:val="0"/>
    <w:pPr>
      <w:spacing w:after="0"/>
      <w:ind w:left="0" w:leftChars="0" w:firstLine="480" w:firstLineChars="200"/>
    </w:pPr>
    <w:rPr>
      <w:rFonts w:cs="宋体"/>
      <w:sz w:val="28"/>
      <w:lang w:val="en-US"/>
    </w:rPr>
  </w:style>
  <w:style w:type="paragraph" w:customStyle="1" w:styleId="3326">
    <w:name w:val="Char3 Char Char Char2"/>
    <w:basedOn w:val="1"/>
    <w:autoRedefine/>
    <w:qFormat/>
    <w:uiPriority w:val="39"/>
    <w:rPr>
      <w:sz w:val="28"/>
    </w:rPr>
  </w:style>
  <w:style w:type="paragraph" w:customStyle="1" w:styleId="3327">
    <w:name w:val="表题114"/>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3328">
    <w:name w:val="样式 样式 样式4.1.2.1 + 段前: 0.5 行 + 段前: 0.5 行"/>
    <w:basedOn w:val="3329"/>
    <w:autoRedefine/>
    <w:qFormat/>
    <w:uiPriority w:val="99"/>
    <w:pPr>
      <w:tabs>
        <w:tab w:val="left" w:pos="-962"/>
        <w:tab w:val="left" w:pos="-480"/>
        <w:tab w:val="left" w:pos="0"/>
        <w:tab w:val="left" w:pos="840"/>
        <w:tab w:val="left" w:pos="2160"/>
      </w:tabs>
      <w:spacing w:beforeLines="0"/>
      <w:ind w:left="-962"/>
    </w:pPr>
    <w:rPr>
      <w:bCs/>
    </w:rPr>
  </w:style>
  <w:style w:type="paragraph" w:customStyle="1" w:styleId="3329">
    <w:name w:val="样式 样式4.1.2.1 + 段前: 0.5 行"/>
    <w:basedOn w:val="2133"/>
    <w:autoRedefine/>
    <w:qFormat/>
    <w:uiPriority w:val="99"/>
    <w:pPr>
      <w:tabs>
        <w:tab w:val="left" w:pos="-480"/>
        <w:tab w:val="left" w:pos="0"/>
        <w:tab w:val="left" w:pos="840"/>
      </w:tabs>
      <w:ind w:left="-480"/>
      <w:outlineLvl w:val="3"/>
    </w:pPr>
    <w:rPr>
      <w:rFonts w:cs="宋体"/>
      <w:b/>
      <w:szCs w:val="20"/>
    </w:rPr>
  </w:style>
  <w:style w:type="paragraph" w:customStyle="1" w:styleId="3330">
    <w:name w:val="Char Char Char Char Char Char Char411"/>
    <w:basedOn w:val="1"/>
    <w:autoRedefine/>
    <w:qFormat/>
    <w:uiPriority w:val="0"/>
  </w:style>
  <w:style w:type="paragraph" w:customStyle="1" w:styleId="3331">
    <w:name w:val="表内宋5中31"/>
    <w:basedOn w:val="1"/>
    <w:autoRedefine/>
    <w:qFormat/>
    <w:uiPriority w:val="0"/>
    <w:pPr>
      <w:adjustRightInd w:val="0"/>
      <w:snapToGrid w:val="0"/>
      <w:textAlignment w:val="baseline"/>
    </w:pPr>
    <w:rPr>
      <w:color w:val="000000"/>
      <w:kern w:val="0"/>
      <w:szCs w:val="20"/>
    </w:rPr>
  </w:style>
  <w:style w:type="paragraph" w:customStyle="1" w:styleId="3332">
    <w:name w:val="17"/>
    <w:basedOn w:val="1"/>
    <w:next w:val="70"/>
    <w:autoRedefine/>
    <w:qFormat/>
    <w:uiPriority w:val="0"/>
    <w:pPr>
      <w:spacing w:line="500" w:lineRule="exact"/>
      <w:ind w:firstLine="560" w:firstLineChars="200"/>
    </w:pPr>
    <w:rPr>
      <w:rFonts w:ascii="仿宋_GB2312" w:eastAsia="仿宋_GB2312"/>
      <w:sz w:val="28"/>
      <w:szCs w:val="20"/>
    </w:rPr>
  </w:style>
  <w:style w:type="paragraph" w:customStyle="1" w:styleId="3333">
    <w:name w:val="正文格式2111"/>
    <w:basedOn w:val="1"/>
    <w:autoRedefine/>
    <w:qFormat/>
    <w:uiPriority w:val="0"/>
    <w:pPr>
      <w:spacing w:line="360" w:lineRule="auto"/>
      <w:ind w:firstLine="482"/>
    </w:pPr>
    <w:rPr>
      <w:rFonts w:ascii="宋体" w:hAnsi="宋体"/>
      <w:sz w:val="24"/>
    </w:rPr>
  </w:style>
  <w:style w:type="paragraph" w:customStyle="1" w:styleId="3334">
    <w:name w:val="样式 标题 1 + (符号) 宋体 居中"/>
    <w:basedOn w:val="3"/>
    <w:autoRedefine/>
    <w:qFormat/>
    <w:uiPriority w:val="99"/>
    <w:pPr>
      <w:keepLines/>
      <w:overflowPunct/>
      <w:snapToGrid/>
      <w:spacing w:before="0" w:after="0" w:line="360" w:lineRule="auto"/>
      <w:ind w:left="425" w:hanging="425"/>
      <w:jc w:val="center"/>
    </w:pPr>
    <w:rPr>
      <w:rFonts w:ascii="宋体" w:hAnsi="宋体" w:eastAsia="宋体" w:cs="宋体"/>
      <w:color w:val="auto"/>
      <w:kern w:val="0"/>
      <w:sz w:val="24"/>
      <w:szCs w:val="24"/>
    </w:rPr>
  </w:style>
  <w:style w:type="paragraph" w:customStyle="1" w:styleId="3335">
    <w:name w:val="正文221"/>
    <w:autoRedefine/>
    <w:qFormat/>
    <w:uiPriority w:val="0"/>
    <w:pPr>
      <w:adjustRightInd w:val="0"/>
      <w:snapToGrid w:val="0"/>
      <w:spacing w:line="480" w:lineRule="atLeast"/>
      <w:jc w:val="center"/>
    </w:pPr>
    <w:rPr>
      <w:rFonts w:ascii="宋体" w:hAnsi="Times New Roman" w:eastAsia="宋体" w:cs="Times New Roman"/>
      <w:snapToGrid w:val="0"/>
      <w:spacing w:val="6"/>
      <w:sz w:val="21"/>
      <w:lang w:val="en-US" w:eastAsia="zh-CN" w:bidi="ar-SA"/>
    </w:rPr>
  </w:style>
  <w:style w:type="paragraph" w:customStyle="1" w:styleId="3336">
    <w:name w:val="样式 标题 1h1H1PIM 1标书11.标题 1Section HeadHeader11st levell1..."/>
    <w:basedOn w:val="3"/>
    <w:autoRedefine/>
    <w:qFormat/>
    <w:uiPriority w:val="0"/>
    <w:pPr>
      <w:keepLines/>
      <w:overflowPunct/>
      <w:snapToGrid/>
      <w:spacing w:before="240" w:after="240" w:line="500" w:lineRule="exact"/>
      <w:ind w:left="0" w:right="210" w:firstLine="0"/>
    </w:pPr>
    <w:rPr>
      <w:rFonts w:cs="宋体"/>
      <w:szCs w:val="20"/>
    </w:rPr>
  </w:style>
  <w:style w:type="paragraph" w:customStyle="1" w:styleId="3337">
    <w:name w:val="Char2311"/>
    <w:basedOn w:val="1"/>
    <w:autoRedefine/>
    <w:qFormat/>
    <w:uiPriority w:val="0"/>
    <w:pPr>
      <w:ind w:left="-48"/>
    </w:pPr>
  </w:style>
  <w:style w:type="paragraph" w:customStyle="1" w:styleId="3338">
    <w:name w:val="表内文字小2123"/>
    <w:basedOn w:val="1"/>
    <w:autoRedefine/>
    <w:qFormat/>
    <w:uiPriority w:val="0"/>
    <w:pPr>
      <w:adjustRightInd w:val="0"/>
      <w:snapToGrid w:val="0"/>
      <w:jc w:val="center"/>
    </w:pPr>
    <w:rPr>
      <w:rFonts w:ascii="宋体" w:hAnsi="Times"/>
      <w:bCs/>
      <w:color w:val="000000"/>
      <w:szCs w:val="20"/>
    </w:rPr>
  </w:style>
  <w:style w:type="paragraph" w:customStyle="1" w:styleId="3339">
    <w:name w:val="表内文字小216"/>
    <w:basedOn w:val="1"/>
    <w:autoRedefine/>
    <w:qFormat/>
    <w:uiPriority w:val="0"/>
    <w:pPr>
      <w:adjustRightInd w:val="0"/>
      <w:snapToGrid w:val="0"/>
      <w:jc w:val="center"/>
    </w:pPr>
    <w:rPr>
      <w:rFonts w:ascii="宋体" w:hAnsi="Times"/>
      <w:bCs/>
      <w:color w:val="000000"/>
      <w:szCs w:val="20"/>
    </w:rPr>
  </w:style>
  <w:style w:type="paragraph" w:customStyle="1" w:styleId="3340">
    <w:name w:val="正文7"/>
    <w:autoRedefine/>
    <w:qFormat/>
    <w:uiPriority w:val="39"/>
    <w:pPr>
      <w:widowControl w:val="0"/>
      <w:tabs>
        <w:tab w:val="left" w:pos="567"/>
      </w:tabs>
      <w:adjustRightInd w:val="0"/>
      <w:spacing w:line="360" w:lineRule="atLeast"/>
      <w:jc w:val="both"/>
      <w:textAlignment w:val="baseline"/>
    </w:pPr>
    <w:rPr>
      <w:rFonts w:ascii="Times New Roman" w:hAnsi="Courier" w:eastAsia="PMingLiU" w:cs="Times New Roman"/>
      <w:sz w:val="24"/>
      <w:lang w:val="en-US" w:eastAsia="zh-TW" w:bidi="ar-SA"/>
    </w:rPr>
  </w:style>
  <w:style w:type="paragraph" w:customStyle="1" w:styleId="3341">
    <w:name w:val="表题3113"/>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342">
    <w:name w:val="文本框21"/>
    <w:basedOn w:val="1"/>
    <w:autoRedefine/>
    <w:qFormat/>
    <w:uiPriority w:val="0"/>
    <w:pPr>
      <w:adjustRightInd w:val="0"/>
      <w:snapToGrid w:val="0"/>
      <w:spacing w:after="6"/>
      <w:jc w:val="center"/>
    </w:pPr>
    <w:rPr>
      <w:rFonts w:eastAsia="仿宋_GB2312"/>
    </w:rPr>
  </w:style>
  <w:style w:type="paragraph" w:customStyle="1" w:styleId="3343">
    <w:name w:val="图题10"/>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344">
    <w:name w:val="燕山正文1311"/>
    <w:basedOn w:val="1"/>
    <w:autoRedefine/>
    <w:qFormat/>
    <w:uiPriority w:val="0"/>
    <w:pPr>
      <w:tabs>
        <w:tab w:val="left" w:pos="4680"/>
      </w:tabs>
      <w:adjustRightInd w:val="0"/>
      <w:snapToGrid w:val="0"/>
      <w:spacing w:line="360" w:lineRule="auto"/>
      <w:ind w:firstLine="480" w:firstLineChars="200"/>
    </w:pPr>
    <w:rPr>
      <w:rFonts w:ascii="宋体" w:hAnsi="宋体" w:cs="宋体"/>
      <w:bCs/>
      <w:color w:val="000000"/>
      <w:sz w:val="24"/>
    </w:rPr>
  </w:style>
  <w:style w:type="paragraph" w:customStyle="1" w:styleId="3345">
    <w:name w:val="正文文本缩进 23"/>
    <w:basedOn w:val="1"/>
    <w:autoRedefine/>
    <w:qFormat/>
    <w:uiPriority w:val="39"/>
    <w:pPr>
      <w:adjustRightInd w:val="0"/>
      <w:spacing w:line="480" w:lineRule="atLeast"/>
      <w:ind w:firstLine="630"/>
      <w:textAlignment w:val="baseline"/>
    </w:pPr>
    <w:rPr>
      <w:rFonts w:ascii="宋体"/>
      <w:sz w:val="28"/>
      <w:szCs w:val="20"/>
    </w:rPr>
  </w:style>
  <w:style w:type="paragraph" w:customStyle="1" w:styleId="3346">
    <w:name w:val="图题24"/>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347">
    <w:name w:val="表题3123"/>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348">
    <w:name w:val="正文 居中"/>
    <w:basedOn w:val="1"/>
    <w:autoRedefine/>
    <w:qFormat/>
    <w:uiPriority w:val="0"/>
    <w:pPr>
      <w:spacing w:before="48" w:after="48" w:line="360" w:lineRule="auto"/>
      <w:jc w:val="center"/>
    </w:pPr>
    <w:rPr>
      <w:rFonts w:ascii="宋体" w:hAnsi="宋体"/>
      <w:bCs/>
      <w:snapToGrid w:val="0"/>
      <w:kern w:val="0"/>
      <w:sz w:val="24"/>
      <w:szCs w:val="20"/>
    </w:rPr>
  </w:style>
  <w:style w:type="paragraph" w:customStyle="1" w:styleId="3349">
    <w:name w:val="Char Char Char Char Char Char Char Char Char Char3"/>
    <w:basedOn w:val="1"/>
    <w:autoRedefine/>
    <w:qFormat/>
    <w:uiPriority w:val="39"/>
    <w:rPr>
      <w:sz w:val="24"/>
    </w:rPr>
  </w:style>
  <w:style w:type="paragraph" w:customStyle="1" w:styleId="3350">
    <w:name w:val="表内文字小3113"/>
    <w:basedOn w:val="1"/>
    <w:autoRedefine/>
    <w:qFormat/>
    <w:uiPriority w:val="0"/>
    <w:pPr>
      <w:adjustRightInd w:val="0"/>
      <w:snapToGrid w:val="0"/>
      <w:jc w:val="center"/>
    </w:pPr>
    <w:rPr>
      <w:rFonts w:ascii="宋体" w:hAnsi="Times" w:cs="宋体"/>
      <w:bCs/>
      <w:color w:val="003366"/>
      <w:szCs w:val="20"/>
    </w:rPr>
  </w:style>
  <w:style w:type="paragraph" w:customStyle="1" w:styleId="3351">
    <w:name w:val="表题1311"/>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352">
    <w:name w:val="正文修改311"/>
    <w:basedOn w:val="193"/>
    <w:autoRedefine/>
    <w:qFormat/>
    <w:uiPriority w:val="0"/>
    <w:rPr>
      <w:rFonts w:hAnsi="宋体"/>
      <w:color w:val="000000"/>
    </w:rPr>
  </w:style>
  <w:style w:type="paragraph" w:customStyle="1" w:styleId="3353">
    <w:name w:val="Char Char Char Char Char Char Char Char Char Char Char1 Char Char Char Char Char Char Char Char Char Char Char Char Char Char Char Char3"/>
    <w:basedOn w:val="1"/>
    <w:autoRedefine/>
    <w:qFormat/>
    <w:uiPriority w:val="39"/>
    <w:rPr>
      <w:sz w:val="24"/>
    </w:rPr>
  </w:style>
  <w:style w:type="paragraph" w:customStyle="1" w:styleId="3354">
    <w:name w:val="表格内字体33"/>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355">
    <w:name w:val="表内文字小3141"/>
    <w:basedOn w:val="1"/>
    <w:autoRedefine/>
    <w:qFormat/>
    <w:uiPriority w:val="0"/>
    <w:pPr>
      <w:adjustRightInd w:val="0"/>
      <w:snapToGrid w:val="0"/>
      <w:jc w:val="center"/>
    </w:pPr>
    <w:rPr>
      <w:rFonts w:ascii="宋体" w:hAnsi="Times" w:cs="宋体"/>
      <w:bCs/>
      <w:color w:val="003366"/>
      <w:szCs w:val="20"/>
    </w:rPr>
  </w:style>
  <w:style w:type="paragraph" w:customStyle="1" w:styleId="3356">
    <w:name w:val="BGWZ2"/>
    <w:basedOn w:val="1"/>
    <w:autoRedefine/>
    <w:qFormat/>
    <w:uiPriority w:val="99"/>
    <w:pPr>
      <w:snapToGrid w:val="0"/>
      <w:spacing w:line="300" w:lineRule="exact"/>
      <w:jc w:val="center"/>
    </w:pPr>
    <w:rPr>
      <w:snapToGrid w:val="0"/>
      <w:kern w:val="0"/>
      <w:sz w:val="18"/>
      <w:szCs w:val="21"/>
      <w:lang w:eastAsia="zh-TW"/>
    </w:rPr>
  </w:style>
  <w:style w:type="paragraph" w:customStyle="1" w:styleId="3357">
    <w:name w:val="Char Char Char Char Char Char Char Char1 Char Char Char Char Char Char Char Char Char Char2"/>
    <w:basedOn w:val="1"/>
    <w:autoRedefine/>
    <w:qFormat/>
    <w:uiPriority w:val="39"/>
    <w:rPr>
      <w:sz w:val="24"/>
    </w:rPr>
  </w:style>
  <w:style w:type="paragraph" w:customStyle="1" w:styleId="3358">
    <w:name w:val="黑体三号23"/>
    <w:basedOn w:val="418"/>
    <w:autoRedefine/>
    <w:qFormat/>
    <w:uiPriority w:val="0"/>
    <w:pPr>
      <w:jc w:val="center"/>
    </w:pPr>
    <w:rPr>
      <w:rFonts w:ascii="黑体" w:hAnsi="宋体" w:eastAsia="黑体" w:cs="宋体"/>
      <w:bCs/>
      <w:spacing w:val="0"/>
      <w:sz w:val="32"/>
    </w:rPr>
  </w:style>
  <w:style w:type="paragraph" w:customStyle="1" w:styleId="3359">
    <w:name w:val="正文修改13"/>
    <w:basedOn w:val="193"/>
    <w:autoRedefine/>
    <w:qFormat/>
    <w:uiPriority w:val="0"/>
    <w:rPr>
      <w:rFonts w:hAnsi="宋体"/>
      <w:color w:val="000000"/>
    </w:rPr>
  </w:style>
  <w:style w:type="paragraph" w:customStyle="1" w:styleId="3360">
    <w:name w:val="表内宋51113"/>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3361">
    <w:name w:val="默认段落字体 Para Char Char Char Char211"/>
    <w:basedOn w:val="1"/>
    <w:autoRedefine/>
    <w:qFormat/>
    <w:uiPriority w:val="0"/>
  </w:style>
  <w:style w:type="paragraph" w:customStyle="1" w:styleId="3362">
    <w:name w:val="表格内字体13"/>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363">
    <w:name w:val="样式11.1"/>
    <w:basedOn w:val="4"/>
    <w:autoRedefine/>
    <w:qFormat/>
    <w:uiPriority w:val="99"/>
    <w:pPr>
      <w:spacing w:beforeLines="50" w:after="0" w:line="360" w:lineRule="auto"/>
    </w:pPr>
    <w:rPr>
      <w:rFonts w:ascii="Times New Roman" w:hAnsi="Times New Roman"/>
      <w:bCs w:val="0"/>
      <w:sz w:val="30"/>
      <w:szCs w:val="30"/>
    </w:rPr>
  </w:style>
  <w:style w:type="paragraph" w:customStyle="1" w:styleId="3364">
    <w:name w:val="样式 正文文本缩进正文文字缩进 + 四号 首行缩进:  2 字符 行距: 最小值 25 磅"/>
    <w:basedOn w:val="35"/>
    <w:autoRedefine/>
    <w:qFormat/>
    <w:uiPriority w:val="0"/>
    <w:pPr>
      <w:spacing w:after="0" w:line="500" w:lineRule="exact"/>
      <w:ind w:left="0" w:leftChars="0" w:firstLine="200" w:firstLineChars="200"/>
    </w:pPr>
    <w:rPr>
      <w:rFonts w:cs="宋体"/>
      <w:sz w:val="28"/>
      <w:lang w:val="en-US"/>
    </w:rPr>
  </w:style>
  <w:style w:type="paragraph" w:customStyle="1" w:styleId="3365">
    <w:name w:val="小四居中行1"/>
    <w:basedOn w:val="1"/>
    <w:autoRedefine/>
    <w:qFormat/>
    <w:uiPriority w:val="0"/>
    <w:pPr>
      <w:ind w:left="140"/>
      <w:jc w:val="center"/>
    </w:pPr>
    <w:rPr>
      <w:rFonts w:ascii="宋体" w:eastAsia="仿宋_GB2312"/>
      <w:sz w:val="24"/>
      <w:szCs w:val="20"/>
    </w:rPr>
  </w:style>
  <w:style w:type="paragraph" w:customStyle="1" w:styleId="3366">
    <w:name w:val="Char Char Char Char Char Char Char Char Char Char Char1 Char Char Char Char Char Char1 Char Char Char Char Char Char Char Char Char Char Char Char2"/>
    <w:basedOn w:val="1"/>
    <w:autoRedefine/>
    <w:qFormat/>
    <w:uiPriority w:val="39"/>
    <w:rPr>
      <w:sz w:val="24"/>
    </w:rPr>
  </w:style>
  <w:style w:type="paragraph" w:customStyle="1" w:styleId="3367">
    <w:name w:val="表13"/>
    <w:basedOn w:val="1"/>
    <w:autoRedefine/>
    <w:qFormat/>
    <w:uiPriority w:val="0"/>
    <w:pPr>
      <w:adjustRightInd w:val="0"/>
      <w:snapToGrid w:val="0"/>
      <w:jc w:val="center"/>
    </w:pPr>
    <w:rPr>
      <w:rFonts w:eastAsia="仿宋_GB2312"/>
      <w:sz w:val="24"/>
    </w:rPr>
  </w:style>
  <w:style w:type="paragraph" w:customStyle="1" w:styleId="3368">
    <w:name w:val="正文修改211"/>
    <w:basedOn w:val="193"/>
    <w:autoRedefine/>
    <w:qFormat/>
    <w:uiPriority w:val="0"/>
    <w:rPr>
      <w:rFonts w:hAnsi="宋体"/>
      <w:color w:val="000000"/>
    </w:rPr>
  </w:style>
  <w:style w:type="paragraph" w:customStyle="1" w:styleId="3369">
    <w:name w:val="小四居左"/>
    <w:autoRedefine/>
    <w:qFormat/>
    <w:uiPriority w:val="0"/>
    <w:pPr>
      <w:adjustRightInd w:val="0"/>
      <w:snapToGrid w:val="0"/>
    </w:pPr>
    <w:rPr>
      <w:rFonts w:ascii="Times New Roman" w:hAnsi="Times New Roman" w:eastAsia="仿宋_GB2312" w:cs="Times New Roman"/>
      <w:sz w:val="24"/>
      <w:lang w:val="en-US" w:eastAsia="zh-CN" w:bidi="ar-SA"/>
    </w:rPr>
  </w:style>
  <w:style w:type="paragraph" w:customStyle="1" w:styleId="3370">
    <w:name w:val="Char1211"/>
    <w:basedOn w:val="1"/>
    <w:autoRedefine/>
    <w:qFormat/>
    <w:uiPriority w:val="0"/>
    <w:pPr>
      <w:adjustRightInd w:val="0"/>
      <w:snapToGrid w:val="0"/>
      <w:spacing w:line="360" w:lineRule="auto"/>
    </w:pPr>
  </w:style>
  <w:style w:type="paragraph" w:customStyle="1" w:styleId="3371">
    <w:name w:val="Char Char Char Char1 Char Char Char111"/>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3372">
    <w:name w:val="样式2.1"/>
    <w:basedOn w:val="1"/>
    <w:autoRedefine/>
    <w:qFormat/>
    <w:uiPriority w:val="99"/>
    <w:pPr>
      <w:spacing w:beforeLines="50" w:line="360" w:lineRule="auto"/>
      <w:outlineLvl w:val="2"/>
    </w:pPr>
    <w:rPr>
      <w:b/>
      <w:sz w:val="28"/>
      <w:szCs w:val="28"/>
    </w:rPr>
  </w:style>
  <w:style w:type="paragraph" w:customStyle="1" w:styleId="3373">
    <w:name w:val="样式 标题 3 + 左侧:  0 厘米 首行缩进:  0 厘米"/>
    <w:basedOn w:val="5"/>
    <w:autoRedefine/>
    <w:qFormat/>
    <w:uiPriority w:val="0"/>
    <w:pPr>
      <w:autoSpaceDE w:val="0"/>
      <w:autoSpaceDN w:val="0"/>
      <w:adjustRightInd w:val="0"/>
      <w:snapToGrid w:val="0"/>
      <w:spacing w:before="0" w:after="0" w:line="500" w:lineRule="exact"/>
      <w:jc w:val="left"/>
      <w:textAlignment w:val="baseline"/>
    </w:pPr>
    <w:rPr>
      <w:rFonts w:eastAsia="仿宋_GB2312" w:cs="宋体"/>
      <w:b w:val="0"/>
      <w:bCs w:val="0"/>
      <w:kern w:val="0"/>
      <w:sz w:val="28"/>
      <w:szCs w:val="20"/>
      <w:lang w:val="en-US"/>
    </w:rPr>
  </w:style>
  <w:style w:type="paragraph" w:customStyle="1" w:styleId="3374">
    <w:name w:val="Char Char Char Char Char Char Char Char Char Char Char Char Char Char Char Char Char Char Char Char Char Char Char Char2"/>
    <w:basedOn w:val="1"/>
    <w:autoRedefine/>
    <w:qFormat/>
    <w:uiPriority w:val="39"/>
    <w:rPr>
      <w:sz w:val="24"/>
    </w:rPr>
  </w:style>
  <w:style w:type="paragraph" w:customStyle="1" w:styleId="3375">
    <w:name w:val="表内54123"/>
    <w:basedOn w:val="1"/>
    <w:autoRedefine/>
    <w:qFormat/>
    <w:uiPriority w:val="0"/>
    <w:pPr>
      <w:adjustRightInd w:val="0"/>
      <w:snapToGrid w:val="0"/>
      <w:spacing w:line="300" w:lineRule="auto"/>
      <w:jc w:val="center"/>
    </w:pPr>
    <w:rPr>
      <w:rFonts w:ascii="宋体" w:hAnsi="宋体" w:cs="宋体"/>
      <w:szCs w:val="20"/>
    </w:rPr>
  </w:style>
  <w:style w:type="paragraph" w:customStyle="1" w:styleId="3376">
    <w:name w:val="表题4111"/>
    <w:basedOn w:val="35"/>
    <w:autoRedefine/>
    <w:qFormat/>
    <w:uiPriority w:val="0"/>
    <w:pPr>
      <w:tabs>
        <w:tab w:val="left" w:pos="4305"/>
      </w:tabs>
      <w:adjustRightInd w:val="0"/>
      <w:snapToGrid w:val="0"/>
      <w:spacing w:after="0"/>
      <w:ind w:left="0" w:leftChars="0"/>
      <w:jc w:val="center"/>
    </w:pPr>
    <w:rPr>
      <w:rFonts w:ascii="宋体" w:hAnsi="宋体" w:cs="宋体"/>
      <w:color w:val="000000"/>
      <w:szCs w:val="24"/>
      <w:lang w:val="en-US"/>
    </w:rPr>
  </w:style>
  <w:style w:type="paragraph" w:customStyle="1" w:styleId="3377">
    <w:name w:val="标题431211"/>
    <w:basedOn w:val="1"/>
    <w:autoRedefine/>
    <w:qFormat/>
    <w:uiPriority w:val="0"/>
    <w:pPr>
      <w:adjustRightInd w:val="0"/>
      <w:snapToGrid w:val="0"/>
      <w:spacing w:line="480" w:lineRule="exact"/>
      <w:jc w:val="center"/>
    </w:pPr>
    <w:rPr>
      <w:rFonts w:ascii="宋体" w:hAnsi="宋体" w:cs="宋体"/>
      <w:sz w:val="24"/>
    </w:rPr>
  </w:style>
  <w:style w:type="paragraph" w:customStyle="1" w:styleId="3378">
    <w:name w:val="样式 样式 表格标题 + 段前: 0.5 行 + 段前: 0.5 行1"/>
    <w:basedOn w:val="1"/>
    <w:autoRedefine/>
    <w:qFormat/>
    <w:uiPriority w:val="0"/>
    <w:pPr>
      <w:tabs>
        <w:tab w:val="left" w:pos="6480"/>
      </w:tabs>
      <w:autoSpaceDE w:val="0"/>
      <w:autoSpaceDN w:val="0"/>
      <w:adjustRightInd w:val="0"/>
      <w:spacing w:before="156" w:line="400" w:lineRule="exact"/>
      <w:jc w:val="center"/>
    </w:pPr>
    <w:rPr>
      <w:rFonts w:ascii="宋体" w:hAnsi="宋体"/>
      <w:sz w:val="28"/>
      <w:szCs w:val="20"/>
      <w:lang w:val="zh-CN"/>
    </w:rPr>
  </w:style>
  <w:style w:type="paragraph" w:customStyle="1" w:styleId="3379">
    <w:name w:val="图表题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380">
    <w:name w:val="样式 标题2 + (西文) Times New Roman (中文) 宋体 加粗"/>
    <w:basedOn w:val="4"/>
    <w:autoRedefine/>
    <w:qFormat/>
    <w:uiPriority w:val="0"/>
    <w:pPr>
      <w:keepNext w:val="0"/>
      <w:keepLines w:val="0"/>
      <w:spacing w:beforeLines="50" w:afterLines="50" w:line="500" w:lineRule="exact"/>
      <w:outlineLvl w:val="0"/>
    </w:pPr>
    <w:rPr>
      <w:rFonts w:ascii="Times New Roman" w:hAnsi="Times New Roman"/>
      <w:sz w:val="28"/>
      <w:szCs w:val="20"/>
    </w:rPr>
  </w:style>
  <w:style w:type="paragraph" w:customStyle="1" w:styleId="3381">
    <w:name w:val="样式 样式 标题2.2 + 段前: 0.5 行1"/>
    <w:basedOn w:val="1400"/>
    <w:autoRedefine/>
    <w:qFormat/>
    <w:uiPriority w:val="99"/>
    <w:pPr>
      <w:tabs>
        <w:tab w:val="left" w:pos="0"/>
        <w:tab w:val="left" w:pos="1260"/>
      </w:tabs>
      <w:spacing w:beforeLines="0"/>
      <w:ind w:left="1260" w:hanging="420"/>
    </w:pPr>
  </w:style>
  <w:style w:type="paragraph" w:customStyle="1" w:styleId="3382">
    <w:name w:val="Char Char Char Char Char Char Char Char Char Char Char Char Char2"/>
    <w:basedOn w:val="1"/>
    <w:autoRedefine/>
    <w:qFormat/>
    <w:uiPriority w:val="39"/>
    <w:rPr>
      <w:sz w:val="24"/>
    </w:rPr>
  </w:style>
  <w:style w:type="paragraph" w:customStyle="1" w:styleId="3383">
    <w:name w:val="表内文字小31211"/>
    <w:basedOn w:val="1"/>
    <w:autoRedefine/>
    <w:qFormat/>
    <w:uiPriority w:val="0"/>
    <w:pPr>
      <w:adjustRightInd w:val="0"/>
      <w:snapToGrid w:val="0"/>
      <w:jc w:val="center"/>
    </w:pPr>
    <w:rPr>
      <w:rFonts w:ascii="宋体" w:hAnsi="Times" w:cs="宋体"/>
      <w:bCs/>
      <w:color w:val="003366"/>
      <w:szCs w:val="20"/>
    </w:rPr>
  </w:style>
  <w:style w:type="paragraph" w:customStyle="1" w:styleId="3384">
    <w:name w:val="样式 仿宋_GB2312 小四 居中 行距: 最小值 12 磅"/>
    <w:basedOn w:val="1"/>
    <w:autoRedefine/>
    <w:qFormat/>
    <w:uiPriority w:val="0"/>
    <w:pPr>
      <w:spacing w:line="400" w:lineRule="exact"/>
      <w:jc w:val="center"/>
    </w:pPr>
    <w:rPr>
      <w:rFonts w:ascii="仿宋_GB2312" w:cs="宋体"/>
      <w:szCs w:val="20"/>
    </w:rPr>
  </w:style>
  <w:style w:type="paragraph" w:customStyle="1" w:styleId="3385">
    <w:name w:val="表内文字小214"/>
    <w:basedOn w:val="1"/>
    <w:autoRedefine/>
    <w:qFormat/>
    <w:uiPriority w:val="0"/>
    <w:pPr>
      <w:adjustRightInd w:val="0"/>
      <w:snapToGrid w:val="0"/>
      <w:jc w:val="center"/>
    </w:pPr>
    <w:rPr>
      <w:rFonts w:ascii="宋体" w:hAnsi="Times"/>
      <w:bCs/>
      <w:color w:val="000000"/>
      <w:szCs w:val="20"/>
    </w:rPr>
  </w:style>
  <w:style w:type="paragraph" w:customStyle="1" w:styleId="3386">
    <w:name w:val="Char Char Char Char Char Char Char Char Char Char Char Char Char Char Char Char Char Char Char2"/>
    <w:basedOn w:val="1"/>
    <w:autoRedefine/>
    <w:qFormat/>
    <w:uiPriority w:val="39"/>
    <w:rPr>
      <w:sz w:val="24"/>
    </w:rPr>
  </w:style>
  <w:style w:type="paragraph" w:customStyle="1" w:styleId="3387">
    <w:name w:val="表文字514"/>
    <w:basedOn w:val="1"/>
    <w:autoRedefine/>
    <w:qFormat/>
    <w:uiPriority w:val="0"/>
    <w:pPr>
      <w:adjustRightInd w:val="0"/>
      <w:jc w:val="left"/>
      <w:textAlignment w:val="baseline"/>
    </w:pPr>
    <w:rPr>
      <w:rFonts w:ascii="宋体"/>
      <w:kern w:val="0"/>
      <w:szCs w:val="20"/>
    </w:rPr>
  </w:style>
  <w:style w:type="paragraph" w:customStyle="1" w:styleId="3388">
    <w:name w:val="表内54132"/>
    <w:basedOn w:val="1"/>
    <w:autoRedefine/>
    <w:qFormat/>
    <w:uiPriority w:val="0"/>
    <w:pPr>
      <w:adjustRightInd w:val="0"/>
      <w:snapToGrid w:val="0"/>
      <w:spacing w:line="300" w:lineRule="auto"/>
      <w:jc w:val="center"/>
    </w:pPr>
    <w:rPr>
      <w:rFonts w:ascii="宋体" w:hAnsi="宋体" w:cs="宋体"/>
      <w:szCs w:val="20"/>
    </w:rPr>
  </w:style>
  <w:style w:type="paragraph" w:customStyle="1" w:styleId="3389">
    <w:name w:val="Char Char Char Char Char Char Char Char Char Char Char Char Char Char Char Char Char Char2"/>
    <w:basedOn w:val="1"/>
    <w:autoRedefine/>
    <w:qFormat/>
    <w:uiPriority w:val="39"/>
    <w:rPr>
      <w:sz w:val="24"/>
    </w:rPr>
  </w:style>
  <w:style w:type="paragraph" w:customStyle="1" w:styleId="3390">
    <w:name w:val="正文修改6"/>
    <w:basedOn w:val="193"/>
    <w:autoRedefine/>
    <w:qFormat/>
    <w:uiPriority w:val="0"/>
    <w:rPr>
      <w:rFonts w:hAnsi="宋体"/>
      <w:color w:val="000000"/>
    </w:rPr>
  </w:style>
  <w:style w:type="paragraph" w:customStyle="1" w:styleId="3391">
    <w:name w:val="表中文字1111"/>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392">
    <w:name w:val="默认段落字体 Para Char5"/>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393">
    <w:name w:val="样式 标题 4无效格式无效格式1河石管道4H4H41小小节河石管道41H42H411小小节1河石管道42...21"/>
    <w:basedOn w:val="6"/>
    <w:autoRedefine/>
    <w:qFormat/>
    <w:uiPriority w:val="0"/>
    <w:pPr>
      <w:adjustRightInd w:val="0"/>
      <w:snapToGrid w:val="0"/>
      <w:spacing w:before="0" w:after="0" w:line="360" w:lineRule="auto"/>
      <w:ind w:left="664" w:hanging="864"/>
    </w:pPr>
    <w:rPr>
      <w:rFonts w:ascii="黑体"/>
      <w:b w:val="0"/>
      <w:bCs w:val="0"/>
      <w:sz w:val="24"/>
      <w:szCs w:val="24"/>
    </w:rPr>
  </w:style>
  <w:style w:type="paragraph" w:customStyle="1" w:styleId="3394">
    <w:name w:val="默认段落字体 Para Char22"/>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395">
    <w:name w:val="lz正文"/>
    <w:basedOn w:val="1"/>
    <w:autoRedefine/>
    <w:qFormat/>
    <w:uiPriority w:val="0"/>
    <w:pPr>
      <w:adjustRightInd w:val="0"/>
      <w:snapToGrid w:val="0"/>
      <w:spacing w:line="360" w:lineRule="auto"/>
      <w:ind w:firstLine="480" w:firstLineChars="200"/>
    </w:pPr>
    <w:rPr>
      <w:sz w:val="28"/>
      <w:szCs w:val="21"/>
    </w:rPr>
  </w:style>
  <w:style w:type="paragraph" w:customStyle="1" w:styleId="3396">
    <w:name w:val="正文格式62"/>
    <w:basedOn w:val="1"/>
    <w:autoRedefine/>
    <w:qFormat/>
    <w:uiPriority w:val="0"/>
    <w:pPr>
      <w:spacing w:line="360" w:lineRule="auto"/>
      <w:ind w:firstLine="482"/>
    </w:pPr>
    <w:rPr>
      <w:rFonts w:ascii="宋体" w:hAnsi="宋体"/>
      <w:sz w:val="24"/>
    </w:rPr>
  </w:style>
  <w:style w:type="paragraph" w:customStyle="1" w:styleId="3397">
    <w:name w:val="Char Char Char Char Char Char Char Char Char Char Char1 Char Char Char Char Char Char3"/>
    <w:basedOn w:val="1"/>
    <w:autoRedefine/>
    <w:qFormat/>
    <w:uiPriority w:val="39"/>
    <w:rPr>
      <w:sz w:val="24"/>
    </w:rPr>
  </w:style>
  <w:style w:type="paragraph" w:customStyle="1" w:styleId="3398">
    <w:name w:val="表内541111"/>
    <w:basedOn w:val="1"/>
    <w:autoRedefine/>
    <w:qFormat/>
    <w:uiPriority w:val="0"/>
    <w:pPr>
      <w:adjustRightInd w:val="0"/>
      <w:snapToGrid w:val="0"/>
      <w:spacing w:line="300" w:lineRule="auto"/>
      <w:jc w:val="center"/>
    </w:pPr>
    <w:rPr>
      <w:rFonts w:ascii="宋体" w:hAnsi="宋体" w:cs="宋体"/>
      <w:szCs w:val="20"/>
    </w:rPr>
  </w:style>
  <w:style w:type="paragraph" w:customStyle="1" w:styleId="3399">
    <w:name w:val="样式 标题3 + Times New Roman"/>
    <w:basedOn w:val="182"/>
    <w:autoRedefine/>
    <w:qFormat/>
    <w:uiPriority w:val="0"/>
    <w:pPr>
      <w:keepNext w:val="0"/>
      <w:keepLines w:val="0"/>
      <w:adjustRightInd w:val="0"/>
      <w:spacing w:before="0" w:after="0" w:line="500" w:lineRule="exact"/>
      <w:ind w:left="0" w:firstLine="0"/>
      <w:textAlignment w:val="baseline"/>
      <w:outlineLvl w:val="9"/>
    </w:pPr>
    <w:rPr>
      <w:sz w:val="28"/>
      <w:szCs w:val="20"/>
    </w:rPr>
  </w:style>
  <w:style w:type="paragraph" w:customStyle="1" w:styleId="3400">
    <w:name w:val="Char Char Char Char Char Char Char Char Char Char Char Char Char Char Char Char Char Char Char Char Char Char Char Char Char Char Char Char Char Char2"/>
    <w:basedOn w:val="1"/>
    <w:autoRedefine/>
    <w:qFormat/>
    <w:uiPriority w:val="39"/>
    <w:rPr>
      <w:sz w:val="24"/>
    </w:rPr>
  </w:style>
  <w:style w:type="paragraph" w:customStyle="1" w:styleId="3401">
    <w:name w:val="表内534"/>
    <w:basedOn w:val="1"/>
    <w:autoRedefine/>
    <w:qFormat/>
    <w:uiPriority w:val="0"/>
    <w:pPr>
      <w:adjustRightInd w:val="0"/>
      <w:snapToGrid w:val="0"/>
      <w:spacing w:line="300" w:lineRule="auto"/>
      <w:jc w:val="left"/>
    </w:pPr>
    <w:rPr>
      <w:rFonts w:ascii="宋体"/>
      <w:szCs w:val="20"/>
    </w:rPr>
  </w:style>
  <w:style w:type="paragraph" w:customStyle="1" w:styleId="3402">
    <w:name w:val="Char Char21 Char Char Char Char"/>
    <w:basedOn w:val="1"/>
    <w:autoRedefine/>
    <w:qFormat/>
    <w:uiPriority w:val="0"/>
    <w:rPr>
      <w:rFonts w:ascii="黑体" w:hAnsi="黑体" w:eastAsia="黑体"/>
      <w:b/>
      <w:spacing w:val="10"/>
      <w:kern w:val="44"/>
      <w:sz w:val="28"/>
      <w:szCs w:val="20"/>
    </w:rPr>
  </w:style>
  <w:style w:type="paragraph" w:customStyle="1" w:styleId="3403">
    <w:name w:val="样式 表格内字体 +2"/>
    <w:basedOn w:val="417"/>
    <w:autoRedefine/>
    <w:qFormat/>
    <w:uiPriority w:val="0"/>
    <w:pPr>
      <w:spacing w:line="280" w:lineRule="exact"/>
      <w:ind w:firstLine="36"/>
      <w:jc w:val="both"/>
    </w:pPr>
  </w:style>
  <w:style w:type="paragraph" w:customStyle="1" w:styleId="3404">
    <w:name w:val="标题43131"/>
    <w:basedOn w:val="1"/>
    <w:autoRedefine/>
    <w:qFormat/>
    <w:uiPriority w:val="0"/>
    <w:pPr>
      <w:adjustRightInd w:val="0"/>
      <w:snapToGrid w:val="0"/>
      <w:spacing w:line="480" w:lineRule="exact"/>
      <w:jc w:val="center"/>
    </w:pPr>
    <w:rPr>
      <w:rFonts w:ascii="宋体" w:hAnsi="宋体" w:cs="宋体"/>
      <w:sz w:val="24"/>
    </w:rPr>
  </w:style>
  <w:style w:type="paragraph" w:customStyle="1" w:styleId="3405">
    <w:name w:val="正文首行缩进  2字符"/>
    <w:basedOn w:val="1"/>
    <w:autoRedefine/>
    <w:qFormat/>
    <w:uiPriority w:val="0"/>
    <w:pPr>
      <w:spacing w:line="360" w:lineRule="auto"/>
      <w:ind w:firstLine="480" w:firstLineChars="200"/>
    </w:pPr>
    <w:rPr>
      <w:sz w:val="24"/>
      <w:szCs w:val="20"/>
    </w:rPr>
  </w:style>
  <w:style w:type="paragraph" w:customStyle="1" w:styleId="3406">
    <w:name w:val="表格两端对齐"/>
    <w:basedOn w:val="3407"/>
    <w:autoRedefine/>
    <w:qFormat/>
    <w:uiPriority w:val="0"/>
    <w:pPr>
      <w:spacing w:line="360" w:lineRule="auto"/>
    </w:pPr>
  </w:style>
  <w:style w:type="paragraph" w:customStyle="1" w:styleId="3407">
    <w:name w:val="表格居中"/>
    <w:basedOn w:val="1"/>
    <w:autoRedefine/>
    <w:qFormat/>
    <w:uiPriority w:val="0"/>
    <w:pPr>
      <w:jc w:val="center"/>
    </w:pPr>
    <w:rPr>
      <w:rFonts w:ascii="宋体" w:hAnsi="宋体"/>
      <w:bCs/>
      <w:snapToGrid w:val="0"/>
      <w:kern w:val="18"/>
      <w:szCs w:val="21"/>
      <w:u w:color="FF0000"/>
    </w:rPr>
  </w:style>
  <w:style w:type="paragraph" w:customStyle="1" w:styleId="3408">
    <w:name w:val="Char Char Char Char Char Char Char Char Char Char Char2"/>
    <w:basedOn w:val="1"/>
    <w:autoRedefine/>
    <w:qFormat/>
    <w:uiPriority w:val="39"/>
    <w:rPr>
      <w:sz w:val="24"/>
    </w:rPr>
  </w:style>
  <w:style w:type="paragraph" w:customStyle="1" w:styleId="3409">
    <w:name w:val="样式 表格文字 + (中文) 仿宋_GB23121"/>
    <w:basedOn w:val="149"/>
    <w:autoRedefine/>
    <w:qFormat/>
    <w:uiPriority w:val="0"/>
    <w:pPr>
      <w:jc w:val="left"/>
    </w:pPr>
    <w:rPr>
      <w:rFonts w:hAnsi="仿宋_GB2312"/>
      <w:color w:val="800080"/>
      <w:kern w:val="0"/>
      <w:szCs w:val="24"/>
    </w:rPr>
  </w:style>
  <w:style w:type="paragraph" w:customStyle="1" w:styleId="3410">
    <w:name w:val="样式3.4.1"/>
    <w:basedOn w:val="1"/>
    <w:autoRedefine/>
    <w:qFormat/>
    <w:uiPriority w:val="99"/>
    <w:pPr>
      <w:tabs>
        <w:tab w:val="left" w:pos="-962"/>
        <w:tab w:val="left" w:pos="0"/>
      </w:tabs>
      <w:spacing w:beforeLines="50" w:line="360" w:lineRule="auto"/>
      <w:ind w:left="-962"/>
      <w:outlineLvl w:val="2"/>
    </w:pPr>
    <w:rPr>
      <w:rFonts w:ascii="宋体" w:hAnsi="宋体"/>
      <w:b/>
      <w:sz w:val="28"/>
    </w:rPr>
  </w:style>
  <w:style w:type="paragraph" w:customStyle="1" w:styleId="3411">
    <w:name w:val="表格内字体24"/>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412">
    <w:name w:val="表中文字211"/>
    <w:basedOn w:val="1"/>
    <w:autoRedefine/>
    <w:qFormat/>
    <w:uiPriority w:val="0"/>
    <w:pPr>
      <w:widowControl/>
      <w:adjustRightInd w:val="0"/>
      <w:spacing w:line="240" w:lineRule="atLeast"/>
      <w:ind w:right="-42" w:rightChars="-20"/>
      <w:jc w:val="center"/>
      <w:textAlignment w:val="baseline"/>
    </w:pPr>
    <w:rPr>
      <w:rFonts w:ascii="宋体"/>
      <w:kern w:val="0"/>
      <w:szCs w:val="21"/>
    </w:rPr>
  </w:style>
  <w:style w:type="paragraph" w:customStyle="1" w:styleId="3413">
    <w:name w:val="图题6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414">
    <w:name w:val="样式 样式 正文文本缩进正文文字缩进 + 行距: 单倍行距 + 首行缩进:  2 字符"/>
    <w:basedOn w:val="3325"/>
    <w:autoRedefine/>
    <w:qFormat/>
    <w:uiPriority w:val="0"/>
    <w:pPr>
      <w:spacing w:line="500" w:lineRule="exact"/>
      <w:ind w:firstLine="200"/>
    </w:pPr>
  </w:style>
  <w:style w:type="paragraph" w:customStyle="1" w:styleId="3415">
    <w:name w:val="样式 样式 标题 2节标题 1.1节第一章 标题 2Heading 2 HiddenHeading 2 CCBSheadi......"/>
    <w:basedOn w:val="954"/>
    <w:autoRedefine/>
    <w:qFormat/>
    <w:uiPriority w:val="99"/>
    <w:pPr>
      <w:spacing w:beforeLines="0" w:line="360" w:lineRule="auto"/>
    </w:pPr>
    <w:rPr>
      <w:rFonts w:cs="宋体"/>
      <w:b w:val="0"/>
      <w:szCs w:val="20"/>
    </w:rPr>
  </w:style>
  <w:style w:type="paragraph" w:customStyle="1" w:styleId="3416">
    <w:name w:val="Char Char Char Char Char Char Char Char Char Char Char1 Char Char Char Char2"/>
    <w:basedOn w:val="1"/>
    <w:autoRedefine/>
    <w:qFormat/>
    <w:uiPriority w:val="39"/>
    <w:rPr>
      <w:sz w:val="24"/>
    </w:rPr>
  </w:style>
  <w:style w:type="paragraph" w:customStyle="1" w:styleId="3417">
    <w:name w:val="样式444"/>
    <w:basedOn w:val="1"/>
    <w:autoRedefine/>
    <w:qFormat/>
    <w:uiPriority w:val="99"/>
    <w:pPr>
      <w:spacing w:beforeLines="50" w:line="360" w:lineRule="auto"/>
    </w:pPr>
    <w:rPr>
      <w:b/>
      <w:sz w:val="28"/>
    </w:rPr>
  </w:style>
  <w:style w:type="paragraph" w:customStyle="1" w:styleId="3418">
    <w:name w:val="样式1211"/>
    <w:basedOn w:val="1605"/>
    <w:autoRedefine/>
    <w:qFormat/>
    <w:uiPriority w:val="0"/>
    <w:pPr>
      <w:spacing w:line="240" w:lineRule="auto"/>
      <w:ind w:firstLine="0"/>
      <w:jc w:val="center"/>
    </w:pPr>
    <w:rPr>
      <w:rFonts w:cs="Times New Roman"/>
      <w:b/>
      <w:color w:val="auto"/>
      <w:szCs w:val="20"/>
    </w:rPr>
  </w:style>
  <w:style w:type="paragraph" w:customStyle="1" w:styleId="3419">
    <w:name w:val="五号字表格"/>
    <w:basedOn w:val="644"/>
    <w:autoRedefine/>
    <w:qFormat/>
    <w:uiPriority w:val="0"/>
    <w:pPr>
      <w:adjustRightInd w:val="0"/>
      <w:snapToGrid/>
      <w:spacing w:line="240" w:lineRule="auto"/>
      <w:textAlignment w:val="baseline"/>
    </w:pPr>
    <w:rPr>
      <w:rFonts w:ascii="宋体" w:eastAsia="宋体"/>
      <w:sz w:val="21"/>
    </w:rPr>
  </w:style>
  <w:style w:type="paragraph" w:customStyle="1" w:styleId="3420">
    <w:name w:val="c11"/>
    <w:autoRedefine/>
    <w:qFormat/>
    <w:uiPriority w:val="0"/>
    <w:pPr>
      <w:widowControl w:val="0"/>
      <w:autoSpaceDE w:val="0"/>
      <w:autoSpaceDN w:val="0"/>
      <w:adjustRightInd w:val="0"/>
      <w:jc w:val="both"/>
    </w:pPr>
    <w:rPr>
      <w:rFonts w:ascii="Arial" w:hAnsi="Arial" w:eastAsia="宋体" w:cs="Times New Roman"/>
      <w:sz w:val="24"/>
      <w:lang w:val="en-US" w:eastAsia="zh-CN" w:bidi="ar-SA"/>
    </w:rPr>
  </w:style>
  <w:style w:type="paragraph" w:customStyle="1" w:styleId="3421">
    <w:name w:val="正文.4"/>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3422">
    <w:name w:val="样式 标题 4 + 行距: 多倍行距 1.3 字行"/>
    <w:basedOn w:val="6"/>
    <w:autoRedefine/>
    <w:qFormat/>
    <w:uiPriority w:val="0"/>
    <w:pPr>
      <w:tabs>
        <w:tab w:val="left" w:pos="1200"/>
      </w:tabs>
      <w:snapToGrid w:val="0"/>
      <w:spacing w:beforeLines="20" w:afterLines="20" w:line="300" w:lineRule="auto"/>
      <w:ind w:left="0" w:firstLine="0"/>
    </w:pPr>
    <w:rPr>
      <w:rFonts w:ascii="仿宋_GB2312" w:eastAsia="仿宋_GB2312"/>
      <w:b w:val="0"/>
    </w:rPr>
  </w:style>
  <w:style w:type="paragraph" w:customStyle="1" w:styleId="3423">
    <w:name w:val="表目录"/>
    <w:basedOn w:val="1"/>
    <w:autoRedefine/>
    <w:qFormat/>
    <w:uiPriority w:val="0"/>
    <w:pPr>
      <w:adjustRightInd w:val="0"/>
      <w:snapToGrid w:val="0"/>
      <w:spacing w:line="360" w:lineRule="auto"/>
    </w:pPr>
    <w:rPr>
      <w:rFonts w:ascii="黑体" w:hAnsi="宋体" w:eastAsia="黑体"/>
      <w:szCs w:val="21"/>
    </w:rPr>
  </w:style>
  <w:style w:type="paragraph" w:customStyle="1" w:styleId="3424">
    <w:name w:val="样式 样式3.4.1 + 段前: 0.5 行"/>
    <w:basedOn w:val="3410"/>
    <w:autoRedefine/>
    <w:qFormat/>
    <w:uiPriority w:val="99"/>
    <w:pPr>
      <w:spacing w:beforeLines="0"/>
    </w:pPr>
    <w:rPr>
      <w:rFonts w:ascii="Times New Roman" w:hAnsi="Times New Roman" w:cs="宋体"/>
      <w:bCs/>
      <w:szCs w:val="20"/>
    </w:rPr>
  </w:style>
  <w:style w:type="paragraph" w:customStyle="1" w:styleId="3425">
    <w:name w:val="Char Char Char Char Char Char Char Char Char Char Char Char Char Char Char Char Char Char Char Char Char Char Char Char Char Char3"/>
    <w:basedOn w:val="1"/>
    <w:autoRedefine/>
    <w:qFormat/>
    <w:uiPriority w:val="39"/>
    <w:rPr>
      <w:sz w:val="24"/>
    </w:rPr>
  </w:style>
  <w:style w:type="paragraph" w:customStyle="1" w:styleId="3426">
    <w:name w:val="表内521"/>
    <w:basedOn w:val="1"/>
    <w:autoRedefine/>
    <w:qFormat/>
    <w:uiPriority w:val="0"/>
    <w:pPr>
      <w:adjustRightInd w:val="0"/>
      <w:snapToGrid w:val="0"/>
      <w:spacing w:line="300" w:lineRule="auto"/>
      <w:jc w:val="left"/>
    </w:pPr>
    <w:rPr>
      <w:rFonts w:ascii="宋体"/>
      <w:sz w:val="18"/>
      <w:szCs w:val="20"/>
    </w:rPr>
  </w:style>
  <w:style w:type="paragraph" w:customStyle="1" w:styleId="3427">
    <w:name w:val="默认段落字体 Para Char Char Char Char32"/>
    <w:basedOn w:val="1"/>
    <w:autoRedefine/>
    <w:qFormat/>
    <w:uiPriority w:val="0"/>
  </w:style>
  <w:style w:type="paragraph" w:customStyle="1" w:styleId="3428">
    <w:name w:val="样式 样式 标题2 + (西文) Times New Roman (中文) 宋体 加粗 + 段前: 0.5 行 段后: 0.5..."/>
    <w:basedOn w:val="3380"/>
    <w:autoRedefine/>
    <w:qFormat/>
    <w:uiPriority w:val="0"/>
    <w:rPr>
      <w:rFonts w:eastAsia="仿宋_GB2312" w:cs="宋体"/>
    </w:rPr>
  </w:style>
  <w:style w:type="paragraph" w:customStyle="1" w:styleId="3429">
    <w:name w:val="表格，五宋"/>
    <w:autoRedefine/>
    <w:qFormat/>
    <w:uiPriority w:val="0"/>
    <w:pPr>
      <w:adjustRightInd w:val="0"/>
      <w:spacing w:line="360" w:lineRule="exact"/>
      <w:jc w:val="center"/>
    </w:pPr>
    <w:rPr>
      <w:rFonts w:ascii="Times New Roman" w:hAnsi="Times New Roman" w:eastAsia="宋体" w:cs="Times New Roman"/>
      <w:sz w:val="21"/>
      <w:lang w:val="en-US" w:eastAsia="zh-CN" w:bidi="ar-SA"/>
    </w:rPr>
  </w:style>
  <w:style w:type="paragraph" w:customStyle="1" w:styleId="3430">
    <w:name w:val="样式 样式444 + 段前: 0.5 行"/>
    <w:basedOn w:val="3417"/>
    <w:autoRedefine/>
    <w:qFormat/>
    <w:uiPriority w:val="99"/>
    <w:pPr>
      <w:tabs>
        <w:tab w:val="left" w:pos="-1276"/>
        <w:tab w:val="left" w:pos="0"/>
      </w:tabs>
      <w:spacing w:beforeLines="0"/>
      <w:ind w:left="1260" w:hanging="420"/>
    </w:pPr>
    <w:rPr>
      <w:rFonts w:cs="宋体"/>
      <w:bCs/>
      <w:szCs w:val="20"/>
    </w:rPr>
  </w:style>
  <w:style w:type="paragraph" w:customStyle="1" w:styleId="3431">
    <w:name w:val="Char Char Char Char Char Char Char Char Char Char Char Char2"/>
    <w:basedOn w:val="1"/>
    <w:autoRedefine/>
    <w:qFormat/>
    <w:uiPriority w:val="39"/>
    <w:rPr>
      <w:sz w:val="24"/>
    </w:rPr>
  </w:style>
  <w:style w:type="paragraph" w:customStyle="1" w:styleId="3432">
    <w:name w:val="样式 表格文字 + (中文) 仿宋_GB2312 首行缩进:  0.85 厘米"/>
    <w:basedOn w:val="149"/>
    <w:autoRedefine/>
    <w:qFormat/>
    <w:uiPriority w:val="0"/>
    <w:pPr>
      <w:jc w:val="left"/>
    </w:pPr>
    <w:rPr>
      <w:rFonts w:hAnsi="仿宋_GB2312" w:cs="宋体"/>
      <w:color w:val="800080"/>
      <w:kern w:val="0"/>
    </w:rPr>
  </w:style>
  <w:style w:type="paragraph" w:customStyle="1" w:styleId="3433">
    <w:name w:val="表格内字体41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434">
    <w:name w:val="样式 列表 2 + 宋体 小四 行距: 固定值 19 磅"/>
    <w:basedOn w:val="37"/>
    <w:autoRedefine/>
    <w:qFormat/>
    <w:uiPriority w:val="0"/>
    <w:pPr>
      <w:spacing w:line="400" w:lineRule="exact"/>
      <w:ind w:left="0" w:leftChars="0" w:firstLine="0" w:firstLineChars="0"/>
      <w:jc w:val="center"/>
    </w:pPr>
    <w:rPr>
      <w:rFonts w:ascii="宋体" w:hAnsi="宋体" w:cs="宋体"/>
      <w:sz w:val="24"/>
    </w:rPr>
  </w:style>
  <w:style w:type="paragraph" w:customStyle="1" w:styleId="3435">
    <w:name w:val="Char Char Char Char Char Char Char Char Char Char Char Char Char Char Char Char Char2"/>
    <w:basedOn w:val="1"/>
    <w:autoRedefine/>
    <w:qFormat/>
    <w:uiPriority w:val="39"/>
    <w:rPr>
      <w:sz w:val="24"/>
    </w:rPr>
  </w:style>
  <w:style w:type="paragraph" w:customStyle="1" w:styleId="3436">
    <w:name w:val="Char Char2 Char Char Char Char211"/>
    <w:basedOn w:val="1"/>
    <w:autoRedefine/>
    <w:qFormat/>
    <w:uiPriority w:val="0"/>
  </w:style>
  <w:style w:type="paragraph" w:customStyle="1" w:styleId="3437">
    <w:name w:val="样式 标题1 + 段前: 6 磅 段后: 6 磅"/>
    <w:basedOn w:val="3"/>
    <w:autoRedefine/>
    <w:qFormat/>
    <w:uiPriority w:val="0"/>
    <w:pPr>
      <w:keepLines/>
      <w:overflowPunct/>
      <w:snapToGrid/>
      <w:spacing w:after="120" w:line="500" w:lineRule="exact"/>
      <w:ind w:left="0" w:firstLine="0"/>
    </w:pPr>
    <w:rPr>
      <w:rFonts w:cs="宋体"/>
      <w:color w:val="auto"/>
      <w:szCs w:val="20"/>
    </w:rPr>
  </w:style>
  <w:style w:type="paragraph" w:customStyle="1" w:styleId="3438">
    <w:name w:val="表内宋511112"/>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3439">
    <w:name w:val="Char Char Char Char Char Char Char Char Char2"/>
    <w:basedOn w:val="1"/>
    <w:autoRedefine/>
    <w:qFormat/>
    <w:uiPriority w:val="39"/>
    <w:rPr>
      <w:sz w:val="24"/>
    </w:rPr>
  </w:style>
  <w:style w:type="paragraph" w:customStyle="1" w:styleId="3440">
    <w:name w:val="456"/>
    <w:basedOn w:val="6"/>
    <w:autoRedefine/>
    <w:qFormat/>
    <w:uiPriority w:val="0"/>
    <w:pPr>
      <w:spacing w:beforeLines="50" w:afterLines="50"/>
      <w:ind w:left="0" w:firstLine="0"/>
    </w:pPr>
    <w:rPr>
      <w:b w:val="0"/>
      <w:sz w:val="30"/>
      <w:szCs w:val="30"/>
    </w:rPr>
  </w:style>
  <w:style w:type="paragraph" w:customStyle="1" w:styleId="3441">
    <w:name w:val="表格内字体213"/>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442">
    <w:name w:val="图题51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443">
    <w:name w:val="样式 标题 2第一章 标题 2Heading 2 HiddenHeading 2 CCBSheading 2H2h2...4"/>
    <w:basedOn w:val="4"/>
    <w:autoRedefine/>
    <w:qFormat/>
    <w:uiPriority w:val="0"/>
    <w:pPr>
      <w:spacing w:before="120" w:after="120" w:line="500" w:lineRule="exact"/>
    </w:pPr>
    <w:rPr>
      <w:rFonts w:ascii="Times New Roman" w:hAnsi="Times New Roman" w:eastAsia="仿宋_GB2312"/>
      <w:color w:val="000000"/>
      <w:sz w:val="28"/>
    </w:rPr>
  </w:style>
  <w:style w:type="paragraph" w:customStyle="1" w:styleId="3444">
    <w:name w:val="Char Char Char Char Char Char Char Char Char Char Char Char Char Char Char Char Char Char Char Char Char Char Char Char Char Char Char Char Char Char Char Char Char Char Char Char Char Char2"/>
    <w:basedOn w:val="1"/>
    <w:autoRedefine/>
    <w:qFormat/>
    <w:uiPriority w:val="39"/>
    <w:rPr>
      <w:sz w:val="24"/>
    </w:rPr>
  </w:style>
  <w:style w:type="paragraph" w:customStyle="1" w:styleId="3445">
    <w:name w:val="正文首行缩进2字符"/>
    <w:basedOn w:val="1"/>
    <w:autoRedefine/>
    <w:qFormat/>
    <w:uiPriority w:val="0"/>
    <w:pPr>
      <w:spacing w:line="500" w:lineRule="exact"/>
      <w:ind w:firstLine="200" w:firstLineChars="200"/>
    </w:pPr>
    <w:rPr>
      <w:rFonts w:ascii="宋体" w:hAnsi="宋体" w:cs="宋体"/>
      <w:sz w:val="28"/>
      <w:szCs w:val="28"/>
    </w:rPr>
  </w:style>
  <w:style w:type="paragraph" w:customStyle="1" w:styleId="3446">
    <w:name w:val="表内文字小25"/>
    <w:basedOn w:val="1"/>
    <w:autoRedefine/>
    <w:qFormat/>
    <w:uiPriority w:val="0"/>
    <w:pPr>
      <w:adjustRightInd w:val="0"/>
      <w:snapToGrid w:val="0"/>
      <w:jc w:val="center"/>
    </w:pPr>
    <w:rPr>
      <w:rFonts w:ascii="宋体" w:hAnsi="Times"/>
      <w:bCs/>
      <w:color w:val="000000"/>
      <w:szCs w:val="20"/>
    </w:rPr>
  </w:style>
  <w:style w:type="paragraph" w:customStyle="1" w:styleId="3447">
    <w:name w:val="A正文2"/>
    <w:basedOn w:val="1"/>
    <w:autoRedefine/>
    <w:qFormat/>
    <w:uiPriority w:val="0"/>
    <w:pPr>
      <w:widowControl/>
      <w:overflowPunct w:val="0"/>
      <w:autoSpaceDE w:val="0"/>
      <w:autoSpaceDN w:val="0"/>
      <w:adjustRightInd w:val="0"/>
      <w:spacing w:line="360" w:lineRule="auto"/>
      <w:ind w:firstLine="200" w:firstLineChars="200"/>
      <w:jc w:val="left"/>
      <w:textAlignment w:val="baseline"/>
    </w:pPr>
    <w:rPr>
      <w:rFonts w:eastAsia="仿宋_GB2312"/>
      <w:kern w:val="0"/>
      <w:sz w:val="24"/>
    </w:rPr>
  </w:style>
  <w:style w:type="paragraph" w:customStyle="1" w:styleId="3448">
    <w:name w:val="图题211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449">
    <w:name w:val="图表说明"/>
    <w:basedOn w:val="2492"/>
    <w:autoRedefine/>
    <w:qFormat/>
    <w:uiPriority w:val="0"/>
    <w:pPr>
      <w:tabs>
        <w:tab w:val="left" w:pos="0"/>
      </w:tabs>
      <w:spacing w:line="400" w:lineRule="exact"/>
      <w:ind w:firstLine="3600" w:firstLineChars="1500"/>
    </w:pPr>
    <w:rPr>
      <w:rFonts w:hAnsi="Times New Roman"/>
      <w:sz w:val="24"/>
    </w:rPr>
  </w:style>
  <w:style w:type="paragraph" w:customStyle="1" w:styleId="3450">
    <w:name w:val="我的正文"/>
    <w:basedOn w:val="35"/>
    <w:autoRedefine/>
    <w:qFormat/>
    <w:uiPriority w:val="0"/>
    <w:pPr>
      <w:adjustRightInd w:val="0"/>
      <w:spacing w:after="0" w:line="480" w:lineRule="exact"/>
      <w:ind w:left="0" w:leftChars="0" w:firstLine="200" w:firstLineChars="200"/>
      <w:textAlignment w:val="baseline"/>
    </w:pPr>
    <w:rPr>
      <w:sz w:val="28"/>
      <w:szCs w:val="24"/>
      <w:lang w:val="en-US"/>
    </w:rPr>
  </w:style>
  <w:style w:type="paragraph" w:customStyle="1" w:styleId="3451">
    <w:name w:val="Char412"/>
    <w:basedOn w:val="1"/>
    <w:autoRedefine/>
    <w:qFormat/>
    <w:uiPriority w:val="0"/>
    <w:pPr>
      <w:ind w:left="-48"/>
    </w:pPr>
  </w:style>
  <w:style w:type="paragraph" w:customStyle="1" w:styleId="3452">
    <w:name w:val="样式 标题 2第一章 标题 2Heading 2 HiddenHeading 2 CCBSheading 2H2h2..."/>
    <w:basedOn w:val="4"/>
    <w:autoRedefine/>
    <w:qFormat/>
    <w:uiPriority w:val="0"/>
    <w:pPr>
      <w:spacing w:before="120" w:after="120" w:line="500" w:lineRule="exact"/>
    </w:pPr>
    <w:rPr>
      <w:rFonts w:ascii="Times New Roman" w:hAnsi="Times New Roman" w:eastAsia="仿宋_GB2312"/>
      <w:color w:val="000000"/>
      <w:kern w:val="44"/>
      <w:sz w:val="28"/>
    </w:rPr>
  </w:style>
  <w:style w:type="paragraph" w:customStyle="1" w:styleId="3453">
    <w:name w:val="Char Char Char Char Char Char Char Char Char Char Char Char Char Char Char Char Char Char Char Char Char Char Char Char Char Char12"/>
    <w:basedOn w:val="1"/>
    <w:autoRedefine/>
    <w:qFormat/>
    <w:uiPriority w:val="39"/>
    <w:rPr>
      <w:sz w:val="24"/>
    </w:rPr>
  </w:style>
  <w:style w:type="paragraph" w:customStyle="1" w:styleId="3454">
    <w:name w:val="样式 标题 3标2标题 3 Char Char Char + 段前: 0.5 行1"/>
    <w:basedOn w:val="5"/>
    <w:autoRedefine/>
    <w:qFormat/>
    <w:uiPriority w:val="0"/>
    <w:pPr>
      <w:keepLines w:val="0"/>
      <w:widowControl/>
      <w:tabs>
        <w:tab w:val="left" w:pos="907"/>
      </w:tabs>
      <w:spacing w:beforeLines="50" w:after="0" w:line="360" w:lineRule="auto"/>
      <w:ind w:left="907" w:hanging="907"/>
      <w:jc w:val="left"/>
    </w:pPr>
    <w:rPr>
      <w:rFonts w:ascii="Arial" w:hAnsi="Arial" w:eastAsia="黑体" w:cs="宋体"/>
      <w:b w:val="0"/>
      <w:bCs w:val="0"/>
      <w:kern w:val="0"/>
      <w:sz w:val="24"/>
      <w:szCs w:val="20"/>
      <w:lang w:val="en-US"/>
    </w:rPr>
  </w:style>
  <w:style w:type="paragraph" w:customStyle="1" w:styleId="3455">
    <w:name w:val="文本框111"/>
    <w:basedOn w:val="1"/>
    <w:autoRedefine/>
    <w:qFormat/>
    <w:uiPriority w:val="0"/>
    <w:pPr>
      <w:adjustRightInd w:val="0"/>
      <w:snapToGrid w:val="0"/>
      <w:spacing w:after="6"/>
      <w:jc w:val="center"/>
    </w:pPr>
    <w:rPr>
      <w:rFonts w:eastAsia="仿宋_GB2312"/>
    </w:rPr>
  </w:style>
  <w:style w:type="paragraph" w:customStyle="1" w:styleId="3456">
    <w:name w:val="Char Char Char Char Char Char Char Char3"/>
    <w:basedOn w:val="1"/>
    <w:autoRedefine/>
    <w:qFormat/>
    <w:uiPriority w:val="39"/>
    <w:rPr>
      <w:sz w:val="24"/>
    </w:rPr>
  </w:style>
  <w:style w:type="paragraph" w:customStyle="1" w:styleId="3457">
    <w:name w:val="Char Char Char Char Char3"/>
    <w:basedOn w:val="1"/>
    <w:autoRedefine/>
    <w:qFormat/>
    <w:uiPriority w:val="39"/>
    <w:rPr>
      <w:sz w:val="24"/>
    </w:rPr>
  </w:style>
  <w:style w:type="paragraph" w:customStyle="1" w:styleId="3458">
    <w:name w:val="正文格式33"/>
    <w:basedOn w:val="1"/>
    <w:autoRedefine/>
    <w:qFormat/>
    <w:uiPriority w:val="0"/>
    <w:pPr>
      <w:spacing w:line="360" w:lineRule="auto"/>
      <w:ind w:firstLine="482"/>
    </w:pPr>
    <w:rPr>
      <w:rFonts w:ascii="宋体" w:hAnsi="宋体"/>
      <w:sz w:val="24"/>
    </w:rPr>
  </w:style>
  <w:style w:type="paragraph" w:customStyle="1" w:styleId="3459">
    <w:name w:val="正文0712"/>
    <w:basedOn w:val="9"/>
    <w:autoRedefine/>
    <w:qFormat/>
    <w:uiPriority w:val="0"/>
    <w:pPr>
      <w:spacing w:line="360" w:lineRule="auto"/>
      <w:ind w:right="-157" w:rightChars="-157" w:firstLine="200"/>
    </w:pPr>
    <w:rPr>
      <w:rFonts w:cs="宋体"/>
      <w:kern w:val="0"/>
      <w:sz w:val="24"/>
      <w:lang w:val="en-US"/>
    </w:rPr>
  </w:style>
  <w:style w:type="paragraph" w:customStyle="1" w:styleId="3460">
    <w:name w:val="正文图小五"/>
    <w:basedOn w:val="1"/>
    <w:autoRedefine/>
    <w:qFormat/>
    <w:uiPriority w:val="0"/>
    <w:pPr>
      <w:adjustRightInd w:val="0"/>
      <w:snapToGrid w:val="0"/>
      <w:jc w:val="center"/>
    </w:pPr>
    <w:rPr>
      <w:rFonts w:eastAsia="黑体"/>
      <w:spacing w:val="6"/>
      <w:szCs w:val="20"/>
    </w:rPr>
  </w:style>
  <w:style w:type="paragraph" w:customStyle="1" w:styleId="3461">
    <w:name w:val="样式 样式 样式 标题2 + (西文) Times New Roman (中文) 宋体 加粗 + 段前: 0.5 行 段后: 0..."/>
    <w:basedOn w:val="3428"/>
    <w:autoRedefine/>
    <w:qFormat/>
    <w:uiPriority w:val="0"/>
    <w:rPr>
      <w:color w:val="000000"/>
    </w:rPr>
  </w:style>
  <w:style w:type="paragraph" w:customStyle="1" w:styleId="3462">
    <w:name w:val="Char511"/>
    <w:basedOn w:val="1"/>
    <w:autoRedefine/>
    <w:qFormat/>
    <w:uiPriority w:val="0"/>
    <w:pPr>
      <w:adjustRightInd w:val="0"/>
      <w:snapToGrid w:val="0"/>
      <w:ind w:left="-45"/>
    </w:pPr>
  </w:style>
  <w:style w:type="paragraph" w:customStyle="1" w:styleId="3463">
    <w:name w:val="表题31312"/>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464">
    <w:name w:val="Char Char2 Char Char Char Char7"/>
    <w:basedOn w:val="1"/>
    <w:autoRedefine/>
    <w:qFormat/>
    <w:uiPriority w:val="0"/>
  </w:style>
  <w:style w:type="paragraph" w:customStyle="1" w:styleId="3465">
    <w:name w:val="Char3211"/>
    <w:basedOn w:val="1"/>
    <w:autoRedefine/>
    <w:qFormat/>
    <w:uiPriority w:val="0"/>
    <w:pPr>
      <w:ind w:left="-48"/>
    </w:pPr>
  </w:style>
  <w:style w:type="paragraph" w:customStyle="1" w:styleId="3466">
    <w:name w:val="表格文字小四"/>
    <w:basedOn w:val="1"/>
    <w:autoRedefine/>
    <w:qFormat/>
    <w:uiPriority w:val="0"/>
    <w:pPr>
      <w:adjustRightInd w:val="0"/>
      <w:snapToGrid w:val="0"/>
      <w:spacing w:beforeLines="10" w:afterLines="10"/>
      <w:jc w:val="center"/>
    </w:pPr>
    <w:rPr>
      <w:rFonts w:ascii="Arial" w:hAnsi="Arial" w:cs="Arial"/>
      <w:snapToGrid w:val="0"/>
      <w:kern w:val="0"/>
      <w:sz w:val="24"/>
      <w:szCs w:val="20"/>
    </w:rPr>
  </w:style>
  <w:style w:type="paragraph" w:customStyle="1" w:styleId="3467">
    <w:name w:val="首行缩进两字"/>
    <w:basedOn w:val="1"/>
    <w:autoRedefine/>
    <w:qFormat/>
    <w:uiPriority w:val="0"/>
    <w:pPr>
      <w:ind w:firstLine="549" w:firstLineChars="196"/>
      <w:jc w:val="left"/>
    </w:pPr>
    <w:rPr>
      <w:rFonts w:ascii="宋体" w:hAnsi="宋体"/>
      <w:sz w:val="28"/>
      <w:szCs w:val="20"/>
    </w:rPr>
  </w:style>
  <w:style w:type="paragraph" w:customStyle="1" w:styleId="3468">
    <w:name w:val="Char Char Char Char Char Char Char Char1 Char Char Char Char Char Char Char Char Char Char Char Char1 Char3"/>
    <w:basedOn w:val="1"/>
    <w:autoRedefine/>
    <w:qFormat/>
    <w:uiPriority w:val="39"/>
    <w:rPr>
      <w:sz w:val="24"/>
    </w:rPr>
  </w:style>
  <w:style w:type="paragraph" w:customStyle="1" w:styleId="3469">
    <w:name w:val="默认段落字体 Para Char Char Char Char412"/>
    <w:basedOn w:val="1"/>
    <w:autoRedefine/>
    <w:qFormat/>
    <w:uiPriority w:val="0"/>
  </w:style>
  <w:style w:type="paragraph" w:customStyle="1" w:styleId="3470">
    <w:name w:val="Char Char Char Char Char Char Char Char Char Char Char Char Char Char Char Char Char Char Char Char Char Char Char Char Char2"/>
    <w:basedOn w:val="1"/>
    <w:autoRedefine/>
    <w:qFormat/>
    <w:uiPriority w:val="39"/>
    <w:rPr>
      <w:sz w:val="24"/>
    </w:rPr>
  </w:style>
  <w:style w:type="paragraph" w:customStyle="1" w:styleId="3471">
    <w:name w:val="表311"/>
    <w:basedOn w:val="1"/>
    <w:autoRedefine/>
    <w:qFormat/>
    <w:uiPriority w:val="0"/>
    <w:pPr>
      <w:adjustRightInd w:val="0"/>
      <w:snapToGrid w:val="0"/>
      <w:jc w:val="center"/>
    </w:pPr>
    <w:rPr>
      <w:rFonts w:eastAsia="仿宋_GB2312"/>
      <w:sz w:val="24"/>
    </w:rPr>
  </w:style>
  <w:style w:type="paragraph" w:customStyle="1" w:styleId="3472">
    <w:name w:val="Char Char Char Char Char Char Char Char Char Char Char Char Char Char Char Char Char1 Char2"/>
    <w:basedOn w:val="1"/>
    <w:autoRedefine/>
    <w:qFormat/>
    <w:uiPriority w:val="39"/>
    <w:rPr>
      <w:sz w:val="24"/>
    </w:rPr>
  </w:style>
  <w:style w:type="paragraph" w:customStyle="1" w:styleId="3473">
    <w:name w:val="样式 正文缩进 + 宋体 黑色 首行缩进:  2 字符3"/>
    <w:basedOn w:val="9"/>
    <w:autoRedefine/>
    <w:qFormat/>
    <w:uiPriority w:val="0"/>
    <w:pPr>
      <w:spacing w:line="360" w:lineRule="auto"/>
      <w:ind w:firstLine="480"/>
      <w:jc w:val="left"/>
    </w:pPr>
    <w:rPr>
      <w:rFonts w:ascii="宋体" w:hAnsi="宋体" w:cs="宋体"/>
      <w:color w:val="FF00FF"/>
      <w:kern w:val="0"/>
      <w:sz w:val="24"/>
      <w:szCs w:val="20"/>
      <w:lang w:val="en-US"/>
    </w:rPr>
  </w:style>
  <w:style w:type="paragraph" w:customStyle="1" w:styleId="3474">
    <w:name w:val="Char Char1 Char Char Char Char3"/>
    <w:basedOn w:val="1"/>
    <w:autoRedefine/>
    <w:qFormat/>
    <w:uiPriority w:val="39"/>
    <w:rPr>
      <w:szCs w:val="20"/>
    </w:rPr>
  </w:style>
  <w:style w:type="paragraph" w:customStyle="1" w:styleId="3475">
    <w:name w:val="样式 表格内字体 +12"/>
    <w:basedOn w:val="417"/>
    <w:autoRedefine/>
    <w:qFormat/>
    <w:uiPriority w:val="0"/>
    <w:pPr>
      <w:spacing w:line="280" w:lineRule="exact"/>
      <w:ind w:firstLine="36"/>
      <w:jc w:val="both"/>
    </w:pPr>
  </w:style>
  <w:style w:type="paragraph" w:customStyle="1" w:styleId="3476">
    <w:name w:val="Char Char Char Char Char Char Char Char Char1 Char Char Char Char5"/>
    <w:basedOn w:val="1"/>
    <w:autoRedefine/>
    <w:qFormat/>
    <w:uiPriority w:val="39"/>
    <w:rPr>
      <w:rFonts w:eastAsia="黑体"/>
      <w:b/>
      <w:szCs w:val="20"/>
    </w:rPr>
  </w:style>
  <w:style w:type="paragraph" w:customStyle="1" w:styleId="3477">
    <w:name w:val="Char Char Char Char Char Char Char221"/>
    <w:basedOn w:val="1"/>
    <w:autoRedefine/>
    <w:qFormat/>
    <w:uiPriority w:val="0"/>
  </w:style>
  <w:style w:type="paragraph" w:customStyle="1" w:styleId="3478">
    <w:name w:val="Char Char2 Char Char Char Char Char Char5"/>
    <w:basedOn w:val="1"/>
    <w:autoRedefine/>
    <w:qFormat/>
    <w:uiPriority w:val="39"/>
    <w:pPr>
      <w:spacing w:line="480" w:lineRule="exact"/>
    </w:pPr>
    <w:rPr>
      <w:sz w:val="22"/>
    </w:rPr>
  </w:style>
  <w:style w:type="paragraph" w:customStyle="1" w:styleId="3479">
    <w:name w:val="正文文本缩进6"/>
    <w:basedOn w:val="1"/>
    <w:autoRedefine/>
    <w:qFormat/>
    <w:uiPriority w:val="39"/>
    <w:pPr>
      <w:spacing w:after="120" w:line="360" w:lineRule="auto"/>
      <w:ind w:left="420" w:leftChars="200" w:firstLine="200" w:firstLineChars="200"/>
    </w:pPr>
    <w:rPr>
      <w:sz w:val="24"/>
    </w:rPr>
  </w:style>
  <w:style w:type="paragraph" w:customStyle="1" w:styleId="3480">
    <w:name w:val="图题63"/>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481">
    <w:name w:val="环评正文11"/>
    <w:autoRedefine/>
    <w:qFormat/>
    <w:uiPriority w:val="0"/>
    <w:pPr>
      <w:spacing w:line="440" w:lineRule="exact"/>
      <w:ind w:firstLine="200" w:firstLineChars="200"/>
    </w:pPr>
    <w:rPr>
      <w:rFonts w:ascii="Times New Roman" w:hAnsi="Times New Roman" w:eastAsia="宋体" w:cs="Times New Roman"/>
      <w:bCs/>
      <w:kern w:val="2"/>
      <w:sz w:val="24"/>
      <w:szCs w:val="24"/>
      <w:lang w:val="en-US" w:eastAsia="zh-CN" w:bidi="ar-SA"/>
    </w:rPr>
  </w:style>
  <w:style w:type="paragraph" w:customStyle="1" w:styleId="3482">
    <w:name w:val="标题43122"/>
    <w:basedOn w:val="1"/>
    <w:autoRedefine/>
    <w:qFormat/>
    <w:uiPriority w:val="0"/>
    <w:pPr>
      <w:adjustRightInd w:val="0"/>
      <w:snapToGrid w:val="0"/>
      <w:spacing w:line="480" w:lineRule="exact"/>
      <w:jc w:val="center"/>
    </w:pPr>
    <w:rPr>
      <w:rFonts w:ascii="宋体" w:hAnsi="宋体" w:cs="宋体"/>
      <w:sz w:val="24"/>
    </w:rPr>
  </w:style>
  <w:style w:type="paragraph" w:customStyle="1" w:styleId="3483">
    <w:name w:val="main"/>
    <w:basedOn w:val="1"/>
    <w:autoRedefine/>
    <w:qFormat/>
    <w:uiPriority w:val="99"/>
    <w:pPr>
      <w:widowControl/>
      <w:spacing w:before="100" w:beforeAutospacing="1" w:after="100" w:afterAutospacing="1"/>
      <w:jc w:val="left"/>
    </w:pPr>
    <w:rPr>
      <w:rFonts w:ascii="宋体" w:hAnsi="宋体" w:cs="宋体"/>
      <w:color w:val="000000"/>
      <w:kern w:val="0"/>
      <w:sz w:val="24"/>
    </w:rPr>
  </w:style>
  <w:style w:type="paragraph" w:customStyle="1" w:styleId="3484">
    <w:name w:val="样式43"/>
    <w:basedOn w:val="34"/>
    <w:autoRedefine/>
    <w:qFormat/>
    <w:uiPriority w:val="0"/>
    <w:pPr>
      <w:widowControl w:val="0"/>
      <w:tabs>
        <w:tab w:val="left" w:pos="1820"/>
      </w:tabs>
      <w:spacing w:before="0" w:after="0" w:line="240" w:lineRule="atLeast"/>
      <w:ind w:right="0"/>
      <w:jc w:val="center"/>
    </w:pPr>
    <w:rPr>
      <w:rFonts w:eastAsia="幼圆"/>
      <w:sz w:val="20"/>
      <w:lang w:val="en-US"/>
    </w:rPr>
  </w:style>
  <w:style w:type="paragraph" w:customStyle="1" w:styleId="3485">
    <w:name w:val="燕山正文22"/>
    <w:basedOn w:val="1"/>
    <w:autoRedefine/>
    <w:qFormat/>
    <w:uiPriority w:val="0"/>
    <w:pPr>
      <w:tabs>
        <w:tab w:val="left" w:pos="4680"/>
      </w:tabs>
      <w:adjustRightInd w:val="0"/>
      <w:snapToGrid w:val="0"/>
      <w:spacing w:line="480" w:lineRule="exact"/>
    </w:pPr>
    <w:rPr>
      <w:rFonts w:ascii="宋体" w:cs="宋体"/>
      <w:sz w:val="24"/>
    </w:rPr>
  </w:style>
  <w:style w:type="paragraph" w:customStyle="1" w:styleId="3486">
    <w:name w:val="燕山正文411"/>
    <w:basedOn w:val="1"/>
    <w:autoRedefine/>
    <w:qFormat/>
    <w:uiPriority w:val="0"/>
    <w:pPr>
      <w:tabs>
        <w:tab w:val="left" w:pos="4680"/>
      </w:tabs>
      <w:adjustRightInd w:val="0"/>
      <w:snapToGrid w:val="0"/>
      <w:spacing w:line="480" w:lineRule="exact"/>
    </w:pPr>
    <w:rPr>
      <w:rFonts w:ascii="宋体" w:cs="宋体"/>
      <w:sz w:val="24"/>
    </w:rPr>
  </w:style>
  <w:style w:type="paragraph" w:customStyle="1" w:styleId="3487">
    <w:name w:val="表内小5中1"/>
    <w:basedOn w:val="1"/>
    <w:autoRedefine/>
    <w:qFormat/>
    <w:uiPriority w:val="0"/>
    <w:pPr>
      <w:adjustRightInd w:val="0"/>
      <w:snapToGrid w:val="0"/>
      <w:jc w:val="center"/>
    </w:pPr>
    <w:rPr>
      <w:rFonts w:ascii="宋体" w:hAnsi="宋体"/>
      <w:sz w:val="18"/>
      <w:szCs w:val="20"/>
    </w:rPr>
  </w:style>
  <w:style w:type="paragraph" w:customStyle="1" w:styleId="3488">
    <w:name w:val="BGBT"/>
    <w:basedOn w:val="22"/>
    <w:autoRedefine/>
    <w:qFormat/>
    <w:uiPriority w:val="99"/>
    <w:pPr>
      <w:widowControl w:val="0"/>
      <w:spacing w:after="0" w:line="240" w:lineRule="auto"/>
      <w:ind w:left="0" w:right="0" w:firstLine="0"/>
      <w:jc w:val="center"/>
    </w:pPr>
    <w:rPr>
      <w:rFonts w:ascii="Times New Roman" w:hAnsi="Times New Roman" w:eastAsia="宋体" w:cs="宋体"/>
      <w:b/>
      <w:bCs/>
      <w:color w:val="auto"/>
      <w:sz w:val="24"/>
      <w:szCs w:val="24"/>
    </w:rPr>
  </w:style>
  <w:style w:type="paragraph" w:customStyle="1" w:styleId="3489">
    <w:name w:val="Char Char2 Char Char Char Char41"/>
    <w:basedOn w:val="1"/>
    <w:autoRedefine/>
    <w:qFormat/>
    <w:uiPriority w:val="0"/>
  </w:style>
  <w:style w:type="paragraph" w:customStyle="1" w:styleId="3490">
    <w:name w:val="Char Char Char Char1 Char Char Char Char Char Char Char2"/>
    <w:basedOn w:val="1"/>
    <w:autoRedefine/>
    <w:qFormat/>
    <w:uiPriority w:val="39"/>
    <w:pPr>
      <w:tabs>
        <w:tab w:val="left" w:pos="360"/>
      </w:tabs>
      <w:snapToGrid w:val="0"/>
      <w:spacing w:line="360" w:lineRule="auto"/>
    </w:pPr>
    <w:rPr>
      <w:rFonts w:eastAsia="仿宋_GB2312" w:cs="宋体"/>
      <w:sz w:val="24"/>
    </w:rPr>
  </w:style>
  <w:style w:type="paragraph" w:customStyle="1" w:styleId="3491">
    <w:name w:val="正文格式＝63"/>
    <w:basedOn w:val="418"/>
    <w:next w:val="418"/>
    <w:autoRedefine/>
    <w:qFormat/>
    <w:uiPriority w:val="0"/>
    <w:rPr>
      <w:rFonts w:ascii="宋体" w:hAnsi="宋体"/>
      <w:b w:val="0"/>
      <w:spacing w:val="0"/>
      <w:sz w:val="24"/>
      <w:szCs w:val="24"/>
    </w:rPr>
  </w:style>
  <w:style w:type="paragraph" w:customStyle="1" w:styleId="3492">
    <w:name w:val="Char37"/>
    <w:basedOn w:val="1"/>
    <w:autoRedefine/>
    <w:qFormat/>
    <w:uiPriority w:val="0"/>
    <w:pPr>
      <w:ind w:left="-48"/>
    </w:pPr>
  </w:style>
  <w:style w:type="paragraph" w:customStyle="1" w:styleId="3493">
    <w:name w:val="Char Char7 Char Char1 Char Char Char1 Char Char Char Char Char Char Char Char Char Char Char"/>
    <w:basedOn w:val="1"/>
    <w:autoRedefine/>
    <w:qFormat/>
    <w:uiPriority w:val="0"/>
    <w:pPr>
      <w:spacing w:line="240" w:lineRule="exact"/>
      <w:ind w:firstLine="200" w:firstLineChars="200"/>
    </w:pPr>
    <w:rPr>
      <w:sz w:val="28"/>
      <w:szCs w:val="28"/>
    </w:rPr>
  </w:style>
  <w:style w:type="paragraph" w:customStyle="1" w:styleId="3494">
    <w:name w:val="表格内字体4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495">
    <w:name w:val="Char Char Char Char Char Char Char Char Char Char Char Char Char Char Char Char Char Char Char Char Char Char Char Char Char Char Char Char Char Char Char Char Char Char2"/>
    <w:basedOn w:val="1"/>
    <w:autoRedefine/>
    <w:qFormat/>
    <w:uiPriority w:val="39"/>
    <w:rPr>
      <w:sz w:val="24"/>
    </w:rPr>
  </w:style>
  <w:style w:type="paragraph" w:customStyle="1" w:styleId="3496">
    <w:name w:val="222222222222"/>
    <w:basedOn w:val="4"/>
    <w:autoRedefine/>
    <w:qFormat/>
    <w:uiPriority w:val="99"/>
    <w:pPr>
      <w:adjustRightInd w:val="0"/>
      <w:snapToGrid w:val="0"/>
      <w:spacing w:beforeLines="100" w:afterLines="50" w:line="500" w:lineRule="exact"/>
    </w:pPr>
    <w:rPr>
      <w:rFonts w:ascii="Times New Roman" w:hAnsi="Times New Roman"/>
      <w:sz w:val="28"/>
      <w:szCs w:val="28"/>
    </w:rPr>
  </w:style>
  <w:style w:type="paragraph" w:customStyle="1" w:styleId="3497">
    <w:name w:val="表题153"/>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498">
    <w:name w:val="燕山正文1113"/>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3499">
    <w:name w:val="表中文字511"/>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500">
    <w:name w:val="样式 表格内字体1 +3"/>
    <w:basedOn w:val="2537"/>
    <w:next w:val="417"/>
    <w:autoRedefine/>
    <w:qFormat/>
    <w:uiPriority w:val="0"/>
    <w:rPr>
      <w:rFonts w:hAnsi="Times New Roman" w:cs="宋体"/>
      <w:szCs w:val="20"/>
    </w:rPr>
  </w:style>
  <w:style w:type="paragraph" w:customStyle="1" w:styleId="3501">
    <w:name w:val="Char47"/>
    <w:basedOn w:val="1"/>
    <w:autoRedefine/>
    <w:qFormat/>
    <w:uiPriority w:val="0"/>
    <w:pPr>
      <w:ind w:left="-48"/>
    </w:pPr>
  </w:style>
  <w:style w:type="paragraph" w:customStyle="1" w:styleId="3502">
    <w:name w:val="表中文字43"/>
    <w:basedOn w:val="1"/>
    <w:autoRedefine/>
    <w:qFormat/>
    <w:uiPriority w:val="0"/>
    <w:pPr>
      <w:snapToGrid w:val="0"/>
      <w:spacing w:line="340" w:lineRule="exact"/>
      <w:ind w:firstLine="480" w:firstLineChars="200"/>
      <w:jc w:val="center"/>
    </w:pPr>
    <w:rPr>
      <w:rFonts w:ascii="Arial" w:hAnsi="Arial"/>
      <w:kern w:val="0"/>
      <w:sz w:val="20"/>
      <w:lang w:eastAsia="zh-TW"/>
    </w:rPr>
  </w:style>
  <w:style w:type="paragraph" w:customStyle="1" w:styleId="3503">
    <w:name w:val="表文字5112"/>
    <w:basedOn w:val="1"/>
    <w:autoRedefine/>
    <w:qFormat/>
    <w:uiPriority w:val="0"/>
    <w:pPr>
      <w:adjustRightInd w:val="0"/>
      <w:jc w:val="left"/>
      <w:textAlignment w:val="baseline"/>
    </w:pPr>
    <w:rPr>
      <w:rFonts w:ascii="宋体"/>
      <w:kern w:val="0"/>
      <w:szCs w:val="20"/>
    </w:rPr>
  </w:style>
  <w:style w:type="paragraph" w:customStyle="1" w:styleId="3504">
    <w:name w:val="正文首行缩进1"/>
    <w:basedOn w:val="1"/>
    <w:next w:val="1"/>
    <w:autoRedefine/>
    <w:qFormat/>
    <w:uiPriority w:val="0"/>
    <w:pPr>
      <w:tabs>
        <w:tab w:val="left" w:pos="540"/>
        <w:tab w:val="left" w:pos="1440"/>
        <w:tab w:val="left" w:pos="2448"/>
        <w:tab w:val="left" w:pos="3000"/>
        <w:tab w:val="left" w:pos="3888"/>
        <w:tab w:val="left" w:pos="4800"/>
        <w:tab w:val="left" w:pos="5040"/>
        <w:tab w:val="left" w:pos="5883"/>
        <w:tab w:val="left" w:pos="6300"/>
        <w:tab w:val="left" w:pos="7353"/>
        <w:tab w:val="left" w:pos="8613"/>
      </w:tabs>
      <w:autoSpaceDE w:val="0"/>
      <w:autoSpaceDN w:val="0"/>
      <w:adjustRightInd w:val="0"/>
      <w:snapToGrid w:val="0"/>
      <w:spacing w:line="300" w:lineRule="auto"/>
      <w:ind w:firstLine="561"/>
      <w:textAlignment w:val="baseline"/>
    </w:pPr>
    <w:rPr>
      <w:kern w:val="0"/>
      <w:sz w:val="28"/>
    </w:rPr>
  </w:style>
  <w:style w:type="paragraph" w:customStyle="1" w:styleId="3505">
    <w:name w:val="表文字532"/>
    <w:basedOn w:val="1"/>
    <w:autoRedefine/>
    <w:qFormat/>
    <w:uiPriority w:val="0"/>
    <w:pPr>
      <w:adjustRightInd w:val="0"/>
      <w:jc w:val="left"/>
      <w:textAlignment w:val="baseline"/>
    </w:pPr>
    <w:rPr>
      <w:rFonts w:ascii="宋体"/>
      <w:kern w:val="0"/>
      <w:szCs w:val="20"/>
    </w:rPr>
  </w:style>
  <w:style w:type="paragraph" w:customStyle="1" w:styleId="3506">
    <w:name w:val="样式13"/>
    <w:basedOn w:val="1"/>
    <w:next w:val="31"/>
    <w:autoRedefine/>
    <w:qFormat/>
    <w:uiPriority w:val="0"/>
    <w:pPr>
      <w:adjustRightInd w:val="0"/>
      <w:spacing w:line="500" w:lineRule="exact"/>
      <w:ind w:firstLine="200" w:firstLineChars="200"/>
      <w:textAlignment w:val="baseline"/>
    </w:pPr>
    <w:rPr>
      <w:rFonts w:ascii="仿宋_GB2312" w:hAnsi="宋体" w:eastAsia="仿宋_GB2312"/>
      <w:color w:val="FF0000"/>
      <w:sz w:val="28"/>
      <w:szCs w:val="28"/>
    </w:rPr>
  </w:style>
  <w:style w:type="paragraph" w:customStyle="1" w:styleId="3507">
    <w:name w:val="Char Char Char Char Char Char Char2211"/>
    <w:basedOn w:val="1"/>
    <w:autoRedefine/>
    <w:qFormat/>
    <w:uiPriority w:val="0"/>
  </w:style>
  <w:style w:type="paragraph" w:customStyle="1" w:styleId="3508">
    <w:name w:val="样式11.1.1.1"/>
    <w:basedOn w:val="3509"/>
    <w:autoRedefine/>
    <w:qFormat/>
    <w:uiPriority w:val="99"/>
    <w:pPr>
      <w:tabs>
        <w:tab w:val="left" w:pos="-962"/>
        <w:tab w:val="left" w:pos="0"/>
        <w:tab w:val="left" w:pos="1740"/>
      </w:tabs>
      <w:ind w:left="0"/>
      <w:outlineLvl w:val="3"/>
    </w:pPr>
    <w:rPr>
      <w:sz w:val="24"/>
    </w:rPr>
  </w:style>
  <w:style w:type="paragraph" w:customStyle="1" w:styleId="3509">
    <w:name w:val="样式11.1.1"/>
    <w:basedOn w:val="1"/>
    <w:autoRedefine/>
    <w:qFormat/>
    <w:uiPriority w:val="99"/>
    <w:pPr>
      <w:tabs>
        <w:tab w:val="left" w:pos="-962"/>
        <w:tab w:val="left" w:pos="0"/>
        <w:tab w:val="left" w:pos="1740"/>
      </w:tabs>
      <w:spacing w:beforeLines="50" w:line="360" w:lineRule="auto"/>
      <w:ind w:left="-962"/>
      <w:outlineLvl w:val="2"/>
    </w:pPr>
    <w:rPr>
      <w:b/>
      <w:spacing w:val="-10"/>
      <w:sz w:val="28"/>
    </w:rPr>
  </w:style>
  <w:style w:type="paragraph" w:customStyle="1" w:styleId="3510">
    <w:name w:val="Char Char Char Char Char Char Char10"/>
    <w:basedOn w:val="1"/>
    <w:autoRedefine/>
    <w:qFormat/>
    <w:uiPriority w:val="0"/>
  </w:style>
  <w:style w:type="paragraph" w:customStyle="1" w:styleId="3511">
    <w:name w:val="样式 标题 4标题 4 CharbulletblbbPIM 4H4h4Heading Four款标题1.1.1..."/>
    <w:basedOn w:val="6"/>
    <w:autoRedefine/>
    <w:qFormat/>
    <w:uiPriority w:val="99"/>
    <w:pPr>
      <w:spacing w:before="0" w:after="0" w:line="360" w:lineRule="auto"/>
      <w:ind w:left="0" w:firstLine="0"/>
    </w:pPr>
    <w:rPr>
      <w:rFonts w:ascii="宋体" w:hAnsi="宋体" w:eastAsia="宋体"/>
      <w:bCs w:val="0"/>
      <w:sz w:val="24"/>
    </w:rPr>
  </w:style>
  <w:style w:type="paragraph" w:customStyle="1" w:styleId="3512">
    <w:name w:val="燕山正文1141"/>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3513">
    <w:name w:val="表格内字体73"/>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514">
    <w:name w:val="样式113"/>
    <w:basedOn w:val="1605"/>
    <w:autoRedefine/>
    <w:qFormat/>
    <w:uiPriority w:val="0"/>
    <w:pPr>
      <w:spacing w:line="240" w:lineRule="auto"/>
      <w:ind w:firstLine="0"/>
      <w:jc w:val="center"/>
    </w:pPr>
    <w:rPr>
      <w:rFonts w:cs="Times New Roman"/>
      <w:b/>
      <w:color w:val="auto"/>
      <w:szCs w:val="20"/>
    </w:rPr>
  </w:style>
  <w:style w:type="paragraph" w:customStyle="1" w:styleId="3515">
    <w:name w:val="样式 (西文) 宋体 段前: 6 磅 段后: 6 磅"/>
    <w:basedOn w:val="1"/>
    <w:autoRedefine/>
    <w:qFormat/>
    <w:uiPriority w:val="0"/>
    <w:pPr>
      <w:spacing w:before="120" w:after="120" w:line="500" w:lineRule="exact"/>
    </w:pPr>
    <w:rPr>
      <w:rFonts w:ascii="宋体" w:hAnsi="宋体" w:eastAsia="仿宋_GB2312" w:cs="宋体"/>
      <w:sz w:val="28"/>
      <w:szCs w:val="20"/>
    </w:rPr>
  </w:style>
  <w:style w:type="paragraph" w:customStyle="1" w:styleId="3516">
    <w:name w:val="Char1611"/>
    <w:basedOn w:val="1"/>
    <w:autoRedefine/>
    <w:qFormat/>
    <w:uiPriority w:val="0"/>
    <w:pPr>
      <w:ind w:left="-48"/>
    </w:pPr>
  </w:style>
  <w:style w:type="paragraph" w:customStyle="1" w:styleId="3517">
    <w:name w:val="表题11111"/>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3518">
    <w:name w:val="项目1"/>
    <w:basedOn w:val="1"/>
    <w:autoRedefine/>
    <w:qFormat/>
    <w:uiPriority w:val="0"/>
    <w:pPr>
      <w:tabs>
        <w:tab w:val="left" w:pos="425"/>
      </w:tabs>
      <w:snapToGrid w:val="0"/>
      <w:spacing w:line="0" w:lineRule="atLeast"/>
      <w:ind w:left="425" w:hanging="425"/>
    </w:pPr>
    <w:rPr>
      <w:sz w:val="28"/>
      <w:szCs w:val="20"/>
    </w:rPr>
  </w:style>
  <w:style w:type="paragraph" w:customStyle="1" w:styleId="3519">
    <w:name w:val="表内宋5中13"/>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3520">
    <w:name w:val="小4仿宋居中行1"/>
    <w:autoRedefine/>
    <w:qFormat/>
    <w:uiPriority w:val="0"/>
    <w:pPr>
      <w:widowControl w:val="0"/>
      <w:ind w:left="-573" w:right="-59" w:firstLine="494"/>
      <w:jc w:val="center"/>
    </w:pPr>
    <w:rPr>
      <w:rFonts w:ascii="Times New Roman" w:hAnsi="Times New Roman" w:eastAsia="仿宋_GB2312" w:cs="Times New Roman"/>
      <w:sz w:val="24"/>
      <w:lang w:val="en-US" w:eastAsia="zh-CN" w:bidi="ar-SA"/>
    </w:rPr>
  </w:style>
  <w:style w:type="paragraph" w:customStyle="1" w:styleId="3521">
    <w:name w:val="样式 样式4.1 + 段前: 0.5 行"/>
    <w:basedOn w:val="2137"/>
    <w:autoRedefine/>
    <w:qFormat/>
    <w:uiPriority w:val="99"/>
    <w:pPr>
      <w:tabs>
        <w:tab w:val="left" w:pos="0"/>
      </w:tabs>
      <w:spacing w:beforeLines="0"/>
      <w:ind w:left="840" w:hanging="420"/>
    </w:pPr>
    <w:rPr>
      <w:rFonts w:cs="宋体"/>
      <w:szCs w:val="20"/>
    </w:rPr>
  </w:style>
  <w:style w:type="paragraph" w:customStyle="1" w:styleId="3522">
    <w:name w:val="正文格式411"/>
    <w:basedOn w:val="1"/>
    <w:autoRedefine/>
    <w:qFormat/>
    <w:uiPriority w:val="0"/>
    <w:pPr>
      <w:spacing w:line="360" w:lineRule="auto"/>
      <w:ind w:firstLine="482"/>
    </w:pPr>
    <w:rPr>
      <w:rFonts w:ascii="宋体" w:hAnsi="宋体"/>
      <w:sz w:val="24"/>
    </w:rPr>
  </w:style>
  <w:style w:type="paragraph" w:customStyle="1" w:styleId="3523">
    <w:name w:val="标题4112"/>
    <w:basedOn w:val="1"/>
    <w:autoRedefine/>
    <w:qFormat/>
    <w:uiPriority w:val="0"/>
    <w:pPr>
      <w:adjustRightInd w:val="0"/>
      <w:snapToGrid w:val="0"/>
      <w:spacing w:line="300" w:lineRule="auto"/>
      <w:jc w:val="left"/>
    </w:pPr>
    <w:rPr>
      <w:rFonts w:ascii="黑体" w:hAnsi="宋体" w:eastAsia="黑体" w:cs="宋体"/>
      <w:bCs/>
      <w:sz w:val="24"/>
      <w:szCs w:val="20"/>
    </w:rPr>
  </w:style>
  <w:style w:type="paragraph" w:customStyle="1" w:styleId="3524">
    <w:name w:val="1.2.5"/>
    <w:basedOn w:val="6"/>
    <w:autoRedefine/>
    <w:qFormat/>
    <w:uiPriority w:val="99"/>
    <w:pPr>
      <w:tabs>
        <w:tab w:val="left" w:pos="0"/>
      </w:tabs>
      <w:spacing w:before="0" w:after="0" w:line="360" w:lineRule="auto"/>
      <w:ind w:left="0" w:firstLine="0"/>
      <w:jc w:val="left"/>
    </w:pPr>
    <w:rPr>
      <w:rFonts w:ascii="宋体" w:eastAsia="宋体"/>
      <w:b w:val="0"/>
      <w:color w:val="000000"/>
      <w:sz w:val="24"/>
    </w:rPr>
  </w:style>
  <w:style w:type="paragraph" w:customStyle="1" w:styleId="3525">
    <w:name w:val="样式 表格标题 + 段前: 0.5 行"/>
    <w:basedOn w:val="9"/>
    <w:autoRedefine/>
    <w:qFormat/>
    <w:uiPriority w:val="0"/>
    <w:pPr>
      <w:autoSpaceDE w:val="0"/>
      <w:autoSpaceDN w:val="0"/>
      <w:adjustRightInd w:val="0"/>
      <w:spacing w:before="120" w:line="400" w:lineRule="exact"/>
      <w:ind w:firstLine="0" w:firstLineChars="0"/>
      <w:jc w:val="center"/>
    </w:pPr>
    <w:rPr>
      <w:rFonts w:ascii="宋体" w:eastAsia="黑体"/>
      <w:kern w:val="0"/>
      <w:sz w:val="24"/>
      <w:szCs w:val="20"/>
    </w:rPr>
  </w:style>
  <w:style w:type="paragraph" w:customStyle="1" w:styleId="3526">
    <w:name w:val="样式 样式11.1 + 段前: 0.5 行"/>
    <w:basedOn w:val="3363"/>
    <w:autoRedefine/>
    <w:qFormat/>
    <w:uiPriority w:val="99"/>
    <w:pPr>
      <w:tabs>
        <w:tab w:val="left" w:pos="0"/>
      </w:tabs>
    </w:pPr>
    <w:rPr>
      <w:rFonts w:cs="宋体"/>
      <w:bCs/>
      <w:szCs w:val="20"/>
    </w:rPr>
  </w:style>
  <w:style w:type="paragraph" w:customStyle="1" w:styleId="3527">
    <w:name w:val="表文字5311"/>
    <w:basedOn w:val="1"/>
    <w:autoRedefine/>
    <w:qFormat/>
    <w:uiPriority w:val="0"/>
    <w:pPr>
      <w:adjustRightInd w:val="0"/>
      <w:jc w:val="left"/>
      <w:textAlignment w:val="baseline"/>
    </w:pPr>
    <w:rPr>
      <w:rFonts w:ascii="宋体"/>
      <w:kern w:val="0"/>
      <w:szCs w:val="20"/>
    </w:rPr>
  </w:style>
  <w:style w:type="paragraph" w:customStyle="1" w:styleId="3528">
    <w:name w:val="表内文字小112"/>
    <w:basedOn w:val="1"/>
    <w:autoRedefine/>
    <w:qFormat/>
    <w:uiPriority w:val="0"/>
    <w:pPr>
      <w:adjustRightInd w:val="0"/>
      <w:snapToGrid w:val="0"/>
    </w:pPr>
    <w:rPr>
      <w:rFonts w:ascii="宋体" w:hAnsi="Times" w:cs="宋体"/>
      <w:szCs w:val="20"/>
    </w:rPr>
  </w:style>
  <w:style w:type="paragraph" w:customStyle="1" w:styleId="3529">
    <w:name w:val="表5"/>
    <w:basedOn w:val="1"/>
    <w:autoRedefine/>
    <w:qFormat/>
    <w:uiPriority w:val="0"/>
    <w:pPr>
      <w:adjustRightInd w:val="0"/>
      <w:snapToGrid w:val="0"/>
      <w:jc w:val="center"/>
    </w:pPr>
    <w:rPr>
      <w:rFonts w:eastAsia="仿宋_GB2312"/>
      <w:sz w:val="24"/>
    </w:rPr>
  </w:style>
  <w:style w:type="paragraph" w:customStyle="1" w:styleId="3530">
    <w:name w:val="标题4315"/>
    <w:basedOn w:val="1"/>
    <w:autoRedefine/>
    <w:qFormat/>
    <w:uiPriority w:val="0"/>
    <w:pPr>
      <w:adjustRightInd w:val="0"/>
      <w:snapToGrid w:val="0"/>
      <w:spacing w:line="480" w:lineRule="exact"/>
      <w:jc w:val="center"/>
    </w:pPr>
    <w:rPr>
      <w:rFonts w:ascii="宋体" w:hAnsi="宋体" w:cs="宋体"/>
      <w:sz w:val="24"/>
    </w:rPr>
  </w:style>
  <w:style w:type="paragraph" w:customStyle="1" w:styleId="3531">
    <w:name w:val="样式 样式 首行缩进:  2 字符 + 首行缩进:  2 字符"/>
    <w:basedOn w:val="1"/>
    <w:autoRedefine/>
    <w:qFormat/>
    <w:uiPriority w:val="99"/>
    <w:pPr>
      <w:spacing w:line="500" w:lineRule="exact"/>
      <w:ind w:firstLine="200" w:firstLineChars="200"/>
    </w:pPr>
    <w:rPr>
      <w:rFonts w:cs="宋体"/>
      <w:spacing w:val="30"/>
      <w:sz w:val="28"/>
      <w:szCs w:val="20"/>
    </w:rPr>
  </w:style>
  <w:style w:type="paragraph" w:customStyle="1" w:styleId="3532">
    <w:name w:val="样式 标题 3条标题1.1.1H3BOD 0Heading 3 - oldLevel 3 Headh33rd le..."/>
    <w:basedOn w:val="5"/>
    <w:autoRedefine/>
    <w:qFormat/>
    <w:uiPriority w:val="99"/>
    <w:pPr>
      <w:spacing w:before="0" w:after="0" w:line="360" w:lineRule="auto"/>
    </w:pPr>
    <w:rPr>
      <w:rFonts w:eastAsia="黑体" w:cs="宋体"/>
      <w:bCs w:val="0"/>
      <w:kern w:val="0"/>
      <w:sz w:val="28"/>
      <w:szCs w:val="20"/>
      <w:lang w:val="en-US"/>
    </w:rPr>
  </w:style>
  <w:style w:type="paragraph" w:customStyle="1" w:styleId="3533">
    <w:name w:val="样式11.5.1"/>
    <w:basedOn w:val="1"/>
    <w:autoRedefine/>
    <w:qFormat/>
    <w:uiPriority w:val="99"/>
    <w:pPr>
      <w:tabs>
        <w:tab w:val="left" w:pos="-962"/>
        <w:tab w:val="left" w:pos="0"/>
      </w:tabs>
      <w:spacing w:beforeLines="50" w:line="360" w:lineRule="auto"/>
      <w:ind w:left="-962"/>
      <w:outlineLvl w:val="2"/>
    </w:pPr>
    <w:rPr>
      <w:b/>
      <w:sz w:val="28"/>
    </w:rPr>
  </w:style>
  <w:style w:type="paragraph" w:customStyle="1" w:styleId="3534">
    <w:name w:val="表内5中3"/>
    <w:basedOn w:val="1"/>
    <w:autoRedefine/>
    <w:qFormat/>
    <w:uiPriority w:val="0"/>
    <w:pPr>
      <w:adjustRightInd w:val="0"/>
      <w:snapToGrid w:val="0"/>
      <w:jc w:val="center"/>
    </w:pPr>
    <w:rPr>
      <w:rFonts w:ascii="宋体" w:hAnsi="宋体" w:cs="Arial"/>
      <w:snapToGrid w:val="0"/>
      <w:color w:val="000000"/>
      <w:szCs w:val="21"/>
    </w:rPr>
  </w:style>
  <w:style w:type="paragraph" w:customStyle="1" w:styleId="3535">
    <w:name w:val="Char62"/>
    <w:basedOn w:val="1"/>
    <w:autoRedefine/>
    <w:qFormat/>
    <w:uiPriority w:val="0"/>
    <w:pPr>
      <w:adjustRightInd w:val="0"/>
      <w:snapToGrid w:val="0"/>
      <w:spacing w:beforeLines="50" w:line="360" w:lineRule="auto"/>
    </w:pPr>
    <w:rPr>
      <w:rFonts w:ascii="黑体" w:eastAsia="黑体"/>
      <w:sz w:val="32"/>
      <w:szCs w:val="32"/>
    </w:rPr>
  </w:style>
  <w:style w:type="paragraph" w:customStyle="1" w:styleId="3536">
    <w:name w:val="样式 首行缩进:  0.99 厘米 行距: 1.5 倍行距2"/>
    <w:basedOn w:val="1"/>
    <w:autoRedefine/>
    <w:qFormat/>
    <w:uiPriority w:val="99"/>
    <w:pPr>
      <w:adjustRightInd w:val="0"/>
      <w:snapToGrid w:val="0"/>
      <w:jc w:val="center"/>
    </w:pPr>
    <w:rPr>
      <w:rFonts w:ascii="宋体" w:hAnsi="宋体"/>
      <w:color w:val="FF0000"/>
      <w:szCs w:val="21"/>
    </w:rPr>
  </w:style>
  <w:style w:type="paragraph" w:customStyle="1" w:styleId="3537">
    <w:name w:val="论文正文"/>
    <w:basedOn w:val="9"/>
    <w:autoRedefine/>
    <w:qFormat/>
    <w:uiPriority w:val="99"/>
    <w:pPr>
      <w:ind w:firstLine="480"/>
    </w:pPr>
    <w:rPr>
      <w:rFonts w:ascii="宋体" w:hAnsi="宋体"/>
      <w:kern w:val="0"/>
      <w:sz w:val="28"/>
      <w:lang w:val="en-US"/>
    </w:rPr>
  </w:style>
  <w:style w:type="paragraph" w:customStyle="1" w:styleId="3538">
    <w:name w:val="黑体三号42"/>
    <w:basedOn w:val="418"/>
    <w:autoRedefine/>
    <w:qFormat/>
    <w:uiPriority w:val="0"/>
    <w:pPr>
      <w:jc w:val="center"/>
    </w:pPr>
    <w:rPr>
      <w:rFonts w:ascii="黑体" w:hAnsi="宋体" w:eastAsia="黑体" w:cs="宋体"/>
      <w:bCs/>
      <w:spacing w:val="0"/>
      <w:sz w:val="32"/>
    </w:rPr>
  </w:style>
  <w:style w:type="paragraph" w:customStyle="1" w:styleId="3539">
    <w:name w:val="样式 标题 1 + 两端对齐"/>
    <w:basedOn w:val="3"/>
    <w:autoRedefine/>
    <w:qFormat/>
    <w:uiPriority w:val="0"/>
    <w:pPr>
      <w:keepNext w:val="0"/>
      <w:pageBreakBefore/>
      <w:widowControl/>
      <w:tabs>
        <w:tab w:val="left" w:pos="420"/>
      </w:tabs>
      <w:overflowPunct/>
      <w:adjustRightInd w:val="0"/>
      <w:spacing w:before="0" w:after="0" w:line="300" w:lineRule="auto"/>
      <w:ind w:left="0" w:firstLine="0"/>
      <w:jc w:val="center"/>
    </w:pPr>
    <w:rPr>
      <w:rFonts w:ascii="仿宋_GB2312" w:eastAsia="仿宋_GB2312" w:cs="宋体"/>
      <w:b w:val="0"/>
      <w:bCs w:val="0"/>
      <w:snapToGrid w:val="0"/>
      <w:color w:val="auto"/>
      <w:kern w:val="0"/>
      <w:sz w:val="32"/>
      <w:szCs w:val="32"/>
    </w:rPr>
  </w:style>
  <w:style w:type="paragraph" w:customStyle="1" w:styleId="3540">
    <w:name w:val="文本框4"/>
    <w:basedOn w:val="1"/>
    <w:autoRedefine/>
    <w:qFormat/>
    <w:uiPriority w:val="0"/>
    <w:pPr>
      <w:adjustRightInd w:val="0"/>
      <w:snapToGrid w:val="0"/>
      <w:spacing w:after="6"/>
      <w:jc w:val="center"/>
    </w:pPr>
    <w:rPr>
      <w:rFonts w:eastAsia="仿宋_GB2312"/>
    </w:rPr>
  </w:style>
  <w:style w:type="paragraph" w:customStyle="1" w:styleId="3541">
    <w:name w:val="图表名称"/>
    <w:basedOn w:val="1"/>
    <w:autoRedefine/>
    <w:qFormat/>
    <w:uiPriority w:val="0"/>
    <w:pPr>
      <w:autoSpaceDE w:val="0"/>
      <w:autoSpaceDN w:val="0"/>
      <w:adjustRightInd w:val="0"/>
      <w:snapToGrid w:val="0"/>
      <w:spacing w:beforeLines="50" w:afterLines="50" w:line="360" w:lineRule="auto"/>
      <w:ind w:firstLine="2933" w:firstLineChars="1490"/>
      <w:jc w:val="left"/>
      <w:textAlignment w:val="baseline"/>
    </w:pPr>
    <w:rPr>
      <w:rFonts w:ascii="宋体" w:hAnsi="宋体"/>
      <w:b/>
      <w:bCs/>
      <w:kern w:val="0"/>
      <w:szCs w:val="20"/>
    </w:rPr>
  </w:style>
  <w:style w:type="paragraph" w:customStyle="1" w:styleId="3542">
    <w:name w:val="段落1"/>
    <w:basedOn w:val="1"/>
    <w:autoRedefine/>
    <w:qFormat/>
    <w:uiPriority w:val="99"/>
    <w:pPr>
      <w:adjustRightInd w:val="0"/>
      <w:spacing w:line="500" w:lineRule="exact"/>
      <w:ind w:firstLine="592" w:firstLineChars="200"/>
      <w:textAlignment w:val="baseline"/>
    </w:pPr>
    <w:rPr>
      <w:spacing w:val="8"/>
      <w:sz w:val="28"/>
      <w:szCs w:val="20"/>
    </w:rPr>
  </w:style>
  <w:style w:type="paragraph" w:customStyle="1" w:styleId="3543">
    <w:name w:val="表文字5312"/>
    <w:basedOn w:val="1"/>
    <w:autoRedefine/>
    <w:qFormat/>
    <w:uiPriority w:val="0"/>
    <w:pPr>
      <w:adjustRightInd w:val="0"/>
      <w:jc w:val="left"/>
      <w:textAlignment w:val="baseline"/>
    </w:pPr>
    <w:rPr>
      <w:rFonts w:ascii="宋体"/>
      <w:kern w:val="0"/>
      <w:szCs w:val="20"/>
    </w:rPr>
  </w:style>
  <w:style w:type="paragraph" w:customStyle="1" w:styleId="3544">
    <w:name w:val="样式 表格内字体1 +2"/>
    <w:basedOn w:val="2537"/>
    <w:next w:val="417"/>
    <w:autoRedefine/>
    <w:qFormat/>
    <w:uiPriority w:val="0"/>
    <w:rPr>
      <w:rFonts w:hAnsi="Times New Roman" w:cs="宋体"/>
      <w:szCs w:val="20"/>
    </w:rPr>
  </w:style>
  <w:style w:type="paragraph" w:customStyle="1" w:styleId="3545">
    <w:name w:val="layer1"/>
    <w:basedOn w:val="1"/>
    <w:next w:val="9"/>
    <w:autoRedefine/>
    <w:qFormat/>
    <w:uiPriority w:val="99"/>
    <w:pPr>
      <w:tabs>
        <w:tab w:val="left" w:pos="425"/>
      </w:tabs>
      <w:spacing w:before="240" w:after="240" w:line="300" w:lineRule="auto"/>
      <w:ind w:left="425" w:hanging="425"/>
    </w:pPr>
    <w:rPr>
      <w:rFonts w:eastAsia="黑体"/>
      <w:b/>
      <w:sz w:val="44"/>
      <w:szCs w:val="20"/>
    </w:rPr>
  </w:style>
  <w:style w:type="paragraph" w:customStyle="1" w:styleId="3546">
    <w:name w:val="样式 标题 1H1一、ChChapter HeadingIBM Section Head-*+章标题 11.标题..."/>
    <w:basedOn w:val="3"/>
    <w:autoRedefine/>
    <w:qFormat/>
    <w:uiPriority w:val="99"/>
    <w:pPr>
      <w:overflowPunct/>
      <w:snapToGrid/>
      <w:spacing w:beforeLines="50" w:after="0" w:line="360" w:lineRule="auto"/>
      <w:ind w:left="0" w:firstLine="0"/>
      <w:jc w:val="center"/>
    </w:pPr>
    <w:rPr>
      <w:rFonts w:eastAsia="宋体"/>
      <w:color w:val="auto"/>
      <w:kern w:val="0"/>
      <w:sz w:val="32"/>
      <w:szCs w:val="21"/>
    </w:rPr>
  </w:style>
  <w:style w:type="paragraph" w:customStyle="1" w:styleId="3547">
    <w:name w:val="9 Char Char Char2"/>
    <w:basedOn w:val="1"/>
    <w:autoRedefine/>
    <w:qFormat/>
    <w:uiPriority w:val="0"/>
    <w:pPr>
      <w:spacing w:line="240" w:lineRule="exact"/>
      <w:ind w:firstLine="200" w:firstLineChars="200"/>
    </w:pPr>
    <w:rPr>
      <w:sz w:val="28"/>
      <w:szCs w:val="28"/>
    </w:rPr>
  </w:style>
  <w:style w:type="paragraph" w:customStyle="1" w:styleId="3548">
    <w:name w:val="样式 正文缩进 + 宋体 黑色 首行缩进:  2 字符2"/>
    <w:basedOn w:val="9"/>
    <w:autoRedefine/>
    <w:qFormat/>
    <w:uiPriority w:val="0"/>
    <w:pPr>
      <w:spacing w:line="360" w:lineRule="auto"/>
      <w:ind w:firstLine="480"/>
      <w:jc w:val="left"/>
    </w:pPr>
    <w:rPr>
      <w:rFonts w:ascii="宋体" w:hAnsi="宋体" w:cs="宋体"/>
      <w:color w:val="FF00FF"/>
      <w:kern w:val="0"/>
      <w:sz w:val="24"/>
      <w:szCs w:val="20"/>
      <w:lang w:val="en-US"/>
    </w:rPr>
  </w:style>
  <w:style w:type="paragraph" w:customStyle="1" w:styleId="3549">
    <w:name w:val="9 Char Char Char3"/>
    <w:basedOn w:val="1"/>
    <w:autoRedefine/>
    <w:qFormat/>
    <w:uiPriority w:val="0"/>
    <w:pPr>
      <w:spacing w:line="240" w:lineRule="exact"/>
      <w:ind w:firstLine="200" w:firstLineChars="200"/>
    </w:pPr>
    <w:rPr>
      <w:sz w:val="28"/>
      <w:szCs w:val="28"/>
    </w:rPr>
  </w:style>
  <w:style w:type="paragraph" w:customStyle="1" w:styleId="3550">
    <w:name w:val="样式14"/>
    <w:basedOn w:val="1940"/>
    <w:autoRedefine/>
    <w:qFormat/>
    <w:uiPriority w:val="0"/>
    <w:pPr>
      <w:adjustRightInd w:val="0"/>
      <w:spacing w:line="240" w:lineRule="auto"/>
      <w:textAlignment w:val="baseline"/>
    </w:pPr>
    <w:rPr>
      <w:rFonts w:ascii="仿宋_GB2312" w:hAnsi="宋体" w:eastAsia="仿宋_GB2312"/>
      <w:bCs/>
      <w:sz w:val="24"/>
    </w:rPr>
  </w:style>
  <w:style w:type="paragraph" w:customStyle="1" w:styleId="3551">
    <w:name w:val="9 Char Char Char6"/>
    <w:basedOn w:val="1"/>
    <w:autoRedefine/>
    <w:qFormat/>
    <w:uiPriority w:val="0"/>
    <w:pPr>
      <w:spacing w:line="240" w:lineRule="exact"/>
      <w:ind w:firstLine="200" w:firstLineChars="200"/>
    </w:pPr>
    <w:rPr>
      <w:sz w:val="28"/>
      <w:szCs w:val="28"/>
    </w:rPr>
  </w:style>
  <w:style w:type="paragraph" w:customStyle="1" w:styleId="3552">
    <w:name w:val="p6"/>
    <w:basedOn w:val="1"/>
    <w:autoRedefine/>
    <w:qFormat/>
    <w:uiPriority w:val="0"/>
    <w:pPr>
      <w:tabs>
        <w:tab w:val="left" w:pos="4720"/>
      </w:tabs>
      <w:spacing w:line="240" w:lineRule="atLeast"/>
      <w:ind w:left="3280"/>
      <w:jc w:val="left"/>
    </w:pPr>
    <w:rPr>
      <w:rFonts w:ascii="Arial" w:hAnsi="Arial"/>
      <w:snapToGrid w:val="0"/>
      <w:kern w:val="0"/>
      <w:sz w:val="24"/>
      <w:szCs w:val="20"/>
      <w:lang w:eastAsia="en-US"/>
    </w:rPr>
  </w:style>
  <w:style w:type="paragraph" w:customStyle="1" w:styleId="3553">
    <w:name w:val="附件32"/>
    <w:basedOn w:val="3"/>
    <w:next w:val="418"/>
    <w:autoRedefine/>
    <w:qFormat/>
    <w:uiPriority w:val="0"/>
    <w:pPr>
      <w:keepLines/>
      <w:tabs>
        <w:tab w:val="left" w:pos="1566"/>
      </w:tabs>
      <w:overflowPunct/>
      <w:adjustRightInd w:val="0"/>
      <w:spacing w:before="0" w:after="120" w:line="360" w:lineRule="auto"/>
      <w:ind w:left="0" w:firstLine="0"/>
      <w:jc w:val="left"/>
    </w:pPr>
    <w:rPr>
      <w:rFonts w:ascii="黑体" w:hAnsi="宋体"/>
      <w:b w:val="0"/>
      <w:color w:val="auto"/>
      <w:sz w:val="32"/>
      <w:szCs w:val="32"/>
    </w:rPr>
  </w:style>
  <w:style w:type="paragraph" w:customStyle="1" w:styleId="3554">
    <w:name w:val="表内式样"/>
    <w:autoRedefine/>
    <w:qFormat/>
    <w:uiPriority w:val="0"/>
    <w:pPr>
      <w:widowControl w:val="0"/>
      <w:spacing w:line="0" w:lineRule="atLeast"/>
      <w:jc w:val="center"/>
    </w:pPr>
    <w:rPr>
      <w:rFonts w:ascii="Times New Roman" w:hAnsi="Times New Roman" w:eastAsia="宋体" w:cs="Times New Roman"/>
      <w:kern w:val="2"/>
      <w:sz w:val="21"/>
      <w:lang w:val="en-US" w:eastAsia="zh-CN" w:bidi="ar-SA"/>
    </w:rPr>
  </w:style>
  <w:style w:type="paragraph" w:customStyle="1" w:styleId="3555">
    <w:name w:val="表内宋5中22"/>
    <w:basedOn w:val="1"/>
    <w:autoRedefine/>
    <w:qFormat/>
    <w:uiPriority w:val="0"/>
    <w:pPr>
      <w:adjustRightInd w:val="0"/>
      <w:snapToGrid w:val="0"/>
      <w:jc w:val="center"/>
      <w:textAlignment w:val="baseline"/>
    </w:pPr>
    <w:rPr>
      <w:rFonts w:ascii="宋体" w:hAnsi="宋体"/>
      <w:kern w:val="0"/>
      <w:szCs w:val="20"/>
    </w:rPr>
  </w:style>
  <w:style w:type="paragraph" w:customStyle="1" w:styleId="3556">
    <w:name w:val="正文格式＝512"/>
    <w:basedOn w:val="418"/>
    <w:next w:val="418"/>
    <w:autoRedefine/>
    <w:qFormat/>
    <w:uiPriority w:val="0"/>
    <w:rPr>
      <w:rFonts w:ascii="宋体" w:hAnsi="宋体"/>
      <w:b w:val="0"/>
      <w:spacing w:val="0"/>
      <w:sz w:val="24"/>
      <w:szCs w:val="24"/>
    </w:rPr>
  </w:style>
  <w:style w:type="paragraph" w:customStyle="1" w:styleId="3557">
    <w:name w:val="文本正文"/>
    <w:basedOn w:val="1"/>
    <w:autoRedefine/>
    <w:qFormat/>
    <w:uiPriority w:val="99"/>
    <w:pPr>
      <w:snapToGrid w:val="0"/>
      <w:spacing w:line="360" w:lineRule="auto"/>
      <w:ind w:firstLine="510"/>
      <w:jc w:val="left"/>
    </w:pPr>
    <w:rPr>
      <w:rFonts w:ascii="宋体"/>
      <w:spacing w:val="4"/>
      <w:kern w:val="24"/>
      <w:sz w:val="24"/>
      <w:lang w:val="zh-CN"/>
    </w:rPr>
  </w:style>
  <w:style w:type="paragraph" w:customStyle="1" w:styleId="3558">
    <w:name w:val="00000000000000"/>
    <w:basedOn w:val="4"/>
    <w:autoRedefine/>
    <w:qFormat/>
    <w:uiPriority w:val="99"/>
    <w:pPr>
      <w:keepNext w:val="0"/>
      <w:keepLines w:val="0"/>
      <w:adjustRightInd w:val="0"/>
      <w:snapToGrid w:val="0"/>
      <w:spacing w:before="0" w:after="0" w:line="360" w:lineRule="auto"/>
      <w:ind w:firstLine="480" w:firstLineChars="200"/>
      <w:outlineLvl w:val="9"/>
    </w:pPr>
    <w:rPr>
      <w:rFonts w:ascii="宋体" w:hAnsi="宋体"/>
      <w:b w:val="0"/>
      <w:kern w:val="18"/>
      <w:sz w:val="24"/>
      <w:szCs w:val="21"/>
    </w:rPr>
  </w:style>
  <w:style w:type="paragraph" w:customStyle="1" w:styleId="3559">
    <w:name w:val="表内文字小2141"/>
    <w:basedOn w:val="1"/>
    <w:autoRedefine/>
    <w:qFormat/>
    <w:uiPriority w:val="0"/>
    <w:pPr>
      <w:adjustRightInd w:val="0"/>
      <w:snapToGrid w:val="0"/>
      <w:jc w:val="center"/>
    </w:pPr>
    <w:rPr>
      <w:rFonts w:ascii="宋体" w:hAnsi="Times"/>
      <w:bCs/>
      <w:color w:val="000000"/>
      <w:szCs w:val="20"/>
    </w:rPr>
  </w:style>
  <w:style w:type="paragraph" w:customStyle="1" w:styleId="3560">
    <w:name w:val="附件4"/>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color w:val="auto"/>
      <w:sz w:val="32"/>
      <w:szCs w:val="32"/>
    </w:rPr>
  </w:style>
  <w:style w:type="paragraph" w:customStyle="1" w:styleId="3561">
    <w:name w:val="表内文字小21111"/>
    <w:basedOn w:val="1"/>
    <w:autoRedefine/>
    <w:qFormat/>
    <w:uiPriority w:val="0"/>
    <w:pPr>
      <w:adjustRightInd w:val="0"/>
      <w:snapToGrid w:val="0"/>
      <w:jc w:val="center"/>
    </w:pPr>
    <w:rPr>
      <w:rFonts w:ascii="宋体" w:hAnsi="Times"/>
      <w:bCs/>
      <w:color w:val="000000"/>
      <w:szCs w:val="20"/>
    </w:rPr>
  </w:style>
  <w:style w:type="paragraph" w:customStyle="1" w:styleId="3562">
    <w:name w:val="正文格式13"/>
    <w:basedOn w:val="1"/>
    <w:autoRedefine/>
    <w:qFormat/>
    <w:uiPriority w:val="0"/>
    <w:pPr>
      <w:spacing w:line="360" w:lineRule="auto"/>
      <w:ind w:firstLine="482"/>
    </w:pPr>
    <w:rPr>
      <w:rFonts w:ascii="宋体" w:hAnsi="宋体"/>
      <w:sz w:val="24"/>
    </w:rPr>
  </w:style>
  <w:style w:type="paragraph" w:customStyle="1" w:styleId="3563">
    <w:name w:val="小四宋左齐1.5"/>
    <w:basedOn w:val="1"/>
    <w:autoRedefine/>
    <w:qFormat/>
    <w:uiPriority w:val="0"/>
    <w:pPr>
      <w:spacing w:line="360" w:lineRule="auto"/>
      <w:jc w:val="center"/>
    </w:pPr>
    <w:rPr>
      <w:rFonts w:ascii="宋体"/>
      <w:sz w:val="18"/>
      <w:szCs w:val="20"/>
    </w:rPr>
  </w:style>
  <w:style w:type="paragraph" w:customStyle="1" w:styleId="3564">
    <w:name w:val="正文修改23"/>
    <w:basedOn w:val="193"/>
    <w:autoRedefine/>
    <w:qFormat/>
    <w:uiPriority w:val="0"/>
    <w:rPr>
      <w:rFonts w:hAnsi="宋体"/>
      <w:color w:val="000000"/>
    </w:rPr>
  </w:style>
  <w:style w:type="paragraph" w:customStyle="1" w:styleId="3565">
    <w:name w:val="表内文字小31311"/>
    <w:basedOn w:val="1"/>
    <w:autoRedefine/>
    <w:qFormat/>
    <w:uiPriority w:val="0"/>
    <w:pPr>
      <w:adjustRightInd w:val="0"/>
      <w:snapToGrid w:val="0"/>
      <w:jc w:val="center"/>
    </w:pPr>
    <w:rPr>
      <w:rFonts w:ascii="宋体" w:hAnsi="Times" w:cs="宋体"/>
      <w:bCs/>
      <w:color w:val="003366"/>
      <w:szCs w:val="20"/>
    </w:rPr>
  </w:style>
  <w:style w:type="paragraph" w:customStyle="1" w:styleId="3566">
    <w:name w:val="表内宋5中4"/>
    <w:basedOn w:val="1"/>
    <w:autoRedefine/>
    <w:qFormat/>
    <w:uiPriority w:val="0"/>
    <w:pPr>
      <w:adjustRightInd w:val="0"/>
      <w:snapToGrid w:val="0"/>
      <w:textAlignment w:val="baseline"/>
    </w:pPr>
    <w:rPr>
      <w:color w:val="000000"/>
      <w:kern w:val="0"/>
      <w:szCs w:val="20"/>
    </w:rPr>
  </w:style>
  <w:style w:type="paragraph" w:customStyle="1" w:styleId="3567">
    <w:name w:val="表题314"/>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568">
    <w:name w:val="样式 表格文字 + 仿宋_GB2312"/>
    <w:basedOn w:val="149"/>
    <w:autoRedefine/>
    <w:qFormat/>
    <w:uiPriority w:val="0"/>
    <w:pPr>
      <w:widowControl w:val="0"/>
      <w:tabs>
        <w:tab w:val="left" w:pos="-66"/>
        <w:tab w:val="left" w:pos="425"/>
        <w:tab w:val="left" w:pos="600"/>
        <w:tab w:val="left" w:pos="2100"/>
      </w:tabs>
      <w:adjustRightInd w:val="0"/>
      <w:spacing w:line="400" w:lineRule="exact"/>
      <w:ind w:firstLine="57"/>
      <w:textAlignment w:val="baseline"/>
    </w:pPr>
    <w:rPr>
      <w:rFonts w:hAnsi="Times New Roman" w:cs="宋体"/>
      <w:kern w:val="0"/>
      <w:sz w:val="21"/>
      <w:lang w:val="en-US"/>
    </w:rPr>
  </w:style>
  <w:style w:type="paragraph" w:customStyle="1" w:styleId="3569">
    <w:name w:val="文本框13"/>
    <w:basedOn w:val="1"/>
    <w:autoRedefine/>
    <w:qFormat/>
    <w:uiPriority w:val="0"/>
    <w:pPr>
      <w:adjustRightInd w:val="0"/>
      <w:snapToGrid w:val="0"/>
      <w:spacing w:after="6"/>
      <w:jc w:val="center"/>
    </w:pPr>
    <w:rPr>
      <w:rFonts w:eastAsia="仿宋_GB2312"/>
    </w:rPr>
  </w:style>
  <w:style w:type="paragraph" w:customStyle="1" w:styleId="3570">
    <w:name w:val="表内宋52"/>
    <w:basedOn w:val="1719"/>
    <w:autoRedefine/>
    <w:qFormat/>
    <w:uiPriority w:val="0"/>
    <w:pPr>
      <w:widowControl/>
      <w:autoSpaceDE w:val="0"/>
      <w:autoSpaceDN w:val="0"/>
      <w:jc w:val="left"/>
      <w:textAlignment w:val="auto"/>
    </w:pPr>
    <w:rPr>
      <w:color w:val="auto"/>
      <w:w w:val="90"/>
    </w:rPr>
  </w:style>
  <w:style w:type="paragraph" w:customStyle="1" w:styleId="3571">
    <w:name w:val="样式 报告书表格 + 仿宋_GB2312"/>
    <w:basedOn w:val="323"/>
    <w:autoRedefine/>
    <w:qFormat/>
    <w:uiPriority w:val="0"/>
    <w:pPr>
      <w:spacing w:line="360" w:lineRule="exact"/>
      <w:ind w:firstLine="480" w:firstLineChars="200"/>
    </w:pPr>
    <w:rPr>
      <w:rFonts w:ascii="仿宋_GB2312" w:hAnsi="宋体" w:cs="宋体"/>
      <w:color w:val="000000"/>
      <w:szCs w:val="21"/>
    </w:rPr>
  </w:style>
  <w:style w:type="paragraph" w:customStyle="1" w:styleId="3572">
    <w:name w:val="正文格式＝33"/>
    <w:basedOn w:val="418"/>
    <w:next w:val="418"/>
    <w:autoRedefine/>
    <w:qFormat/>
    <w:uiPriority w:val="0"/>
    <w:rPr>
      <w:rFonts w:ascii="宋体" w:hAnsi="宋体"/>
      <w:b w:val="0"/>
      <w:spacing w:val="0"/>
      <w:sz w:val="24"/>
      <w:szCs w:val="24"/>
    </w:rPr>
  </w:style>
  <w:style w:type="paragraph" w:customStyle="1" w:styleId="3573">
    <w:name w:val="表格内字体22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574">
    <w:name w:val="样式 (西文) 宋体"/>
    <w:basedOn w:val="1"/>
    <w:autoRedefine/>
    <w:qFormat/>
    <w:uiPriority w:val="0"/>
    <w:pPr>
      <w:spacing w:line="500" w:lineRule="exact"/>
      <w:ind w:firstLine="560" w:firstLineChars="200"/>
    </w:pPr>
    <w:rPr>
      <w:rFonts w:eastAsia="仿宋_GB2312" w:cs="宋体"/>
      <w:sz w:val="28"/>
      <w:szCs w:val="20"/>
    </w:rPr>
  </w:style>
  <w:style w:type="paragraph" w:customStyle="1" w:styleId="3575">
    <w:name w:val="表格内字体511"/>
    <w:basedOn w:val="418"/>
    <w:next w:val="418"/>
    <w:autoRedefine/>
    <w:qFormat/>
    <w:uiPriority w:val="0"/>
    <w:pPr>
      <w:adjustRightInd w:val="0"/>
      <w:snapToGrid w:val="0"/>
      <w:spacing w:line="240" w:lineRule="auto"/>
      <w:ind w:firstLine="0"/>
    </w:pPr>
    <w:rPr>
      <w:rFonts w:ascii="宋体" w:hAnsi="宋体"/>
      <w:b w:val="0"/>
      <w:spacing w:val="0"/>
      <w:szCs w:val="24"/>
    </w:rPr>
  </w:style>
  <w:style w:type="paragraph" w:customStyle="1" w:styleId="3576">
    <w:name w:val="Char1311"/>
    <w:basedOn w:val="1"/>
    <w:autoRedefine/>
    <w:qFormat/>
    <w:uiPriority w:val="0"/>
    <w:pPr>
      <w:ind w:left="-48"/>
    </w:pPr>
  </w:style>
  <w:style w:type="paragraph" w:customStyle="1" w:styleId="3577">
    <w:name w:val="样式 标题 1H1Section HeadHeader1h11st levell1Heading 0Fab-1..."/>
    <w:basedOn w:val="3"/>
    <w:autoRedefine/>
    <w:qFormat/>
    <w:uiPriority w:val="0"/>
    <w:pPr>
      <w:keepLines/>
      <w:overflowPunct/>
      <w:snapToGrid/>
      <w:spacing w:before="340" w:after="330" w:line="498" w:lineRule="exact"/>
      <w:ind w:left="0" w:firstLine="0"/>
    </w:pPr>
    <w:rPr>
      <w:rFonts w:ascii="黑体" w:hAnsi="宋体" w:cs="宋体"/>
      <w:color w:val="auto"/>
      <w:sz w:val="32"/>
      <w:szCs w:val="20"/>
    </w:rPr>
  </w:style>
  <w:style w:type="paragraph" w:customStyle="1" w:styleId="3578">
    <w:name w:val="图题11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579">
    <w:name w:val="表头文字"/>
    <w:basedOn w:val="1"/>
    <w:autoRedefine/>
    <w:qFormat/>
    <w:uiPriority w:val="0"/>
    <w:pPr>
      <w:topLinePunct/>
      <w:spacing w:before="60" w:after="60"/>
      <w:jc w:val="center"/>
    </w:pPr>
    <w:rPr>
      <w:szCs w:val="20"/>
    </w:rPr>
  </w:style>
  <w:style w:type="paragraph" w:customStyle="1" w:styleId="3580">
    <w:name w:val="默认段落字体 Para Char7"/>
    <w:basedOn w:val="1"/>
    <w:autoRedefine/>
    <w:qFormat/>
    <w:uiPriority w:val="0"/>
    <w:pPr>
      <w:spacing w:line="360" w:lineRule="auto"/>
      <w:ind w:firstLine="200" w:firstLineChars="200"/>
    </w:pPr>
    <w:rPr>
      <w:rFonts w:ascii="宋体" w:hAnsi="宋体" w:cs="宋体"/>
      <w:sz w:val="24"/>
    </w:rPr>
  </w:style>
  <w:style w:type="paragraph" w:customStyle="1" w:styleId="3581">
    <w:name w:val="表内文字小314"/>
    <w:basedOn w:val="1"/>
    <w:autoRedefine/>
    <w:qFormat/>
    <w:uiPriority w:val="0"/>
    <w:pPr>
      <w:adjustRightInd w:val="0"/>
      <w:snapToGrid w:val="0"/>
      <w:jc w:val="center"/>
    </w:pPr>
    <w:rPr>
      <w:rFonts w:ascii="宋体" w:hAnsi="Times" w:cs="宋体"/>
      <w:bCs/>
      <w:color w:val="003366"/>
      <w:szCs w:val="20"/>
    </w:rPr>
  </w:style>
  <w:style w:type="paragraph" w:customStyle="1" w:styleId="3582">
    <w:name w:val="样式 正文缩进文本条款表格标题正文（首行缩进两字） Char Char Char Char Char Char Char ..."/>
    <w:basedOn w:val="9"/>
    <w:autoRedefine/>
    <w:qFormat/>
    <w:uiPriority w:val="0"/>
    <w:pPr>
      <w:adjustRightInd w:val="0"/>
      <w:snapToGrid w:val="0"/>
      <w:spacing w:line="460" w:lineRule="exact"/>
      <w:ind w:firstLine="200"/>
    </w:pPr>
    <w:rPr>
      <w:rFonts w:ascii="宋体" w:cs="宋体"/>
      <w:kern w:val="0"/>
      <w:sz w:val="28"/>
      <w:szCs w:val="20"/>
      <w:lang w:val="en-US"/>
    </w:rPr>
  </w:style>
  <w:style w:type="paragraph" w:customStyle="1" w:styleId="3583">
    <w:name w:val="附件23"/>
    <w:basedOn w:val="3"/>
    <w:next w:val="418"/>
    <w:autoRedefine/>
    <w:qFormat/>
    <w:uiPriority w:val="0"/>
    <w:pPr>
      <w:keepLines/>
      <w:tabs>
        <w:tab w:val="left" w:pos="1566"/>
      </w:tabs>
      <w:overflowPunct/>
      <w:adjustRightInd w:val="0"/>
      <w:spacing w:beforeLines="100" w:after="0" w:line="360" w:lineRule="auto"/>
      <w:ind w:left="0" w:firstLine="0"/>
    </w:pPr>
    <w:rPr>
      <w:rFonts w:ascii="黑体" w:hAnsi="宋体"/>
      <w:color w:val="auto"/>
      <w:sz w:val="32"/>
      <w:szCs w:val="32"/>
    </w:rPr>
  </w:style>
  <w:style w:type="paragraph" w:customStyle="1" w:styleId="3584">
    <w:name w:val="正文缩2"/>
    <w:basedOn w:val="1"/>
    <w:autoRedefine/>
    <w:qFormat/>
    <w:uiPriority w:val="0"/>
    <w:pPr>
      <w:adjustRightInd w:val="0"/>
      <w:snapToGrid w:val="0"/>
      <w:spacing w:line="480" w:lineRule="atLeast"/>
      <w:ind w:firstLine="567"/>
      <w:textAlignment w:val="baseline"/>
    </w:pPr>
    <w:rPr>
      <w:rFonts w:ascii="宋体"/>
      <w:color w:val="000080"/>
      <w:spacing w:val="6"/>
      <w:kern w:val="0"/>
      <w:sz w:val="28"/>
      <w:szCs w:val="20"/>
    </w:rPr>
  </w:style>
  <w:style w:type="paragraph" w:customStyle="1" w:styleId="3585">
    <w:name w:val="标题4313"/>
    <w:basedOn w:val="1"/>
    <w:autoRedefine/>
    <w:qFormat/>
    <w:uiPriority w:val="0"/>
    <w:pPr>
      <w:adjustRightInd w:val="0"/>
      <w:snapToGrid w:val="0"/>
      <w:spacing w:line="480" w:lineRule="exact"/>
      <w:jc w:val="center"/>
    </w:pPr>
    <w:rPr>
      <w:rFonts w:ascii="宋体" w:hAnsi="宋体" w:cs="宋体"/>
      <w:sz w:val="24"/>
    </w:rPr>
  </w:style>
  <w:style w:type="paragraph" w:customStyle="1" w:styleId="3586">
    <w:name w:val="样式 样式7 + 左侧:  4 字符"/>
    <w:basedOn w:val="1287"/>
    <w:autoRedefine/>
    <w:qFormat/>
    <w:uiPriority w:val="0"/>
    <w:pPr>
      <w:tabs>
        <w:tab w:val="right" w:leader="dot" w:pos="8296"/>
      </w:tabs>
      <w:adjustRightInd w:val="0"/>
      <w:snapToGrid w:val="0"/>
      <w:spacing w:line="240" w:lineRule="auto"/>
      <w:ind w:left="200" w:leftChars="200" w:firstLine="0" w:firstLineChars="0"/>
      <w:jc w:val="center"/>
    </w:pPr>
    <w:rPr>
      <w:color w:val="auto"/>
      <w:sz w:val="21"/>
      <w:szCs w:val="20"/>
    </w:rPr>
  </w:style>
  <w:style w:type="paragraph" w:customStyle="1" w:styleId="3587">
    <w:name w:val="Char1511"/>
    <w:basedOn w:val="1"/>
    <w:autoRedefine/>
    <w:qFormat/>
    <w:uiPriority w:val="0"/>
    <w:pPr>
      <w:adjustRightInd w:val="0"/>
      <w:snapToGrid w:val="0"/>
      <w:spacing w:beforeLines="50" w:line="360" w:lineRule="auto"/>
    </w:pPr>
    <w:rPr>
      <w:rFonts w:ascii="黑体" w:eastAsia="黑体"/>
      <w:sz w:val="32"/>
      <w:szCs w:val="32"/>
    </w:rPr>
  </w:style>
  <w:style w:type="paragraph" w:customStyle="1" w:styleId="3588">
    <w:name w:val="样式21"/>
    <w:basedOn w:val="1"/>
    <w:autoRedefine/>
    <w:qFormat/>
    <w:uiPriority w:val="0"/>
    <w:pPr>
      <w:adjustRightInd w:val="0"/>
      <w:spacing w:line="360" w:lineRule="auto"/>
      <w:jc w:val="center"/>
      <w:textAlignment w:val="baseline"/>
      <w:outlineLvl w:val="0"/>
    </w:pPr>
    <w:rPr>
      <w:kern w:val="0"/>
      <w:szCs w:val="20"/>
    </w:rPr>
  </w:style>
  <w:style w:type="paragraph" w:customStyle="1" w:styleId="3589">
    <w:name w:val="样式 目录 2 + 左侧:  2 字符"/>
    <w:basedOn w:val="74"/>
    <w:autoRedefine/>
    <w:qFormat/>
    <w:uiPriority w:val="0"/>
    <w:pPr>
      <w:tabs>
        <w:tab w:val="left" w:pos="900"/>
        <w:tab w:val="right" w:leader="dot" w:pos="8296"/>
        <w:tab w:val="right" w:leader="dot" w:pos="9061"/>
      </w:tabs>
      <w:adjustRightInd w:val="0"/>
      <w:snapToGrid w:val="0"/>
      <w:ind w:left="420" w:leftChars="200"/>
      <w:jc w:val="center"/>
    </w:pPr>
    <w:rPr>
      <w:rFonts w:ascii="宋体" w:hAnsi="宋体" w:cs="宋体"/>
      <w:smallCaps w:val="0"/>
      <w:sz w:val="21"/>
      <w:szCs w:val="21"/>
    </w:rPr>
  </w:style>
  <w:style w:type="paragraph" w:customStyle="1" w:styleId="3590">
    <w:name w:val="表内文字小4"/>
    <w:basedOn w:val="1"/>
    <w:autoRedefine/>
    <w:qFormat/>
    <w:uiPriority w:val="0"/>
    <w:pPr>
      <w:adjustRightInd w:val="0"/>
      <w:snapToGrid w:val="0"/>
      <w:jc w:val="center"/>
    </w:pPr>
    <w:rPr>
      <w:rFonts w:ascii="宋体" w:hAnsi="Times"/>
      <w:szCs w:val="20"/>
    </w:rPr>
  </w:style>
  <w:style w:type="paragraph" w:customStyle="1" w:styleId="3591">
    <w:name w:val="表头四号 + 段前: 0.5 行 + 段前: 0.5 行"/>
    <w:basedOn w:val="1"/>
    <w:autoRedefine/>
    <w:qFormat/>
    <w:uiPriority w:val="0"/>
    <w:pPr>
      <w:adjustRightInd w:val="0"/>
      <w:snapToGrid w:val="0"/>
      <w:spacing w:beforeLines="25" w:line="500" w:lineRule="atLeast"/>
    </w:pPr>
    <w:rPr>
      <w:rFonts w:ascii="宋体" w:hAnsi="宋体" w:cs="宋体"/>
      <w:b/>
      <w:bCs/>
      <w:sz w:val="28"/>
      <w:szCs w:val="20"/>
    </w:rPr>
  </w:style>
  <w:style w:type="paragraph" w:customStyle="1" w:styleId="3592">
    <w:name w:val="Char611"/>
    <w:basedOn w:val="1"/>
    <w:autoRedefine/>
    <w:qFormat/>
    <w:uiPriority w:val="0"/>
    <w:pPr>
      <w:adjustRightInd w:val="0"/>
      <w:snapToGrid w:val="0"/>
      <w:spacing w:beforeLines="50" w:line="360" w:lineRule="auto"/>
    </w:pPr>
    <w:rPr>
      <w:rFonts w:ascii="黑体" w:eastAsia="黑体"/>
      <w:sz w:val="32"/>
      <w:szCs w:val="32"/>
    </w:rPr>
  </w:style>
  <w:style w:type="paragraph" w:customStyle="1" w:styleId="3593">
    <w:name w:val="默认段落字体 Para Char Char Char Char111"/>
    <w:basedOn w:val="1"/>
    <w:autoRedefine/>
    <w:qFormat/>
    <w:uiPriority w:val="0"/>
  </w:style>
  <w:style w:type="paragraph" w:customStyle="1" w:styleId="3594">
    <w:name w:val="样式 标题 3 + 黑体 小四 左侧:  0.86 厘米 首行缩进:  0 厘米"/>
    <w:basedOn w:val="5"/>
    <w:autoRedefine/>
    <w:qFormat/>
    <w:uiPriority w:val="0"/>
    <w:pPr>
      <w:keepLines w:val="0"/>
      <w:spacing w:before="0" w:after="0" w:line="360" w:lineRule="auto"/>
      <w:jc w:val="left"/>
    </w:pPr>
    <w:rPr>
      <w:rFonts w:ascii="黑体" w:eastAsia="黑体"/>
      <w:b w:val="0"/>
      <w:color w:val="000000"/>
      <w:kern w:val="0"/>
      <w:sz w:val="24"/>
      <w:szCs w:val="24"/>
      <w:lang w:val="en-GB"/>
    </w:rPr>
  </w:style>
  <w:style w:type="paragraph" w:customStyle="1" w:styleId="3595">
    <w:name w:val="图题43"/>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596">
    <w:name w:val="附件111"/>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3597">
    <w:name w:val="正文.2"/>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3598">
    <w:name w:val="Char Char Char1 Char Char Char1 Char"/>
    <w:basedOn w:val="1"/>
    <w:autoRedefine/>
    <w:qFormat/>
    <w:uiPriority w:val="0"/>
    <w:pPr>
      <w:spacing w:line="240" w:lineRule="exact"/>
      <w:ind w:firstLine="200" w:firstLineChars="200"/>
    </w:pPr>
    <w:rPr>
      <w:sz w:val="28"/>
      <w:szCs w:val="28"/>
    </w:rPr>
  </w:style>
  <w:style w:type="paragraph" w:customStyle="1" w:styleId="3599">
    <w:name w:val="默认段落字体 Para Char Char Char Char311"/>
    <w:basedOn w:val="1"/>
    <w:autoRedefine/>
    <w:qFormat/>
    <w:uiPriority w:val="0"/>
  </w:style>
  <w:style w:type="paragraph" w:customStyle="1" w:styleId="3600">
    <w:name w:val="表中文字7"/>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601">
    <w:name w:val="字元 字元 字元"/>
    <w:basedOn w:val="1"/>
    <w:autoRedefine/>
    <w:qFormat/>
    <w:uiPriority w:val="0"/>
    <w:rPr>
      <w:szCs w:val="21"/>
    </w:rPr>
  </w:style>
  <w:style w:type="paragraph" w:customStyle="1" w:styleId="3602">
    <w:name w:val="Char53"/>
    <w:basedOn w:val="1"/>
    <w:autoRedefine/>
    <w:qFormat/>
    <w:uiPriority w:val="0"/>
    <w:pPr>
      <w:adjustRightInd w:val="0"/>
      <w:snapToGrid w:val="0"/>
      <w:ind w:left="-45"/>
    </w:pPr>
  </w:style>
  <w:style w:type="paragraph" w:customStyle="1" w:styleId="3603">
    <w:name w:val="样式24"/>
    <w:basedOn w:val="1"/>
    <w:autoRedefine/>
    <w:qFormat/>
    <w:uiPriority w:val="0"/>
    <w:pPr>
      <w:adjustRightInd w:val="0"/>
      <w:spacing w:line="360" w:lineRule="auto"/>
      <w:jc w:val="center"/>
      <w:textAlignment w:val="baseline"/>
      <w:outlineLvl w:val="0"/>
    </w:pPr>
    <w:rPr>
      <w:kern w:val="0"/>
      <w:szCs w:val="20"/>
    </w:rPr>
  </w:style>
  <w:style w:type="paragraph" w:customStyle="1" w:styleId="3604">
    <w:name w:val="标题41111"/>
    <w:basedOn w:val="1"/>
    <w:autoRedefine/>
    <w:qFormat/>
    <w:uiPriority w:val="0"/>
    <w:pPr>
      <w:adjustRightInd w:val="0"/>
      <w:snapToGrid w:val="0"/>
      <w:spacing w:line="300" w:lineRule="auto"/>
      <w:jc w:val="left"/>
    </w:pPr>
    <w:rPr>
      <w:rFonts w:ascii="黑体" w:hAnsi="宋体" w:eastAsia="黑体" w:cs="宋体"/>
      <w:bCs/>
      <w:sz w:val="24"/>
      <w:szCs w:val="20"/>
    </w:rPr>
  </w:style>
  <w:style w:type="paragraph" w:customStyle="1" w:styleId="3605">
    <w:name w:val="表内文字小231"/>
    <w:basedOn w:val="1"/>
    <w:autoRedefine/>
    <w:qFormat/>
    <w:uiPriority w:val="0"/>
    <w:pPr>
      <w:adjustRightInd w:val="0"/>
      <w:snapToGrid w:val="0"/>
      <w:jc w:val="center"/>
    </w:pPr>
    <w:rPr>
      <w:rFonts w:ascii="宋体" w:hAnsi="Times"/>
      <w:bCs/>
      <w:color w:val="000000"/>
      <w:szCs w:val="20"/>
    </w:rPr>
  </w:style>
  <w:style w:type="paragraph" w:customStyle="1" w:styleId="3606">
    <w:name w:val="Char Char2 Char Char Char Char21"/>
    <w:basedOn w:val="1"/>
    <w:autoRedefine/>
    <w:qFormat/>
    <w:uiPriority w:val="0"/>
  </w:style>
  <w:style w:type="paragraph" w:customStyle="1" w:styleId="3607">
    <w:name w:val="Char811"/>
    <w:basedOn w:val="1"/>
    <w:autoRedefine/>
    <w:qFormat/>
    <w:uiPriority w:val="0"/>
    <w:pPr>
      <w:ind w:left="-48"/>
    </w:pPr>
  </w:style>
  <w:style w:type="paragraph" w:customStyle="1" w:styleId="3608">
    <w:name w:val="23-47表名3"/>
    <w:basedOn w:val="1"/>
    <w:autoRedefine/>
    <w:qFormat/>
    <w:uiPriority w:val="0"/>
    <w:pPr>
      <w:spacing w:afterLines="50" w:line="440" w:lineRule="exact"/>
      <w:jc w:val="center"/>
    </w:pPr>
    <w:rPr>
      <w:rFonts w:ascii="宋体" w:hAnsi="宋体"/>
      <w:b/>
      <w:sz w:val="24"/>
    </w:rPr>
  </w:style>
  <w:style w:type="paragraph" w:customStyle="1" w:styleId="3609">
    <w:name w:val="表题31311"/>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610">
    <w:name w:val="表格内字体61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611">
    <w:name w:val="封面标准名称"/>
    <w:autoRedefine/>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3612">
    <w:name w:val="正文格式＝43"/>
    <w:basedOn w:val="418"/>
    <w:next w:val="418"/>
    <w:autoRedefine/>
    <w:qFormat/>
    <w:uiPriority w:val="0"/>
    <w:rPr>
      <w:rFonts w:ascii="宋体" w:hAnsi="宋体"/>
      <w:b w:val="0"/>
      <w:spacing w:val="0"/>
      <w:sz w:val="24"/>
      <w:szCs w:val="24"/>
    </w:rPr>
  </w:style>
  <w:style w:type="paragraph" w:customStyle="1" w:styleId="3613">
    <w:name w:val="封面标准号2"/>
    <w:basedOn w:val="1"/>
    <w:autoRedefine/>
    <w:qFormat/>
    <w:uiPriority w:val="0"/>
    <w:pPr>
      <w:framePr w:w="9138" w:h="1244" w:hRule="exact" w:wrap="around" w:vAnchor="page" w:hAnchor="margin" w:y="2908" w:anchorLock="1"/>
      <w:kinsoku w:val="0"/>
      <w:overflowPunct w:val="0"/>
      <w:autoSpaceDE w:val="0"/>
      <w:autoSpaceDN w:val="0"/>
      <w:adjustRightInd w:val="0"/>
      <w:spacing w:before="357" w:line="280" w:lineRule="exact"/>
      <w:jc w:val="right"/>
      <w:textAlignment w:val="center"/>
    </w:pPr>
    <w:rPr>
      <w:kern w:val="0"/>
      <w:sz w:val="28"/>
      <w:szCs w:val="20"/>
    </w:rPr>
  </w:style>
  <w:style w:type="paragraph" w:customStyle="1" w:styleId="3614">
    <w:name w:val="默认段落字体 Para Char Char Char Char411"/>
    <w:basedOn w:val="1"/>
    <w:autoRedefine/>
    <w:qFormat/>
    <w:uiPriority w:val="0"/>
  </w:style>
  <w:style w:type="paragraph" w:customStyle="1" w:styleId="3615">
    <w:name w:val="首行缩进:  0.99 厘米 + 首行缩进:  2 字符1"/>
    <w:basedOn w:val="1"/>
    <w:autoRedefine/>
    <w:qFormat/>
    <w:uiPriority w:val="0"/>
    <w:pPr>
      <w:widowControl/>
      <w:topLinePunct/>
      <w:spacing w:line="480" w:lineRule="exact"/>
      <w:ind w:firstLine="420" w:firstLineChars="200"/>
      <w:jc w:val="center"/>
    </w:pPr>
    <w:rPr>
      <w:rFonts w:ascii="宋体" w:cs="宋体"/>
      <w:snapToGrid w:val="0"/>
      <w:color w:val="FF0000"/>
      <w:kern w:val="0"/>
      <w:szCs w:val="21"/>
    </w:rPr>
  </w:style>
  <w:style w:type="paragraph" w:customStyle="1" w:styleId="3616">
    <w:name w:val="样式 标题 3标题 3 Char Char + (西文) Times New Roman (中文) 仿宋_GB2312 加..."/>
    <w:basedOn w:val="5"/>
    <w:autoRedefine/>
    <w:qFormat/>
    <w:uiPriority w:val="0"/>
    <w:pPr>
      <w:spacing w:before="120" w:after="120" w:line="498" w:lineRule="exact"/>
    </w:pPr>
    <w:rPr>
      <w:rFonts w:cs="宋体"/>
      <w:kern w:val="0"/>
      <w:sz w:val="28"/>
      <w:szCs w:val="20"/>
      <w:lang w:val="en-US"/>
    </w:rPr>
  </w:style>
  <w:style w:type="paragraph" w:customStyle="1" w:styleId="3617">
    <w:name w:val="表文字533"/>
    <w:basedOn w:val="1"/>
    <w:autoRedefine/>
    <w:qFormat/>
    <w:uiPriority w:val="0"/>
    <w:pPr>
      <w:adjustRightInd w:val="0"/>
      <w:jc w:val="left"/>
      <w:textAlignment w:val="baseline"/>
    </w:pPr>
    <w:rPr>
      <w:rFonts w:ascii="宋体"/>
      <w:kern w:val="0"/>
      <w:szCs w:val="20"/>
    </w:rPr>
  </w:style>
  <w:style w:type="paragraph" w:customStyle="1" w:styleId="3618">
    <w:name w:val="样式 标题 2H2（一）Underrubrik1prop2Heading 2 HiddenHeading 2 CCB..."/>
    <w:basedOn w:val="4"/>
    <w:autoRedefine/>
    <w:qFormat/>
    <w:uiPriority w:val="0"/>
    <w:pPr>
      <w:spacing w:before="200" w:after="200" w:line="498" w:lineRule="exact"/>
    </w:pPr>
    <w:rPr>
      <w:rFonts w:ascii="Times New Roman" w:hAnsi="Times New Roman" w:cs="宋体"/>
      <w:sz w:val="28"/>
      <w:szCs w:val="28"/>
    </w:rPr>
  </w:style>
  <w:style w:type="paragraph" w:customStyle="1" w:styleId="3619">
    <w:name w:val="表内宋5中1111"/>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3620">
    <w:name w:val="样式22"/>
    <w:basedOn w:val="1"/>
    <w:autoRedefine/>
    <w:qFormat/>
    <w:uiPriority w:val="0"/>
    <w:pPr>
      <w:adjustRightInd w:val="0"/>
      <w:spacing w:line="360" w:lineRule="auto"/>
      <w:jc w:val="center"/>
      <w:textAlignment w:val="baseline"/>
      <w:outlineLvl w:val="0"/>
    </w:pPr>
    <w:rPr>
      <w:kern w:val="0"/>
      <w:szCs w:val="20"/>
    </w:rPr>
  </w:style>
  <w:style w:type="paragraph" w:customStyle="1" w:styleId="3621">
    <w:name w:val="Default11"/>
    <w:autoRedefine/>
    <w:qFormat/>
    <w:uiPriority w:val="0"/>
    <w:pPr>
      <w:widowControl w:val="0"/>
      <w:autoSpaceDE w:val="0"/>
      <w:autoSpaceDN w:val="0"/>
      <w:adjustRightInd w:val="0"/>
    </w:pPr>
    <w:rPr>
      <w:rFonts w:ascii="宋体" w:hAnsi="Times New Roman" w:eastAsia="宋体" w:cs="Times New Roman"/>
      <w:color w:val="000000"/>
      <w:sz w:val="24"/>
      <w:szCs w:val="24"/>
      <w:lang w:val="en-US" w:eastAsia="zh-CN" w:bidi="ar-SA"/>
    </w:rPr>
  </w:style>
  <w:style w:type="paragraph" w:customStyle="1" w:styleId="3622">
    <w:name w:val="CM32"/>
    <w:basedOn w:val="107"/>
    <w:next w:val="107"/>
    <w:autoRedefine/>
    <w:qFormat/>
    <w:uiPriority w:val="0"/>
    <w:pPr>
      <w:spacing w:after="230" w:line="240" w:lineRule="auto"/>
    </w:pPr>
    <w:rPr>
      <w:rFonts w:ascii="Li Super" w:hAnsi="Times New Roman" w:eastAsia="Li Super" w:cs="Times New Roman"/>
      <w:color w:val="auto"/>
    </w:rPr>
  </w:style>
  <w:style w:type="paragraph" w:customStyle="1" w:styleId="3623">
    <w:name w:val="Char Char Char1 Char Char Char Char Char Char Char Char Char Char Char Char"/>
    <w:basedOn w:val="1"/>
    <w:autoRedefine/>
    <w:qFormat/>
    <w:uiPriority w:val="0"/>
    <w:rPr>
      <w:szCs w:val="21"/>
    </w:rPr>
  </w:style>
  <w:style w:type="paragraph" w:customStyle="1" w:styleId="3624">
    <w:name w:val="Char Char Char Char Char Char Char49"/>
    <w:basedOn w:val="1"/>
    <w:autoRedefine/>
    <w:qFormat/>
    <w:uiPriority w:val="0"/>
    <w:pPr>
      <w:spacing w:line="240" w:lineRule="exact"/>
      <w:ind w:firstLine="200" w:firstLineChars="200"/>
    </w:pPr>
    <w:rPr>
      <w:sz w:val="28"/>
      <w:szCs w:val="28"/>
    </w:rPr>
  </w:style>
  <w:style w:type="paragraph" w:customStyle="1" w:styleId="3625">
    <w:name w:val="默认段落字体 Para Char112"/>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626">
    <w:name w:val="默认段落字体 Para Char Char Char Char Char2"/>
    <w:basedOn w:val="1"/>
    <w:autoRedefine/>
    <w:qFormat/>
    <w:uiPriority w:val="0"/>
  </w:style>
  <w:style w:type="paragraph" w:customStyle="1" w:styleId="3627">
    <w:name w:val="Char6 Char Char Char1 Char Char Char"/>
    <w:basedOn w:val="1"/>
    <w:autoRedefine/>
    <w:qFormat/>
    <w:uiPriority w:val="0"/>
    <w:rPr>
      <w:szCs w:val="21"/>
    </w:rPr>
  </w:style>
  <w:style w:type="paragraph" w:customStyle="1" w:styleId="3628">
    <w:name w:val="样式 宋体 首行缩进:  0.93 厘米 段前: 6 磅 段后: 6 磅 行距: 固定值 18 磅"/>
    <w:basedOn w:val="1"/>
    <w:autoRedefine/>
    <w:qFormat/>
    <w:uiPriority w:val="0"/>
    <w:pPr>
      <w:snapToGrid w:val="0"/>
      <w:spacing w:before="160" w:after="160" w:line="320" w:lineRule="exact"/>
      <w:ind w:firstLine="482"/>
    </w:pPr>
    <w:rPr>
      <w:rFonts w:ascii="宋体" w:hAnsi="宋体" w:cs="宋体"/>
      <w:sz w:val="24"/>
      <w:szCs w:val="20"/>
    </w:rPr>
  </w:style>
  <w:style w:type="paragraph" w:customStyle="1" w:styleId="3629">
    <w:name w:val="数据来源"/>
    <w:basedOn w:val="1"/>
    <w:autoRedefine/>
    <w:qFormat/>
    <w:uiPriority w:val="0"/>
    <w:pPr>
      <w:snapToGrid w:val="0"/>
      <w:spacing w:line="280" w:lineRule="exact"/>
    </w:pPr>
    <w:rPr>
      <w:rFonts w:hAnsi="宋体" w:eastAsia="楷体_GB2312" w:cs="宋体"/>
      <w:szCs w:val="20"/>
    </w:rPr>
  </w:style>
  <w:style w:type="paragraph" w:customStyle="1" w:styleId="3630">
    <w:name w:val="Char110"/>
    <w:basedOn w:val="1"/>
    <w:autoRedefine/>
    <w:qFormat/>
    <w:uiPriority w:val="0"/>
    <w:pPr>
      <w:ind w:left="-48"/>
    </w:pPr>
  </w:style>
  <w:style w:type="paragraph" w:customStyle="1" w:styleId="3631">
    <w:name w:val="表格内字体1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632">
    <w:name w:val="样式 样式 宋体 小四 行距: 1.5 倍行距 + 首行缩进:  2 字符 段前: 7.8 磅 段后: 7.8 磅"/>
    <w:basedOn w:val="1"/>
    <w:autoRedefine/>
    <w:qFormat/>
    <w:uiPriority w:val="0"/>
    <w:pPr>
      <w:snapToGrid w:val="0"/>
      <w:spacing w:beforeLines="50" w:afterLines="50" w:line="360" w:lineRule="auto"/>
      <w:ind w:firstLine="200" w:firstLineChars="200"/>
      <w:jc w:val="left"/>
    </w:pPr>
    <w:rPr>
      <w:rFonts w:ascii="宋体" w:hAnsi="宋体"/>
      <w:sz w:val="24"/>
      <w:szCs w:val="20"/>
    </w:rPr>
  </w:style>
  <w:style w:type="paragraph" w:customStyle="1" w:styleId="3633">
    <w:name w:val="表内5911"/>
    <w:basedOn w:val="1"/>
    <w:autoRedefine/>
    <w:qFormat/>
    <w:uiPriority w:val="0"/>
    <w:pPr>
      <w:adjustRightInd w:val="0"/>
      <w:snapToGrid w:val="0"/>
      <w:spacing w:line="300" w:lineRule="auto"/>
      <w:jc w:val="center"/>
    </w:pPr>
    <w:rPr>
      <w:rFonts w:ascii="宋体"/>
      <w:snapToGrid w:val="0"/>
      <w:szCs w:val="21"/>
    </w:rPr>
  </w:style>
  <w:style w:type="paragraph" w:customStyle="1" w:styleId="3634">
    <w:name w:val="样式 样式4 + 首行缩进:  0.75 字符"/>
    <w:basedOn w:val="1"/>
    <w:autoRedefine/>
    <w:qFormat/>
    <w:uiPriority w:val="0"/>
    <w:pPr>
      <w:adjustRightInd w:val="0"/>
      <w:snapToGrid w:val="0"/>
      <w:spacing w:beforeLines="100" w:line="240" w:lineRule="atLeast"/>
      <w:jc w:val="left"/>
    </w:pPr>
    <w:rPr>
      <w:sz w:val="24"/>
    </w:rPr>
  </w:style>
  <w:style w:type="paragraph" w:customStyle="1" w:styleId="3635">
    <w:name w:val="样式 样式 样式 标题 3条标题1.1.1Section标题 3 Char Char + 首行缩进:  2 字符 + 段前: 0..."/>
    <w:basedOn w:val="1"/>
    <w:autoRedefine/>
    <w:qFormat/>
    <w:uiPriority w:val="0"/>
    <w:pPr>
      <w:keepNext/>
      <w:keepLines/>
      <w:snapToGrid w:val="0"/>
      <w:spacing w:beforeLines="30" w:afterLines="20"/>
      <w:jc w:val="left"/>
      <w:outlineLvl w:val="2"/>
    </w:pPr>
    <w:rPr>
      <w:b/>
      <w:bCs/>
      <w:sz w:val="28"/>
      <w:szCs w:val="28"/>
    </w:rPr>
  </w:style>
  <w:style w:type="paragraph" w:customStyle="1" w:styleId="3636">
    <w:name w:val="样式 样式 样式 样式 样式4 + 首行缩进:  0.75 字符 + 首行缩进:  2 字符 + 首行缩进:  2 字符 + 首..."/>
    <w:basedOn w:val="1"/>
    <w:autoRedefine/>
    <w:qFormat/>
    <w:uiPriority w:val="0"/>
    <w:pPr>
      <w:adjustRightInd w:val="0"/>
      <w:snapToGrid w:val="0"/>
      <w:spacing w:line="240" w:lineRule="atLeast"/>
      <w:ind w:firstLine="480" w:firstLineChars="200"/>
      <w:jc w:val="left"/>
    </w:pPr>
    <w:rPr>
      <w:sz w:val="28"/>
      <w:szCs w:val="28"/>
    </w:rPr>
  </w:style>
  <w:style w:type="paragraph" w:customStyle="1" w:styleId="3637">
    <w:name w:val="样式 标题 3 + (西文) Times New Roman (中文) 宋体 行距: 固定值 24 磅1"/>
    <w:basedOn w:val="5"/>
    <w:autoRedefine/>
    <w:qFormat/>
    <w:uiPriority w:val="0"/>
    <w:pPr>
      <w:keepNext w:val="0"/>
      <w:keepLines w:val="0"/>
      <w:tabs>
        <w:tab w:val="left" w:pos="1560"/>
      </w:tabs>
      <w:spacing w:before="0" w:after="0" w:line="500" w:lineRule="exact"/>
      <w:ind w:firstLine="615" w:firstLineChars="200"/>
      <w:outlineLvl w:val="9"/>
    </w:pPr>
    <w:rPr>
      <w:rFonts w:ascii="宋体" w:hAnsi="宋体" w:cs="宋体"/>
      <w:b w:val="0"/>
      <w:kern w:val="0"/>
      <w:sz w:val="28"/>
      <w:szCs w:val="28"/>
      <w:lang w:val="en-US"/>
    </w:rPr>
  </w:style>
  <w:style w:type="paragraph" w:customStyle="1" w:styleId="3638">
    <w:name w:val="Char6 Char Char Char"/>
    <w:basedOn w:val="1"/>
    <w:autoRedefine/>
    <w:qFormat/>
    <w:uiPriority w:val="0"/>
    <w:rPr>
      <w:szCs w:val="21"/>
    </w:rPr>
  </w:style>
  <w:style w:type="paragraph" w:customStyle="1" w:styleId="3639">
    <w:name w:val="Char6"/>
    <w:basedOn w:val="1"/>
    <w:autoRedefine/>
    <w:qFormat/>
    <w:uiPriority w:val="0"/>
    <w:rPr>
      <w:szCs w:val="21"/>
    </w:rPr>
  </w:style>
  <w:style w:type="paragraph" w:customStyle="1" w:styleId="3640">
    <w:name w:val="表头四号"/>
    <w:basedOn w:val="66"/>
    <w:autoRedefine/>
    <w:qFormat/>
    <w:uiPriority w:val="0"/>
    <w:pPr>
      <w:adjustRightInd w:val="0"/>
      <w:snapToGrid w:val="0"/>
      <w:spacing w:beforeLines="50" w:line="500" w:lineRule="atLeast"/>
      <w:ind w:left="0" w:right="0" w:rightChars="0"/>
      <w:jc w:val="both"/>
    </w:pPr>
    <w:rPr>
      <w:rFonts w:ascii="宋体" w:hAnsi="宋体" w:eastAsia="宋体"/>
      <w:b/>
      <w:sz w:val="28"/>
      <w:szCs w:val="20"/>
    </w:rPr>
  </w:style>
  <w:style w:type="paragraph" w:customStyle="1" w:styleId="3641">
    <w:name w:val="样式 标题 2节标题 1.11.1标题2b2标题20000000000000000000000000000000000..."/>
    <w:basedOn w:val="4"/>
    <w:autoRedefine/>
    <w:qFormat/>
    <w:uiPriority w:val="0"/>
    <w:pPr>
      <w:keepNext w:val="0"/>
      <w:keepLines w:val="0"/>
      <w:tabs>
        <w:tab w:val="left" w:pos="283"/>
      </w:tabs>
      <w:adjustRightInd w:val="0"/>
      <w:snapToGrid w:val="0"/>
      <w:spacing w:beforeLines="30" w:afterLines="20" w:line="240" w:lineRule="auto"/>
      <w:ind w:left="1135"/>
    </w:pPr>
    <w:rPr>
      <w:rFonts w:ascii="Times New Roman" w:hAnsi="Times New Roman"/>
      <w:sz w:val="28"/>
      <w:szCs w:val="30"/>
    </w:rPr>
  </w:style>
  <w:style w:type="paragraph" w:customStyle="1" w:styleId="3642">
    <w:name w:val="流程"/>
    <w:basedOn w:val="1"/>
    <w:autoRedefine/>
    <w:qFormat/>
    <w:uiPriority w:val="0"/>
    <w:pPr>
      <w:adjustRightInd w:val="0"/>
      <w:snapToGrid w:val="0"/>
      <w:jc w:val="center"/>
    </w:pPr>
    <w:rPr>
      <w:rFonts w:eastAsia="仿宋_GB2312"/>
      <w:color w:val="000000"/>
    </w:rPr>
  </w:style>
  <w:style w:type="paragraph" w:customStyle="1" w:styleId="3643">
    <w:name w:val="基准标题"/>
    <w:basedOn w:val="34"/>
    <w:next w:val="34"/>
    <w:autoRedefine/>
    <w:qFormat/>
    <w:uiPriority w:val="0"/>
    <w:pPr>
      <w:snapToGrid/>
      <w:spacing w:before="0" w:after="0" w:line="360" w:lineRule="exact"/>
      <w:ind w:right="0"/>
      <w:jc w:val="left"/>
    </w:pPr>
    <w:rPr>
      <w:rFonts w:ascii="宋体" w:hAnsi="Garamond"/>
      <w:sz w:val="20"/>
      <w:lang w:val="en-US"/>
    </w:rPr>
  </w:style>
  <w:style w:type="paragraph" w:customStyle="1" w:styleId="3644">
    <w:name w:val="11 Char Char Char Char Char Char Char Char Char Char"/>
    <w:basedOn w:val="1"/>
    <w:autoRedefine/>
    <w:qFormat/>
    <w:uiPriority w:val="0"/>
    <w:pPr>
      <w:snapToGrid w:val="0"/>
      <w:spacing w:line="360" w:lineRule="auto"/>
      <w:ind w:firstLine="200" w:firstLineChars="200"/>
    </w:pPr>
    <w:rPr>
      <w:rFonts w:eastAsia="仿宋_GB2312"/>
      <w:sz w:val="24"/>
    </w:rPr>
  </w:style>
  <w:style w:type="paragraph" w:customStyle="1" w:styleId="3645">
    <w:name w:val="样式 表格文字 + 居中"/>
    <w:basedOn w:val="149"/>
    <w:autoRedefine/>
    <w:qFormat/>
    <w:uiPriority w:val="0"/>
    <w:pPr>
      <w:widowControl w:val="0"/>
      <w:spacing w:line="400" w:lineRule="exact"/>
    </w:pPr>
    <w:rPr>
      <w:rFonts w:ascii="Times New Roman" w:hAnsi="Times New Roman" w:cs="宋体"/>
      <w:kern w:val="2"/>
      <w:sz w:val="28"/>
      <w:lang w:val="en-US"/>
    </w:rPr>
  </w:style>
  <w:style w:type="paragraph" w:customStyle="1" w:styleId="3646">
    <w:name w:val="样式 报告书表格 + 居中"/>
    <w:basedOn w:val="323"/>
    <w:autoRedefine/>
    <w:qFormat/>
    <w:uiPriority w:val="0"/>
    <w:pPr>
      <w:spacing w:line="360" w:lineRule="exact"/>
      <w:ind w:firstLine="4" w:firstLineChars="2"/>
    </w:pPr>
    <w:rPr>
      <w:rFonts w:hAnsi="宋体" w:eastAsia="仿宋_GB2312" w:cs="宋体"/>
      <w:color w:val="000000"/>
      <w:sz w:val="28"/>
    </w:rPr>
  </w:style>
  <w:style w:type="paragraph" w:customStyle="1" w:styleId="3647">
    <w:name w:val="样式 报告书表格 + 居中1"/>
    <w:basedOn w:val="323"/>
    <w:autoRedefine/>
    <w:qFormat/>
    <w:uiPriority w:val="0"/>
    <w:pPr>
      <w:spacing w:line="360" w:lineRule="exact"/>
      <w:ind w:firstLine="4" w:firstLineChars="2"/>
    </w:pPr>
    <w:rPr>
      <w:rFonts w:hAnsi="宋体" w:eastAsia="仿宋_GB2312" w:cs="宋体"/>
      <w:color w:val="000000"/>
      <w:sz w:val="28"/>
    </w:rPr>
  </w:style>
  <w:style w:type="paragraph" w:customStyle="1" w:styleId="3648">
    <w:name w:val="样式 表格内字体1 +1"/>
    <w:basedOn w:val="2537"/>
    <w:next w:val="417"/>
    <w:autoRedefine/>
    <w:qFormat/>
    <w:uiPriority w:val="0"/>
    <w:rPr>
      <w:rFonts w:hAnsi="Times New Roman" w:cs="宋体"/>
      <w:szCs w:val="20"/>
    </w:rPr>
  </w:style>
  <w:style w:type="paragraph" w:customStyle="1" w:styleId="3649">
    <w:name w:val="样式 报告书表格 + 居中2"/>
    <w:basedOn w:val="323"/>
    <w:autoRedefine/>
    <w:qFormat/>
    <w:uiPriority w:val="0"/>
    <w:pPr>
      <w:spacing w:line="360" w:lineRule="exact"/>
      <w:ind w:firstLine="4" w:firstLineChars="2"/>
    </w:pPr>
    <w:rPr>
      <w:rFonts w:hAnsi="宋体" w:eastAsia="仿宋_GB2312" w:cs="宋体"/>
      <w:color w:val="000000"/>
      <w:sz w:val="28"/>
    </w:rPr>
  </w:style>
  <w:style w:type="paragraph" w:customStyle="1" w:styleId="3650">
    <w:name w:val="表题17"/>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651">
    <w:name w:val="Char4 Char Char Char Char Char Char Char Char Char Char Char Char Char Char Char Char Char1 Char1"/>
    <w:basedOn w:val="1"/>
    <w:autoRedefine/>
    <w:qFormat/>
    <w:uiPriority w:val="0"/>
    <w:pPr>
      <w:spacing w:line="240" w:lineRule="exact"/>
      <w:ind w:firstLine="200" w:firstLineChars="200"/>
    </w:pPr>
    <w:rPr>
      <w:sz w:val="28"/>
      <w:szCs w:val="28"/>
    </w:rPr>
  </w:style>
  <w:style w:type="paragraph" w:customStyle="1" w:styleId="3652">
    <w:name w:val="中文表内容1"/>
    <w:basedOn w:val="1"/>
    <w:next w:val="1"/>
    <w:autoRedefine/>
    <w:qFormat/>
    <w:uiPriority w:val="0"/>
    <w:pPr>
      <w:spacing w:line="440" w:lineRule="exact"/>
      <w:jc w:val="center"/>
    </w:pPr>
    <w:rPr>
      <w:rFonts w:eastAsia="楷体_GB2312"/>
      <w:sz w:val="28"/>
      <w:szCs w:val="20"/>
    </w:rPr>
  </w:style>
  <w:style w:type="paragraph" w:customStyle="1" w:styleId="3653">
    <w:name w:val="font15"/>
    <w:basedOn w:val="1"/>
    <w:autoRedefine/>
    <w:qFormat/>
    <w:uiPriority w:val="0"/>
    <w:pPr>
      <w:widowControl/>
      <w:spacing w:before="100" w:beforeAutospacing="1" w:after="100" w:afterAutospacing="1"/>
      <w:jc w:val="left"/>
    </w:pPr>
    <w:rPr>
      <w:rFonts w:hint="eastAsia" w:ascii="仿宋_GB2312" w:hAnsi="宋体" w:eastAsia="仿宋_GB2312"/>
      <w:kern w:val="0"/>
      <w:sz w:val="24"/>
    </w:rPr>
  </w:style>
  <w:style w:type="paragraph" w:customStyle="1" w:styleId="3654">
    <w:name w:val="ISO标题3内文"/>
    <w:autoRedefine/>
    <w:qFormat/>
    <w:uiPriority w:val="0"/>
    <w:pPr>
      <w:ind w:left="1620"/>
    </w:pPr>
    <w:rPr>
      <w:rFonts w:ascii="宋体" w:hAnsi="宋体" w:eastAsia="宋体" w:cs="Times New Roman"/>
      <w:color w:val="000000"/>
      <w:sz w:val="24"/>
      <w:lang w:val="en-US" w:eastAsia="zh-CN" w:bidi="ar-SA"/>
    </w:rPr>
  </w:style>
  <w:style w:type="paragraph" w:customStyle="1" w:styleId="3655">
    <w:name w:val="Char1 Char Char4"/>
    <w:basedOn w:val="1"/>
    <w:autoRedefine/>
    <w:qFormat/>
    <w:uiPriority w:val="99"/>
    <w:rPr>
      <w:szCs w:val="20"/>
    </w:rPr>
  </w:style>
  <w:style w:type="paragraph" w:customStyle="1" w:styleId="3656">
    <w:name w:val="环评正文1"/>
    <w:basedOn w:val="493"/>
    <w:autoRedefine/>
    <w:qFormat/>
    <w:uiPriority w:val="0"/>
    <w:pPr>
      <w:adjustRightInd/>
      <w:snapToGrid/>
      <w:spacing w:line="500" w:lineRule="exact"/>
      <w:ind w:firstLine="0" w:firstLineChars="0"/>
    </w:pPr>
    <w:rPr>
      <w:rFonts w:ascii="仿宋_GB2312" w:eastAsia="仿宋_GB2312"/>
      <w:sz w:val="28"/>
    </w:rPr>
  </w:style>
  <w:style w:type="paragraph" w:customStyle="1" w:styleId="3657">
    <w:name w:val="Print- From: To: Subject: Date:"/>
    <w:basedOn w:val="1"/>
    <w:autoRedefine/>
    <w:qFormat/>
    <w:uiPriority w:val="0"/>
    <w:pPr>
      <w:pBdr>
        <w:left w:val="single" w:color="auto" w:sz="18" w:space="1"/>
      </w:pBdr>
      <w:adjustRightInd w:val="0"/>
      <w:spacing w:line="360" w:lineRule="atLeast"/>
      <w:jc w:val="left"/>
      <w:textAlignment w:val="baseline"/>
    </w:pPr>
    <w:rPr>
      <w:rFonts w:eastAsia="PMingLiU"/>
      <w:kern w:val="0"/>
      <w:sz w:val="24"/>
      <w:szCs w:val="20"/>
      <w:lang w:eastAsia="zh-TW"/>
    </w:rPr>
  </w:style>
  <w:style w:type="paragraph" w:customStyle="1" w:styleId="3658">
    <w:name w:val="註解方塊文字"/>
    <w:basedOn w:val="1"/>
    <w:autoRedefine/>
    <w:qFormat/>
    <w:uiPriority w:val="0"/>
    <w:rPr>
      <w:rFonts w:ascii="Arial" w:hAnsi="Arial" w:eastAsia="PMingLiU"/>
      <w:sz w:val="18"/>
      <w:szCs w:val="20"/>
    </w:rPr>
  </w:style>
  <w:style w:type="paragraph" w:customStyle="1" w:styleId="3659">
    <w:name w:val="ISO标题5"/>
    <w:autoRedefine/>
    <w:qFormat/>
    <w:uiPriority w:val="0"/>
    <w:pPr>
      <w:tabs>
        <w:tab w:val="left" w:pos="1800"/>
      </w:tabs>
      <w:ind w:left="420" w:hanging="420"/>
      <w:outlineLvl w:val="4"/>
    </w:pPr>
    <w:rPr>
      <w:rFonts w:ascii="宋体" w:hAnsi="宋体" w:eastAsia="宋体" w:cs="Times New Roman"/>
      <w:color w:val="000000"/>
      <w:sz w:val="24"/>
      <w:lang w:val="en-US" w:eastAsia="zh-CN" w:bidi="ar-SA"/>
    </w:rPr>
  </w:style>
  <w:style w:type="paragraph" w:customStyle="1" w:styleId="3660">
    <w:name w:val="样式 标题 4 + 图案: 清除 (白色)1"/>
    <w:basedOn w:val="6"/>
    <w:autoRedefine/>
    <w:qFormat/>
    <w:uiPriority w:val="0"/>
    <w:pPr>
      <w:tabs>
        <w:tab w:val="left" w:pos="980"/>
        <w:tab w:val="left" w:pos="1704"/>
      </w:tabs>
      <w:adjustRightInd w:val="0"/>
      <w:snapToGrid w:val="0"/>
      <w:spacing w:before="0" w:after="0" w:line="300" w:lineRule="auto"/>
      <w:ind w:left="1704" w:hanging="864"/>
      <w:jc w:val="left"/>
    </w:pPr>
    <w:rPr>
      <w:rFonts w:ascii="Arial Narrow" w:hAnsi="Arial Narrow" w:eastAsia="仿宋_GB2312"/>
      <w:b w:val="0"/>
      <w:bCs w:val="0"/>
      <w:sz w:val="24"/>
      <w:szCs w:val="20"/>
      <w:shd w:val="clear" w:color="auto" w:fill="FFFFFF"/>
    </w:rPr>
  </w:style>
  <w:style w:type="paragraph" w:customStyle="1" w:styleId="3661">
    <w:name w:val="列表项目"/>
    <w:basedOn w:val="24"/>
    <w:autoRedefine/>
    <w:qFormat/>
    <w:uiPriority w:val="0"/>
    <w:pPr>
      <w:widowControl w:val="0"/>
      <w:numPr>
        <w:numId w:val="0"/>
      </w:numPr>
      <w:tabs>
        <w:tab w:val="clear" w:pos="360"/>
      </w:tabs>
      <w:spacing w:before="360" w:line="360" w:lineRule="auto"/>
      <w:contextualSpacing w:val="0"/>
      <w:jc w:val="center"/>
      <w:outlineLvl w:val="0"/>
    </w:pPr>
    <w:rPr>
      <w:rFonts w:ascii="黑体" w:eastAsia="黑体"/>
      <w:b/>
      <w:kern w:val="2"/>
      <w:sz w:val="32"/>
      <w:szCs w:val="32"/>
    </w:rPr>
  </w:style>
  <w:style w:type="paragraph" w:customStyle="1" w:styleId="3662">
    <w:name w:val="依据文字"/>
    <w:basedOn w:val="87"/>
    <w:autoRedefine/>
    <w:qFormat/>
    <w:uiPriority w:val="0"/>
    <w:pPr>
      <w:tabs>
        <w:tab w:val="left" w:pos="420"/>
        <w:tab w:val="left" w:pos="870"/>
        <w:tab w:val="left" w:pos="3150"/>
      </w:tabs>
      <w:autoSpaceDE w:val="0"/>
      <w:autoSpaceDN w:val="0"/>
      <w:adjustRightInd w:val="0"/>
      <w:spacing w:beforeLines="25" w:after="0" w:line="336" w:lineRule="auto"/>
      <w:ind w:left="0" w:leftChars="0" w:firstLine="527" w:firstLineChars="0"/>
      <w:textAlignment w:val="baseline"/>
    </w:pPr>
    <w:rPr>
      <w:rFonts w:ascii="宋体"/>
      <w:szCs w:val="28"/>
    </w:rPr>
  </w:style>
  <w:style w:type="paragraph" w:customStyle="1" w:styleId="3663">
    <w:name w:val="基准篇眉"/>
    <w:basedOn w:val="1"/>
    <w:autoRedefine/>
    <w:qFormat/>
    <w:uiPriority w:val="0"/>
    <w:pPr>
      <w:keepLines/>
      <w:widowControl/>
      <w:tabs>
        <w:tab w:val="center" w:pos="7200"/>
        <w:tab w:val="right" w:pos="14400"/>
      </w:tabs>
      <w:overflowPunct w:val="0"/>
      <w:autoSpaceDE w:val="0"/>
      <w:autoSpaceDN w:val="0"/>
      <w:adjustRightInd w:val="0"/>
      <w:jc w:val="center"/>
      <w:textAlignment w:val="baseline"/>
    </w:pPr>
    <w:rPr>
      <w:spacing w:val="80"/>
      <w:kern w:val="0"/>
      <w:sz w:val="20"/>
      <w:szCs w:val="20"/>
    </w:rPr>
  </w:style>
  <w:style w:type="paragraph" w:customStyle="1" w:styleId="3664">
    <w:name w:val="Char Char Char2 Char Char Char Char Char Char Char Char Char Char Char Char Char Char Char Char Char Char Char Char Char Char Char Char"/>
    <w:basedOn w:val="1"/>
    <w:autoRedefine/>
    <w:qFormat/>
    <w:uiPriority w:val="0"/>
    <w:rPr>
      <w:rFonts w:ascii="黑体" w:hAnsi="黑体" w:eastAsia="黑体"/>
      <w:b/>
      <w:spacing w:val="10"/>
      <w:kern w:val="44"/>
      <w:sz w:val="28"/>
      <w:szCs w:val="20"/>
    </w:rPr>
  </w:style>
  <w:style w:type="paragraph" w:customStyle="1" w:styleId="3665">
    <w:name w:val="Char Char21 Char Char Char Char Char Char Char"/>
    <w:basedOn w:val="1"/>
    <w:autoRedefine/>
    <w:qFormat/>
    <w:uiPriority w:val="0"/>
    <w:rPr>
      <w:rFonts w:ascii="黑体" w:hAnsi="黑体" w:eastAsia="黑体"/>
      <w:b/>
      <w:spacing w:val="10"/>
      <w:kern w:val="44"/>
      <w:sz w:val="28"/>
      <w:szCs w:val="20"/>
    </w:rPr>
  </w:style>
  <w:style w:type="paragraph" w:customStyle="1" w:styleId="3666">
    <w:name w:val="Char Char5 Char Char Char Char Char Char"/>
    <w:basedOn w:val="1"/>
    <w:autoRedefine/>
    <w:qFormat/>
    <w:uiPriority w:val="0"/>
    <w:rPr>
      <w:sz w:val="24"/>
    </w:rPr>
  </w:style>
  <w:style w:type="paragraph" w:customStyle="1" w:styleId="3667">
    <w:name w:val="图型标题"/>
    <w:basedOn w:val="1"/>
    <w:autoRedefine/>
    <w:qFormat/>
    <w:uiPriority w:val="0"/>
    <w:pPr>
      <w:widowControl/>
      <w:spacing w:beforeLines="50" w:afterLines="50"/>
      <w:ind w:firstLine="200" w:firstLineChars="200"/>
      <w:jc w:val="center"/>
    </w:pPr>
    <w:rPr>
      <w:rFonts w:ascii="黑体" w:hAnsi="仿宋_GB2312" w:eastAsia="黑体"/>
      <w:kern w:val="0"/>
      <w:sz w:val="24"/>
      <w:lang w:val="zh-CN"/>
    </w:rPr>
  </w:style>
  <w:style w:type="paragraph" w:customStyle="1" w:styleId="3668">
    <w:name w:val="xd"/>
    <w:basedOn w:val="1"/>
    <w:autoRedefine/>
    <w:qFormat/>
    <w:uiPriority w:val="0"/>
    <w:pPr>
      <w:widowControl/>
      <w:spacing w:line="400" w:lineRule="exact"/>
      <w:jc w:val="left"/>
    </w:pPr>
    <w:rPr>
      <w:rFonts w:ascii="仿宋_GB2312" w:hAnsi="仿宋_GB2312" w:eastAsia="仿宋_GB2312"/>
      <w:color w:val="000000"/>
      <w:kern w:val="0"/>
      <w:sz w:val="24"/>
      <w:lang w:val="zh-CN"/>
    </w:rPr>
  </w:style>
  <w:style w:type="paragraph" w:customStyle="1" w:styleId="3669">
    <w:name w:val="项目符号1"/>
    <w:basedOn w:val="1"/>
    <w:autoRedefine/>
    <w:qFormat/>
    <w:uiPriority w:val="0"/>
    <w:pPr>
      <w:tabs>
        <w:tab w:val="left" w:pos="360"/>
        <w:tab w:val="left" w:pos="935"/>
      </w:tabs>
      <w:snapToGrid w:val="0"/>
      <w:spacing w:before="120" w:after="120" w:line="312" w:lineRule="auto"/>
      <w:ind w:left="935" w:hanging="360" w:hangingChars="200"/>
    </w:pPr>
    <w:rPr>
      <w:rFonts w:ascii="Arial" w:hAnsi="Arial" w:eastAsia="楷体_GB2312"/>
      <w:b/>
      <w:sz w:val="28"/>
      <w:szCs w:val="20"/>
    </w:rPr>
  </w:style>
  <w:style w:type="paragraph" w:customStyle="1" w:styleId="3670">
    <w:name w:val="自定义正文"/>
    <w:basedOn w:val="1"/>
    <w:autoRedefine/>
    <w:qFormat/>
    <w:uiPriority w:val="0"/>
    <w:pPr>
      <w:adjustRightInd w:val="0"/>
      <w:snapToGrid w:val="0"/>
      <w:spacing w:line="360" w:lineRule="auto"/>
      <w:ind w:firstLine="560" w:firstLineChars="200"/>
      <w:textAlignment w:val="baseline"/>
    </w:pPr>
    <w:rPr>
      <w:rFonts w:ascii="宋体" w:hAnsi="宋体"/>
      <w:kern w:val="0"/>
      <w:sz w:val="24"/>
      <w:szCs w:val="20"/>
    </w:rPr>
  </w:style>
  <w:style w:type="paragraph" w:customStyle="1" w:styleId="3671">
    <w:name w:val="xl340"/>
    <w:basedOn w:val="1"/>
    <w:autoRedefine/>
    <w:qFormat/>
    <w:uiPriority w:val="0"/>
    <w:pPr>
      <w:widowControl/>
      <w:snapToGrid w:val="0"/>
      <w:spacing w:before="100" w:after="100" w:line="360" w:lineRule="auto"/>
      <w:ind w:firstLine="590" w:firstLineChars="200"/>
      <w:textAlignment w:val="center"/>
    </w:pPr>
    <w:rPr>
      <w:rFonts w:ascii="宋体" w:hAnsi="宋体"/>
      <w:kern w:val="0"/>
      <w:sz w:val="24"/>
      <w:szCs w:val="20"/>
    </w:rPr>
  </w:style>
  <w:style w:type="paragraph" w:customStyle="1" w:styleId="3672">
    <w:name w:val="样式 标题 3 + (中文) 黑体 小四 非加粗"/>
    <w:basedOn w:val="5"/>
    <w:autoRedefine/>
    <w:qFormat/>
    <w:uiPriority w:val="0"/>
    <w:pPr>
      <w:tabs>
        <w:tab w:val="left" w:pos="7200"/>
      </w:tabs>
      <w:spacing w:before="120" w:after="120" w:line="360" w:lineRule="auto"/>
    </w:pPr>
    <w:rPr>
      <w:rFonts w:ascii="楷体_GB2312" w:eastAsia="楷体_GB2312"/>
      <w:bCs w:val="0"/>
      <w:kern w:val="0"/>
      <w:sz w:val="30"/>
      <w:szCs w:val="30"/>
      <w:lang w:val="en-US"/>
    </w:rPr>
  </w:style>
  <w:style w:type="paragraph" w:customStyle="1" w:styleId="3673">
    <w:name w:val="表内文字小31312"/>
    <w:basedOn w:val="1"/>
    <w:autoRedefine/>
    <w:qFormat/>
    <w:uiPriority w:val="0"/>
    <w:pPr>
      <w:adjustRightInd w:val="0"/>
      <w:snapToGrid w:val="0"/>
      <w:jc w:val="center"/>
    </w:pPr>
    <w:rPr>
      <w:rFonts w:ascii="宋体" w:hAnsi="Times" w:cs="宋体"/>
      <w:bCs/>
      <w:color w:val="003366"/>
      <w:szCs w:val="20"/>
    </w:rPr>
  </w:style>
  <w:style w:type="paragraph" w:customStyle="1" w:styleId="3674">
    <w:name w:val="燕山正文11312"/>
    <w:basedOn w:val="1"/>
    <w:autoRedefine/>
    <w:qFormat/>
    <w:uiPriority w:val="0"/>
    <w:pPr>
      <w:tabs>
        <w:tab w:val="left" w:pos="4680"/>
      </w:tabs>
      <w:adjustRightInd w:val="0"/>
      <w:snapToGrid w:val="0"/>
      <w:spacing w:line="360" w:lineRule="auto"/>
      <w:ind w:firstLine="480" w:firstLineChars="200"/>
    </w:pPr>
    <w:rPr>
      <w:rFonts w:ascii="宋体" w:hAnsi="宋体" w:cs="宋体"/>
      <w:bCs/>
      <w:snapToGrid w:val="0"/>
      <w:color w:val="000000"/>
      <w:kern w:val="0"/>
      <w:sz w:val="24"/>
    </w:rPr>
  </w:style>
  <w:style w:type="paragraph" w:customStyle="1" w:styleId="3675">
    <w:name w:val="23-47表名12"/>
    <w:basedOn w:val="1"/>
    <w:autoRedefine/>
    <w:qFormat/>
    <w:uiPriority w:val="0"/>
    <w:pPr>
      <w:spacing w:afterLines="50" w:line="440" w:lineRule="exact"/>
      <w:jc w:val="center"/>
    </w:pPr>
    <w:rPr>
      <w:rFonts w:ascii="宋体" w:hAnsi="宋体"/>
      <w:b/>
      <w:sz w:val="24"/>
    </w:rPr>
  </w:style>
  <w:style w:type="paragraph" w:customStyle="1" w:styleId="3676">
    <w:name w:val="Char Char Char Char Char Char Char212"/>
    <w:basedOn w:val="1"/>
    <w:autoRedefine/>
    <w:qFormat/>
    <w:uiPriority w:val="0"/>
  </w:style>
  <w:style w:type="paragraph" w:customStyle="1" w:styleId="3677">
    <w:name w:val="大表格"/>
    <w:basedOn w:val="2483"/>
    <w:autoRedefine/>
    <w:qFormat/>
    <w:uiPriority w:val="0"/>
    <w:pPr>
      <w:spacing w:line="480" w:lineRule="exact"/>
    </w:pPr>
    <w:rPr>
      <w:sz w:val="28"/>
    </w:rPr>
  </w:style>
  <w:style w:type="paragraph" w:customStyle="1" w:styleId="3678">
    <w:name w:val="标题41112"/>
    <w:basedOn w:val="1"/>
    <w:autoRedefine/>
    <w:qFormat/>
    <w:uiPriority w:val="0"/>
    <w:pPr>
      <w:adjustRightInd w:val="0"/>
      <w:snapToGrid w:val="0"/>
      <w:spacing w:line="300" w:lineRule="auto"/>
      <w:jc w:val="left"/>
    </w:pPr>
    <w:rPr>
      <w:rFonts w:ascii="黑体" w:hAnsi="宋体" w:eastAsia="黑体" w:cs="宋体"/>
      <w:bCs/>
      <w:sz w:val="24"/>
      <w:szCs w:val="20"/>
    </w:rPr>
  </w:style>
  <w:style w:type="paragraph" w:customStyle="1" w:styleId="3679">
    <w:name w:val="标题422"/>
    <w:basedOn w:val="1"/>
    <w:autoRedefine/>
    <w:qFormat/>
    <w:uiPriority w:val="0"/>
    <w:pPr>
      <w:adjustRightInd w:val="0"/>
      <w:snapToGrid w:val="0"/>
      <w:spacing w:line="300" w:lineRule="auto"/>
      <w:jc w:val="left"/>
    </w:pPr>
    <w:rPr>
      <w:rFonts w:ascii="黑体" w:eastAsia="黑体"/>
      <w:bCs/>
      <w:sz w:val="24"/>
    </w:rPr>
  </w:style>
  <w:style w:type="paragraph" w:customStyle="1" w:styleId="3680">
    <w:name w:val="文本框文字"/>
    <w:basedOn w:val="1"/>
    <w:autoRedefine/>
    <w:qFormat/>
    <w:uiPriority w:val="0"/>
    <w:pPr>
      <w:adjustRightInd w:val="0"/>
      <w:jc w:val="center"/>
      <w:textAlignment w:val="baseline"/>
    </w:pPr>
    <w:rPr>
      <w:kern w:val="0"/>
      <w:szCs w:val="20"/>
    </w:rPr>
  </w:style>
  <w:style w:type="paragraph" w:customStyle="1" w:styleId="3681">
    <w:name w:val="表内宋5中122"/>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3682">
    <w:name w:val="表内宋5中1112"/>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3683">
    <w:name w:val="样式 标题 2节 + 宋体 加粗"/>
    <w:basedOn w:val="4"/>
    <w:autoRedefine/>
    <w:qFormat/>
    <w:uiPriority w:val="0"/>
    <w:pPr>
      <w:tabs>
        <w:tab w:val="left" w:pos="1505"/>
      </w:tabs>
      <w:adjustRightInd w:val="0"/>
      <w:snapToGrid w:val="0"/>
      <w:spacing w:before="0" w:after="0" w:line="360" w:lineRule="auto"/>
      <w:ind w:left="200" w:hanging="200" w:hangingChars="200"/>
    </w:pPr>
    <w:rPr>
      <w:rFonts w:ascii="宋体" w:hAnsi="宋体"/>
      <w:bCs w:val="0"/>
      <w:sz w:val="28"/>
      <w:szCs w:val="24"/>
    </w:rPr>
  </w:style>
  <w:style w:type="paragraph" w:customStyle="1" w:styleId="3684">
    <w:name w:val="重钢院"/>
    <w:basedOn w:val="1"/>
    <w:autoRedefine/>
    <w:qFormat/>
    <w:uiPriority w:val="0"/>
    <w:pPr>
      <w:adjustRightInd w:val="0"/>
      <w:spacing w:line="372" w:lineRule="auto"/>
      <w:textAlignment w:val="baseline"/>
    </w:pPr>
    <w:rPr>
      <w:spacing w:val="10"/>
      <w:kern w:val="0"/>
      <w:sz w:val="28"/>
      <w:szCs w:val="20"/>
    </w:rPr>
  </w:style>
  <w:style w:type="paragraph" w:customStyle="1" w:styleId="3685">
    <w:name w:val="A正文12"/>
    <w:basedOn w:val="1"/>
    <w:autoRedefine/>
    <w:qFormat/>
    <w:uiPriority w:val="0"/>
    <w:pPr>
      <w:widowControl/>
      <w:overflowPunct w:val="0"/>
      <w:autoSpaceDE w:val="0"/>
      <w:autoSpaceDN w:val="0"/>
      <w:adjustRightInd w:val="0"/>
      <w:spacing w:line="360" w:lineRule="auto"/>
      <w:ind w:firstLine="200" w:firstLineChars="200"/>
      <w:jc w:val="left"/>
      <w:textAlignment w:val="baseline"/>
    </w:pPr>
    <w:rPr>
      <w:rFonts w:eastAsia="仿宋_GB2312"/>
      <w:kern w:val="0"/>
      <w:sz w:val="24"/>
    </w:rPr>
  </w:style>
  <w:style w:type="paragraph" w:customStyle="1" w:styleId="3686">
    <w:name w:val="目录5"/>
    <w:basedOn w:val="1"/>
    <w:autoRedefine/>
    <w:qFormat/>
    <w:uiPriority w:val="0"/>
    <w:rPr>
      <w:rFonts w:ascii="宋体" w:hAnsi="宋体"/>
      <w:szCs w:val="21"/>
    </w:rPr>
  </w:style>
  <w:style w:type="paragraph" w:customStyle="1" w:styleId="3687">
    <w:name w:val="表内文字小812"/>
    <w:basedOn w:val="1"/>
    <w:autoRedefine/>
    <w:qFormat/>
    <w:uiPriority w:val="0"/>
    <w:pPr>
      <w:adjustRightInd w:val="0"/>
      <w:snapToGrid w:val="0"/>
      <w:jc w:val="center"/>
    </w:pPr>
    <w:rPr>
      <w:rFonts w:ascii="宋体" w:hAnsi="Times" w:cs="宋体"/>
      <w:szCs w:val="20"/>
    </w:rPr>
  </w:style>
  <w:style w:type="paragraph" w:customStyle="1" w:styleId="3688">
    <w:name w:val="样式412"/>
    <w:basedOn w:val="34"/>
    <w:autoRedefine/>
    <w:qFormat/>
    <w:uiPriority w:val="0"/>
    <w:pPr>
      <w:widowControl w:val="0"/>
      <w:tabs>
        <w:tab w:val="left" w:pos="1820"/>
      </w:tabs>
      <w:spacing w:before="0" w:after="0" w:line="240" w:lineRule="atLeast"/>
      <w:ind w:right="0"/>
      <w:jc w:val="center"/>
    </w:pPr>
    <w:rPr>
      <w:rFonts w:eastAsia="幼圆"/>
      <w:sz w:val="20"/>
      <w:lang w:val="en-US"/>
    </w:rPr>
  </w:style>
  <w:style w:type="paragraph" w:customStyle="1" w:styleId="3689">
    <w:name w:val="9 Char Char Char5"/>
    <w:basedOn w:val="1"/>
    <w:autoRedefine/>
    <w:qFormat/>
    <w:uiPriority w:val="0"/>
    <w:pPr>
      <w:spacing w:line="240" w:lineRule="exact"/>
      <w:ind w:firstLine="200" w:firstLineChars="200"/>
    </w:pPr>
    <w:rPr>
      <w:sz w:val="28"/>
      <w:szCs w:val="28"/>
    </w:rPr>
  </w:style>
  <w:style w:type="paragraph" w:customStyle="1" w:styleId="3690">
    <w:name w:val="表内宋5中212"/>
    <w:basedOn w:val="1"/>
    <w:autoRedefine/>
    <w:qFormat/>
    <w:uiPriority w:val="0"/>
    <w:pPr>
      <w:adjustRightInd w:val="0"/>
      <w:snapToGrid w:val="0"/>
      <w:jc w:val="center"/>
      <w:textAlignment w:val="baseline"/>
    </w:pPr>
    <w:rPr>
      <w:rFonts w:ascii="宋体" w:hAnsi="宋体"/>
      <w:kern w:val="0"/>
      <w:szCs w:val="20"/>
    </w:rPr>
  </w:style>
  <w:style w:type="paragraph" w:customStyle="1" w:styleId="3691">
    <w:name w:val="Char Char2 Char Char Char Char32"/>
    <w:basedOn w:val="1"/>
    <w:autoRedefine/>
    <w:qFormat/>
    <w:uiPriority w:val="0"/>
  </w:style>
  <w:style w:type="paragraph" w:customStyle="1" w:styleId="3692">
    <w:name w:val="Char Char7 Char Char1 Char Char Char1 Char"/>
    <w:basedOn w:val="1"/>
    <w:autoRedefine/>
    <w:qFormat/>
    <w:uiPriority w:val="0"/>
    <w:pPr>
      <w:spacing w:line="240" w:lineRule="exact"/>
      <w:ind w:firstLine="200" w:firstLineChars="200"/>
    </w:pPr>
    <w:rPr>
      <w:sz w:val="28"/>
      <w:szCs w:val="28"/>
    </w:rPr>
  </w:style>
  <w:style w:type="paragraph" w:customStyle="1" w:styleId="3693">
    <w:name w:val="Char Char7 Char Char"/>
    <w:basedOn w:val="1"/>
    <w:autoRedefine/>
    <w:qFormat/>
    <w:uiPriority w:val="0"/>
    <w:pPr>
      <w:spacing w:line="240" w:lineRule="exact"/>
      <w:ind w:firstLine="200" w:firstLineChars="200"/>
    </w:pPr>
    <w:rPr>
      <w:sz w:val="28"/>
      <w:szCs w:val="28"/>
    </w:rPr>
  </w:style>
  <w:style w:type="paragraph" w:customStyle="1" w:styleId="3694">
    <w:name w:val="Char Char7 Char Char1 Char Char Char"/>
    <w:basedOn w:val="1"/>
    <w:autoRedefine/>
    <w:qFormat/>
    <w:uiPriority w:val="0"/>
    <w:pPr>
      <w:spacing w:line="240" w:lineRule="exact"/>
      <w:ind w:firstLine="200" w:firstLineChars="200"/>
    </w:pPr>
    <w:rPr>
      <w:sz w:val="28"/>
      <w:szCs w:val="28"/>
    </w:rPr>
  </w:style>
  <w:style w:type="paragraph" w:customStyle="1" w:styleId="3695">
    <w:name w:val="附件312"/>
    <w:basedOn w:val="3"/>
    <w:next w:val="418"/>
    <w:autoRedefine/>
    <w:qFormat/>
    <w:uiPriority w:val="0"/>
    <w:pPr>
      <w:keepLines/>
      <w:tabs>
        <w:tab w:val="left" w:pos="1566"/>
      </w:tabs>
      <w:overflowPunct/>
      <w:adjustRightInd w:val="0"/>
      <w:spacing w:before="0" w:after="120" w:line="360" w:lineRule="auto"/>
      <w:ind w:left="0" w:firstLine="0"/>
      <w:jc w:val="left"/>
    </w:pPr>
    <w:rPr>
      <w:rFonts w:ascii="黑体" w:hAnsi="宋体"/>
      <w:b w:val="0"/>
      <w:color w:val="auto"/>
      <w:sz w:val="32"/>
      <w:szCs w:val="32"/>
    </w:rPr>
  </w:style>
  <w:style w:type="paragraph" w:customStyle="1" w:styleId="3696">
    <w:name w:val="Char Char2 Char Char Char Char112"/>
    <w:basedOn w:val="1"/>
    <w:autoRedefine/>
    <w:qFormat/>
    <w:uiPriority w:val="0"/>
  </w:style>
  <w:style w:type="paragraph" w:customStyle="1" w:styleId="3697">
    <w:name w:val="Char Char7 Char Char1 Char Char Char1 Char Char Char Char Char Char Char Char Char Char Char Char"/>
    <w:basedOn w:val="1"/>
    <w:autoRedefine/>
    <w:qFormat/>
    <w:uiPriority w:val="0"/>
    <w:pPr>
      <w:spacing w:line="240" w:lineRule="exact"/>
      <w:ind w:firstLine="200" w:firstLineChars="200"/>
    </w:pPr>
    <w:rPr>
      <w:sz w:val="28"/>
      <w:szCs w:val="28"/>
    </w:rPr>
  </w:style>
  <w:style w:type="paragraph" w:customStyle="1" w:styleId="3698">
    <w:name w:val="表中文字512"/>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699">
    <w:name w:val="正文斜体12"/>
    <w:basedOn w:val="418"/>
    <w:next w:val="418"/>
    <w:autoRedefine/>
    <w:qFormat/>
    <w:uiPriority w:val="0"/>
    <w:rPr>
      <w:rFonts w:ascii="宋体" w:hAnsi="宋体"/>
      <w:b w:val="0"/>
      <w:i/>
      <w:iCs/>
      <w:spacing w:val="0"/>
      <w:sz w:val="24"/>
      <w:szCs w:val="24"/>
    </w:rPr>
  </w:style>
  <w:style w:type="paragraph" w:customStyle="1" w:styleId="3700">
    <w:name w:val="Char3 Char Char Char1 Char Char1 Char Char Char1 Char Char Char Char Char Char Char Char Char"/>
    <w:basedOn w:val="1"/>
    <w:autoRedefine/>
    <w:qFormat/>
    <w:uiPriority w:val="0"/>
    <w:rPr>
      <w:szCs w:val="21"/>
    </w:rPr>
  </w:style>
  <w:style w:type="paragraph" w:customStyle="1" w:styleId="3701">
    <w:name w:val="Char Char Char2 Char Char Char Char Char Char Char Char Char Char Char Char Char Char Char Char Char Char Char Char Char Char Char"/>
    <w:basedOn w:val="1"/>
    <w:autoRedefine/>
    <w:qFormat/>
    <w:uiPriority w:val="0"/>
    <w:rPr>
      <w:szCs w:val="21"/>
    </w:rPr>
  </w:style>
  <w:style w:type="paragraph" w:customStyle="1" w:styleId="3702">
    <w:name w:val="默认段落字体 Para Char312"/>
    <w:basedOn w:val="1"/>
    <w:autoRedefine/>
    <w:qFormat/>
    <w:uiPriority w:val="0"/>
    <w:pPr>
      <w:spacing w:line="360" w:lineRule="auto"/>
      <w:ind w:firstLine="200" w:firstLineChars="200"/>
    </w:pPr>
    <w:rPr>
      <w:rFonts w:ascii="宋体" w:hAnsi="宋体" w:cs="宋体"/>
      <w:sz w:val="24"/>
    </w:rPr>
  </w:style>
  <w:style w:type="paragraph" w:customStyle="1" w:styleId="3703">
    <w:name w:val="缩进2个字"/>
    <w:basedOn w:val="1"/>
    <w:autoRedefine/>
    <w:qFormat/>
    <w:uiPriority w:val="0"/>
    <w:pPr>
      <w:spacing w:line="0" w:lineRule="atLeast"/>
      <w:jc w:val="center"/>
    </w:pPr>
    <w:rPr>
      <w:snapToGrid w:val="0"/>
      <w:spacing w:val="12"/>
      <w:kern w:val="24"/>
      <w:szCs w:val="20"/>
    </w:rPr>
  </w:style>
  <w:style w:type="paragraph" w:customStyle="1" w:styleId="3704">
    <w:name w:val="样式 Arial 行距: 多倍行距 1.45 字行"/>
    <w:basedOn w:val="1"/>
    <w:autoRedefine/>
    <w:qFormat/>
    <w:uiPriority w:val="0"/>
    <w:pPr>
      <w:spacing w:line="500" w:lineRule="exact"/>
      <w:ind w:firstLine="560" w:firstLineChars="200"/>
      <w:jc w:val="center"/>
    </w:pPr>
    <w:rPr>
      <w:rFonts w:ascii="仿宋_GB2312" w:eastAsia="仿宋_GB2312"/>
      <w:sz w:val="28"/>
    </w:rPr>
  </w:style>
  <w:style w:type="paragraph" w:customStyle="1" w:styleId="3705">
    <w:name w:val="Char 字元 字元"/>
    <w:basedOn w:val="1"/>
    <w:autoRedefine/>
    <w:qFormat/>
    <w:uiPriority w:val="0"/>
    <w:rPr>
      <w:sz w:val="24"/>
    </w:rPr>
  </w:style>
  <w:style w:type="paragraph" w:customStyle="1" w:styleId="3706">
    <w:name w:val="Char Char2 Char Char Char Char42"/>
    <w:basedOn w:val="1"/>
    <w:autoRedefine/>
    <w:qFormat/>
    <w:uiPriority w:val="0"/>
  </w:style>
  <w:style w:type="paragraph" w:customStyle="1" w:styleId="3707">
    <w:name w:val="文本123-II"/>
    <w:basedOn w:val="6"/>
    <w:autoRedefine/>
    <w:qFormat/>
    <w:uiPriority w:val="0"/>
    <w:pPr>
      <w:keepNext w:val="0"/>
      <w:keepLines w:val="0"/>
      <w:tabs>
        <w:tab w:val="left" w:pos="3990"/>
      </w:tabs>
      <w:spacing w:beforeLines="50" w:after="0" w:line="240" w:lineRule="auto"/>
      <w:ind w:left="3990" w:hanging="420"/>
    </w:pPr>
    <w:rPr>
      <w:rFonts w:ascii="Times New Roman" w:hAnsi="Times New Roman" w:eastAsia="宋体"/>
      <w:b w:val="0"/>
      <w:bCs w:val="0"/>
      <w:sz w:val="24"/>
      <w:szCs w:val="24"/>
    </w:rPr>
  </w:style>
  <w:style w:type="paragraph" w:customStyle="1" w:styleId="3708">
    <w:name w:val="样式 宋体 首行缩进:  2 字符 行距: 1.5 倍行距"/>
    <w:basedOn w:val="1"/>
    <w:autoRedefine/>
    <w:qFormat/>
    <w:uiPriority w:val="0"/>
    <w:pPr>
      <w:spacing w:line="360" w:lineRule="auto"/>
      <w:ind w:firstLine="480" w:firstLineChars="200"/>
    </w:pPr>
    <w:rPr>
      <w:sz w:val="24"/>
    </w:rPr>
  </w:style>
  <w:style w:type="paragraph" w:customStyle="1" w:styleId="3709">
    <w:name w:val="表内5中112"/>
    <w:basedOn w:val="1"/>
    <w:autoRedefine/>
    <w:qFormat/>
    <w:uiPriority w:val="0"/>
    <w:pPr>
      <w:adjustRightInd w:val="0"/>
      <w:snapToGrid w:val="0"/>
      <w:jc w:val="center"/>
    </w:pPr>
    <w:rPr>
      <w:rFonts w:ascii="宋体" w:hAnsi="宋体" w:cs="Arial"/>
      <w:snapToGrid w:val="0"/>
      <w:color w:val="000000"/>
      <w:szCs w:val="21"/>
    </w:rPr>
  </w:style>
  <w:style w:type="paragraph" w:customStyle="1" w:styleId="3710">
    <w:name w:val="大标题"/>
    <w:basedOn w:val="3"/>
    <w:autoRedefine/>
    <w:qFormat/>
    <w:uiPriority w:val="0"/>
    <w:pPr>
      <w:keepLines/>
      <w:tabs>
        <w:tab w:val="left" w:pos="8640"/>
      </w:tabs>
      <w:overflowPunct/>
      <w:snapToGrid/>
      <w:spacing w:before="340" w:afterLines="100" w:line="480" w:lineRule="auto"/>
      <w:ind w:left="0" w:firstLine="200" w:firstLineChars="200"/>
      <w:jc w:val="center"/>
    </w:pPr>
    <w:rPr>
      <w:rFonts w:eastAsia="宋体"/>
      <w:sz w:val="44"/>
      <w:szCs w:val="44"/>
    </w:rPr>
  </w:style>
  <w:style w:type="paragraph" w:customStyle="1" w:styleId="3711">
    <w:name w:val="Char1012"/>
    <w:basedOn w:val="1"/>
    <w:autoRedefine/>
    <w:qFormat/>
    <w:uiPriority w:val="0"/>
    <w:pPr>
      <w:adjustRightInd w:val="0"/>
      <w:snapToGrid w:val="0"/>
      <w:spacing w:line="360" w:lineRule="auto"/>
    </w:pPr>
  </w:style>
  <w:style w:type="paragraph" w:customStyle="1" w:styleId="3712">
    <w:name w:val="my1"/>
    <w:basedOn w:val="59"/>
    <w:autoRedefine/>
    <w:qFormat/>
    <w:uiPriority w:val="0"/>
    <w:pPr>
      <w:tabs>
        <w:tab w:val="left" w:pos="450"/>
        <w:tab w:val="right" w:leader="dot" w:pos="9061"/>
      </w:tabs>
      <w:spacing w:line="300" w:lineRule="auto"/>
      <w:ind w:left="450" w:hanging="450"/>
    </w:pPr>
    <w:rPr>
      <w:rFonts w:ascii="仿宋_GB2312" w:hAnsi="华文细黑" w:eastAsia="仿宋_GB2312"/>
      <w:bCs w:val="0"/>
      <w:sz w:val="28"/>
      <w:szCs w:val="28"/>
    </w:rPr>
  </w:style>
  <w:style w:type="paragraph" w:customStyle="1" w:styleId="3713">
    <w:name w:val="Table Title Char1 Char"/>
    <w:basedOn w:val="1"/>
    <w:autoRedefine/>
    <w:qFormat/>
    <w:uiPriority w:val="0"/>
    <w:pPr>
      <w:widowControl/>
      <w:snapToGrid w:val="0"/>
      <w:spacing w:beforeLines="50" w:afterLines="50" w:line="400" w:lineRule="exact"/>
      <w:jc w:val="center"/>
    </w:pPr>
    <w:rPr>
      <w:sz w:val="24"/>
      <w:lang w:eastAsia="en-US"/>
    </w:rPr>
  </w:style>
  <w:style w:type="paragraph" w:customStyle="1" w:styleId="3714">
    <w:name w:val="样式 标题 3 + 段前: 12 磅2"/>
    <w:basedOn w:val="5"/>
    <w:autoRedefine/>
    <w:qFormat/>
    <w:uiPriority w:val="0"/>
    <w:pPr>
      <w:keepNext w:val="0"/>
      <w:keepLines w:val="0"/>
      <w:widowControl/>
      <w:autoSpaceDE w:val="0"/>
      <w:autoSpaceDN w:val="0"/>
      <w:adjustRightInd w:val="0"/>
      <w:snapToGrid w:val="0"/>
      <w:spacing w:before="0" w:after="0" w:line="360" w:lineRule="auto"/>
    </w:pPr>
    <w:rPr>
      <w:rFonts w:ascii="黑体" w:hAnsi="宋体" w:eastAsia="黑体" w:cs="宋体"/>
      <w:b w:val="0"/>
      <w:bCs w:val="0"/>
      <w:color w:val="000000"/>
      <w:kern w:val="21"/>
      <w:sz w:val="24"/>
      <w:szCs w:val="20"/>
      <w:lang w:val="en-US"/>
    </w:rPr>
  </w:style>
  <w:style w:type="paragraph" w:customStyle="1" w:styleId="3715">
    <w:name w:val="11 Char Char Char Char Char Char Char Char Char Char Char Char Char Char Char1 Char"/>
    <w:basedOn w:val="1"/>
    <w:autoRedefine/>
    <w:qFormat/>
    <w:uiPriority w:val="0"/>
    <w:pPr>
      <w:snapToGrid w:val="0"/>
      <w:spacing w:line="360" w:lineRule="auto"/>
      <w:ind w:firstLine="200" w:firstLineChars="200"/>
    </w:pPr>
    <w:rPr>
      <w:rFonts w:eastAsia="仿宋_GB2312"/>
      <w:sz w:val="24"/>
    </w:rPr>
  </w:style>
  <w:style w:type="paragraph" w:customStyle="1" w:styleId="3716">
    <w:name w:val="表格内字体6"/>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717">
    <w:name w:val="样式 首行缩进:  2 字符1"/>
    <w:basedOn w:val="1"/>
    <w:autoRedefine/>
    <w:qFormat/>
    <w:uiPriority w:val="0"/>
    <w:pPr>
      <w:spacing w:line="440" w:lineRule="exact"/>
      <w:ind w:firstLine="200" w:firstLineChars="200"/>
    </w:pPr>
    <w:rPr>
      <w:sz w:val="24"/>
    </w:rPr>
  </w:style>
  <w:style w:type="paragraph" w:customStyle="1" w:styleId="3718">
    <w:name w:val="表题14"/>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719">
    <w:name w:val="Char39"/>
    <w:basedOn w:val="1"/>
    <w:autoRedefine/>
    <w:qFormat/>
    <w:uiPriority w:val="0"/>
    <w:pPr>
      <w:adjustRightInd w:val="0"/>
      <w:snapToGrid w:val="0"/>
      <w:spacing w:beforeLines="50" w:line="360" w:lineRule="auto"/>
    </w:pPr>
    <w:rPr>
      <w:rFonts w:ascii="黑体" w:eastAsia="黑体"/>
      <w:sz w:val="32"/>
      <w:szCs w:val="32"/>
    </w:rPr>
  </w:style>
  <w:style w:type="paragraph" w:customStyle="1" w:styleId="3720">
    <w:name w:val="表内宋5中111"/>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3721">
    <w:name w:val="表题317"/>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722">
    <w:name w:val="燕山正文31"/>
    <w:basedOn w:val="1"/>
    <w:autoRedefine/>
    <w:qFormat/>
    <w:uiPriority w:val="0"/>
    <w:pPr>
      <w:tabs>
        <w:tab w:val="left" w:pos="4680"/>
      </w:tabs>
      <w:adjustRightInd w:val="0"/>
      <w:snapToGrid w:val="0"/>
      <w:spacing w:line="480" w:lineRule="exact"/>
    </w:pPr>
    <w:rPr>
      <w:rFonts w:ascii="宋体" w:cs="宋体"/>
      <w:sz w:val="24"/>
    </w:rPr>
  </w:style>
  <w:style w:type="paragraph" w:customStyle="1" w:styleId="3723">
    <w:name w:val="正文格式42"/>
    <w:basedOn w:val="1"/>
    <w:autoRedefine/>
    <w:qFormat/>
    <w:uiPriority w:val="0"/>
    <w:pPr>
      <w:spacing w:line="360" w:lineRule="auto"/>
      <w:ind w:firstLine="482"/>
    </w:pPr>
    <w:rPr>
      <w:rFonts w:ascii="宋体" w:hAnsi="宋体"/>
      <w:sz w:val="24"/>
    </w:rPr>
  </w:style>
  <w:style w:type="paragraph" w:customStyle="1" w:styleId="3724">
    <w:name w:val="样式 标题 4无效格式无效格式1河石管道4H4H41小小节河石管道41H42H411小小节1河石管道42..."/>
    <w:basedOn w:val="6"/>
    <w:autoRedefine/>
    <w:qFormat/>
    <w:uiPriority w:val="0"/>
    <w:pPr>
      <w:adjustRightInd w:val="0"/>
      <w:snapToGrid w:val="0"/>
      <w:spacing w:before="0" w:after="0" w:line="360" w:lineRule="auto"/>
      <w:ind w:left="664" w:hanging="864"/>
    </w:pPr>
    <w:rPr>
      <w:rFonts w:ascii="黑体"/>
      <w:b w:val="0"/>
      <w:bCs w:val="0"/>
      <w:sz w:val="24"/>
      <w:szCs w:val="24"/>
    </w:rPr>
  </w:style>
  <w:style w:type="paragraph" w:customStyle="1" w:styleId="3725">
    <w:name w:val="主要条文"/>
    <w:basedOn w:val="1"/>
    <w:autoRedefine/>
    <w:qFormat/>
    <w:uiPriority w:val="0"/>
    <w:pPr>
      <w:tabs>
        <w:tab w:val="left" w:pos="1260"/>
        <w:tab w:val="left" w:pos="3312"/>
      </w:tabs>
      <w:ind w:left="3312" w:hanging="432"/>
    </w:pPr>
    <w:rPr>
      <w:sz w:val="24"/>
    </w:rPr>
  </w:style>
  <w:style w:type="paragraph" w:customStyle="1" w:styleId="3726">
    <w:name w:val="Char232"/>
    <w:basedOn w:val="1"/>
    <w:autoRedefine/>
    <w:qFormat/>
    <w:uiPriority w:val="0"/>
    <w:pPr>
      <w:ind w:left="-48"/>
    </w:pPr>
  </w:style>
  <w:style w:type="paragraph" w:customStyle="1" w:styleId="3727">
    <w:name w:val="表题2111"/>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3728">
    <w:name w:val="表题2113"/>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3729">
    <w:name w:val="Char1 Char Char Char Char Char1 Char1"/>
    <w:basedOn w:val="1"/>
    <w:autoRedefine/>
    <w:qFormat/>
    <w:uiPriority w:val="0"/>
    <w:rPr>
      <w:szCs w:val="21"/>
    </w:rPr>
  </w:style>
  <w:style w:type="paragraph" w:customStyle="1" w:styleId="3730">
    <w:name w:val="xl749"/>
    <w:basedOn w:val="1"/>
    <w:autoRedefine/>
    <w:qFormat/>
    <w:uiPriority w:val="0"/>
    <w:pPr>
      <w:widowControl/>
      <w:spacing w:before="100" w:beforeAutospacing="1" w:after="100" w:afterAutospacing="1"/>
      <w:jc w:val="center"/>
    </w:pPr>
    <w:rPr>
      <w:rFonts w:ascii="Courier New" w:hAnsi="Courier New" w:eastAsia="Arial Unicode MS"/>
      <w:b/>
      <w:bCs/>
      <w:kern w:val="0"/>
      <w:sz w:val="44"/>
      <w:szCs w:val="44"/>
    </w:rPr>
  </w:style>
  <w:style w:type="paragraph" w:customStyle="1" w:styleId="3731">
    <w:name w:val="样式 表格内字体 +1"/>
    <w:basedOn w:val="417"/>
    <w:autoRedefine/>
    <w:qFormat/>
    <w:uiPriority w:val="0"/>
    <w:pPr>
      <w:spacing w:line="280" w:lineRule="exact"/>
      <w:ind w:firstLine="36"/>
      <w:jc w:val="both"/>
    </w:pPr>
  </w:style>
  <w:style w:type="paragraph" w:customStyle="1" w:styleId="3732">
    <w:name w:val="黑体三号24"/>
    <w:basedOn w:val="418"/>
    <w:autoRedefine/>
    <w:qFormat/>
    <w:uiPriority w:val="0"/>
    <w:pPr>
      <w:jc w:val="center"/>
    </w:pPr>
    <w:rPr>
      <w:rFonts w:ascii="黑体" w:hAnsi="宋体" w:eastAsia="黑体" w:cs="宋体"/>
      <w:bCs/>
      <w:spacing w:val="0"/>
      <w:sz w:val="32"/>
    </w:rPr>
  </w:style>
  <w:style w:type="paragraph" w:customStyle="1" w:styleId="3733">
    <w:name w:val="样式 chen + 首行缩进:  2 字符"/>
    <w:basedOn w:val="1"/>
    <w:autoRedefine/>
    <w:qFormat/>
    <w:uiPriority w:val="0"/>
    <w:pPr>
      <w:spacing w:line="500" w:lineRule="exact"/>
      <w:ind w:firstLine="560" w:firstLineChars="200"/>
    </w:pPr>
    <w:rPr>
      <w:rFonts w:cs="宋体"/>
      <w:color w:val="000000"/>
      <w:sz w:val="28"/>
      <w:szCs w:val="20"/>
    </w:rPr>
  </w:style>
  <w:style w:type="paragraph" w:customStyle="1" w:styleId="3734">
    <w:name w:val="表内宋5中12"/>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3735">
    <w:name w:val="Char8"/>
    <w:basedOn w:val="1"/>
    <w:autoRedefine/>
    <w:qFormat/>
    <w:uiPriority w:val="0"/>
    <w:pPr>
      <w:ind w:left="-48"/>
    </w:pPr>
  </w:style>
  <w:style w:type="paragraph" w:customStyle="1" w:styleId="3736">
    <w:name w:val="Char Char Char1 Char Char Char Char Char Char Char Char Char Char Char Char Char Char Char Char"/>
    <w:basedOn w:val="1"/>
    <w:autoRedefine/>
    <w:qFormat/>
    <w:uiPriority w:val="0"/>
    <w:pPr>
      <w:spacing w:line="240" w:lineRule="exact"/>
      <w:ind w:firstLine="200" w:firstLineChars="200"/>
    </w:pPr>
    <w:rPr>
      <w:sz w:val="28"/>
      <w:szCs w:val="28"/>
    </w:rPr>
  </w:style>
  <w:style w:type="paragraph" w:customStyle="1" w:styleId="3737">
    <w:name w:val="Char81"/>
    <w:basedOn w:val="1"/>
    <w:autoRedefine/>
    <w:qFormat/>
    <w:uiPriority w:val="0"/>
    <w:pPr>
      <w:ind w:left="-48"/>
    </w:pPr>
  </w:style>
  <w:style w:type="paragraph" w:customStyle="1" w:styleId="3738">
    <w:name w:val="燕山正文4"/>
    <w:basedOn w:val="1"/>
    <w:autoRedefine/>
    <w:qFormat/>
    <w:uiPriority w:val="0"/>
    <w:pPr>
      <w:tabs>
        <w:tab w:val="left" w:pos="4680"/>
      </w:tabs>
      <w:adjustRightInd w:val="0"/>
      <w:snapToGrid w:val="0"/>
      <w:spacing w:line="480" w:lineRule="exact"/>
    </w:pPr>
    <w:rPr>
      <w:rFonts w:ascii="宋体" w:cs="宋体"/>
      <w:sz w:val="24"/>
    </w:rPr>
  </w:style>
  <w:style w:type="paragraph" w:customStyle="1" w:styleId="3739">
    <w:name w:val="表内5中41"/>
    <w:basedOn w:val="1"/>
    <w:autoRedefine/>
    <w:qFormat/>
    <w:uiPriority w:val="0"/>
    <w:pPr>
      <w:adjustRightInd w:val="0"/>
      <w:snapToGrid w:val="0"/>
      <w:jc w:val="center"/>
    </w:pPr>
    <w:rPr>
      <w:rFonts w:ascii="宋体"/>
      <w:bCs/>
      <w:szCs w:val="20"/>
    </w:rPr>
  </w:style>
  <w:style w:type="paragraph" w:customStyle="1" w:styleId="3740">
    <w:name w:val="表题16"/>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741">
    <w:name w:val="表文字57"/>
    <w:basedOn w:val="1"/>
    <w:autoRedefine/>
    <w:qFormat/>
    <w:uiPriority w:val="0"/>
    <w:pPr>
      <w:adjustRightInd w:val="0"/>
      <w:jc w:val="left"/>
      <w:textAlignment w:val="baseline"/>
    </w:pPr>
    <w:rPr>
      <w:rFonts w:ascii="宋体"/>
      <w:kern w:val="0"/>
      <w:szCs w:val="20"/>
    </w:rPr>
  </w:style>
  <w:style w:type="paragraph" w:customStyle="1" w:styleId="3742">
    <w:name w:val="正文格式73"/>
    <w:basedOn w:val="1"/>
    <w:autoRedefine/>
    <w:qFormat/>
    <w:uiPriority w:val="0"/>
    <w:pPr>
      <w:spacing w:line="360" w:lineRule="auto"/>
      <w:ind w:firstLine="482"/>
    </w:pPr>
    <w:rPr>
      <w:rFonts w:ascii="宋体" w:hAnsi="宋体"/>
      <w:sz w:val="24"/>
    </w:rPr>
  </w:style>
  <w:style w:type="paragraph" w:customStyle="1" w:styleId="3743">
    <w:name w:val="Char151"/>
    <w:basedOn w:val="1"/>
    <w:autoRedefine/>
    <w:qFormat/>
    <w:uiPriority w:val="0"/>
    <w:pPr>
      <w:adjustRightInd w:val="0"/>
      <w:snapToGrid w:val="0"/>
      <w:spacing w:beforeLines="50" w:line="360" w:lineRule="auto"/>
    </w:pPr>
    <w:rPr>
      <w:rFonts w:ascii="黑体" w:eastAsia="黑体"/>
      <w:sz w:val="32"/>
      <w:szCs w:val="32"/>
    </w:rPr>
  </w:style>
  <w:style w:type="paragraph" w:customStyle="1" w:styleId="3744">
    <w:name w:val="Char141"/>
    <w:basedOn w:val="1"/>
    <w:autoRedefine/>
    <w:qFormat/>
    <w:uiPriority w:val="0"/>
    <w:pPr>
      <w:ind w:left="-48"/>
    </w:pPr>
  </w:style>
  <w:style w:type="paragraph" w:customStyle="1" w:styleId="3745">
    <w:name w:val="标题43"/>
    <w:basedOn w:val="1"/>
    <w:autoRedefine/>
    <w:qFormat/>
    <w:uiPriority w:val="0"/>
    <w:pPr>
      <w:adjustRightInd w:val="0"/>
      <w:snapToGrid w:val="0"/>
      <w:spacing w:line="300" w:lineRule="auto"/>
      <w:jc w:val="left"/>
    </w:pPr>
    <w:rPr>
      <w:rFonts w:ascii="黑体" w:eastAsia="黑体"/>
      <w:bCs/>
      <w:sz w:val="24"/>
    </w:rPr>
  </w:style>
  <w:style w:type="paragraph" w:customStyle="1" w:styleId="3746">
    <w:name w:val="正文缩4"/>
    <w:basedOn w:val="1"/>
    <w:autoRedefine/>
    <w:qFormat/>
    <w:uiPriority w:val="0"/>
    <w:pPr>
      <w:adjustRightInd w:val="0"/>
      <w:snapToGrid w:val="0"/>
      <w:spacing w:line="480" w:lineRule="atLeast"/>
      <w:ind w:firstLine="567"/>
      <w:textAlignment w:val="baseline"/>
    </w:pPr>
    <w:rPr>
      <w:rFonts w:ascii="宋体"/>
      <w:color w:val="000080"/>
      <w:spacing w:val="6"/>
      <w:kern w:val="0"/>
      <w:sz w:val="28"/>
      <w:szCs w:val="20"/>
    </w:rPr>
  </w:style>
  <w:style w:type="paragraph" w:customStyle="1" w:styleId="3747">
    <w:name w:val="表内文字小2111"/>
    <w:basedOn w:val="1"/>
    <w:autoRedefine/>
    <w:qFormat/>
    <w:uiPriority w:val="0"/>
    <w:pPr>
      <w:adjustRightInd w:val="0"/>
      <w:snapToGrid w:val="0"/>
      <w:jc w:val="center"/>
    </w:pPr>
    <w:rPr>
      <w:rFonts w:ascii="宋体" w:hAnsi="Times"/>
      <w:bCs/>
      <w:color w:val="000000"/>
      <w:szCs w:val="20"/>
    </w:rPr>
  </w:style>
  <w:style w:type="paragraph" w:customStyle="1" w:styleId="3748">
    <w:name w:val="Char Char Char Char Char Char Char151"/>
    <w:basedOn w:val="1"/>
    <w:autoRedefine/>
    <w:qFormat/>
    <w:uiPriority w:val="0"/>
    <w:rPr>
      <w:szCs w:val="20"/>
    </w:rPr>
  </w:style>
  <w:style w:type="paragraph" w:customStyle="1" w:styleId="3749">
    <w:name w:val="正文格式＝14"/>
    <w:basedOn w:val="418"/>
    <w:next w:val="418"/>
    <w:autoRedefine/>
    <w:qFormat/>
    <w:uiPriority w:val="0"/>
    <w:rPr>
      <w:rFonts w:ascii="宋体" w:hAnsi="宋体"/>
      <w:b w:val="0"/>
      <w:spacing w:val="0"/>
      <w:sz w:val="24"/>
      <w:szCs w:val="24"/>
    </w:rPr>
  </w:style>
  <w:style w:type="paragraph" w:customStyle="1" w:styleId="3750">
    <w:name w:val="样式123"/>
    <w:basedOn w:val="1605"/>
    <w:autoRedefine/>
    <w:qFormat/>
    <w:uiPriority w:val="0"/>
    <w:pPr>
      <w:spacing w:line="240" w:lineRule="auto"/>
      <w:ind w:firstLine="0"/>
      <w:jc w:val="center"/>
    </w:pPr>
    <w:rPr>
      <w:rFonts w:cs="Times New Roman"/>
      <w:b/>
      <w:color w:val="auto"/>
      <w:szCs w:val="20"/>
    </w:rPr>
  </w:style>
  <w:style w:type="paragraph" w:customStyle="1" w:styleId="3751">
    <w:name w:val="标题431"/>
    <w:basedOn w:val="1"/>
    <w:autoRedefine/>
    <w:qFormat/>
    <w:uiPriority w:val="0"/>
    <w:pPr>
      <w:adjustRightInd w:val="0"/>
      <w:snapToGrid w:val="0"/>
      <w:spacing w:line="480" w:lineRule="exact"/>
      <w:jc w:val="center"/>
    </w:pPr>
    <w:rPr>
      <w:rFonts w:ascii="宋体" w:hAnsi="宋体" w:cs="宋体"/>
      <w:sz w:val="24"/>
    </w:rPr>
  </w:style>
  <w:style w:type="paragraph" w:customStyle="1" w:styleId="3752">
    <w:name w:val="样式 正文缩进 + 宋体 黑色 首行缩进:  2 字符"/>
    <w:basedOn w:val="9"/>
    <w:autoRedefine/>
    <w:qFormat/>
    <w:uiPriority w:val="0"/>
    <w:pPr>
      <w:spacing w:line="360" w:lineRule="auto"/>
      <w:ind w:firstLine="480"/>
      <w:jc w:val="left"/>
    </w:pPr>
    <w:rPr>
      <w:rFonts w:ascii="宋体" w:hAnsi="宋体" w:cs="宋体"/>
      <w:color w:val="FF00FF"/>
      <w:kern w:val="0"/>
      <w:sz w:val="24"/>
      <w:szCs w:val="20"/>
      <w:lang w:val="en-US"/>
    </w:rPr>
  </w:style>
  <w:style w:type="paragraph" w:customStyle="1" w:styleId="3753">
    <w:name w:val="附件"/>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color w:val="auto"/>
      <w:sz w:val="32"/>
      <w:szCs w:val="32"/>
    </w:rPr>
  </w:style>
  <w:style w:type="paragraph" w:customStyle="1" w:styleId="3754">
    <w:name w:val="正文."/>
    <w:autoRedefine/>
    <w:qFormat/>
    <w:uiPriority w:val="0"/>
    <w:pPr>
      <w:widowControl w:val="0"/>
      <w:autoSpaceDE w:val="0"/>
      <w:autoSpaceDN w:val="0"/>
      <w:adjustRightInd w:val="0"/>
      <w:jc w:val="both"/>
    </w:pPr>
    <w:rPr>
      <w:rFonts w:ascii="Times New Roman;Symbol;Arial;婼" w:hAnsi="Times New Roman" w:eastAsia="Times New Roman;Symbol;Arial;婼" w:cs="Times New Roman"/>
      <w:sz w:val="21"/>
      <w:szCs w:val="21"/>
      <w:lang w:val="en-US" w:eastAsia="zh-CN" w:bidi="ar-SA"/>
    </w:rPr>
  </w:style>
  <w:style w:type="paragraph" w:customStyle="1" w:styleId="3755">
    <w:name w:val="正文缩"/>
    <w:basedOn w:val="1"/>
    <w:autoRedefine/>
    <w:qFormat/>
    <w:uiPriority w:val="0"/>
    <w:pPr>
      <w:adjustRightInd w:val="0"/>
      <w:snapToGrid w:val="0"/>
      <w:spacing w:line="480" w:lineRule="atLeast"/>
      <w:ind w:firstLine="567"/>
      <w:textAlignment w:val="baseline"/>
    </w:pPr>
    <w:rPr>
      <w:rFonts w:ascii="宋体"/>
      <w:color w:val="000080"/>
      <w:spacing w:val="6"/>
      <w:kern w:val="0"/>
      <w:sz w:val="28"/>
      <w:szCs w:val="20"/>
    </w:rPr>
  </w:style>
  <w:style w:type="paragraph" w:customStyle="1" w:styleId="3756">
    <w:name w:val="表内5"/>
    <w:basedOn w:val="1"/>
    <w:autoRedefine/>
    <w:qFormat/>
    <w:uiPriority w:val="0"/>
    <w:pPr>
      <w:adjustRightInd w:val="0"/>
      <w:snapToGrid w:val="0"/>
      <w:spacing w:line="300" w:lineRule="auto"/>
      <w:jc w:val="left"/>
    </w:pPr>
    <w:rPr>
      <w:rFonts w:ascii="宋体"/>
      <w:sz w:val="18"/>
      <w:szCs w:val="20"/>
    </w:rPr>
  </w:style>
  <w:style w:type="paragraph" w:customStyle="1" w:styleId="3757">
    <w:name w:val="正文格式＝1"/>
    <w:basedOn w:val="418"/>
    <w:next w:val="418"/>
    <w:autoRedefine/>
    <w:qFormat/>
    <w:uiPriority w:val="0"/>
    <w:rPr>
      <w:rFonts w:ascii="宋体" w:hAnsi="宋体"/>
      <w:b w:val="0"/>
      <w:spacing w:val="0"/>
      <w:sz w:val="24"/>
      <w:szCs w:val="24"/>
    </w:rPr>
  </w:style>
  <w:style w:type="paragraph" w:customStyle="1" w:styleId="3758">
    <w:name w:val="正文格式2"/>
    <w:basedOn w:val="1"/>
    <w:autoRedefine/>
    <w:qFormat/>
    <w:uiPriority w:val="0"/>
    <w:pPr>
      <w:spacing w:line="360" w:lineRule="auto"/>
      <w:ind w:firstLine="482"/>
    </w:pPr>
    <w:rPr>
      <w:rFonts w:ascii="宋体" w:hAnsi="宋体"/>
      <w:sz w:val="24"/>
    </w:rPr>
  </w:style>
  <w:style w:type="paragraph" w:customStyle="1" w:styleId="3759">
    <w:name w:val="表内5411"/>
    <w:basedOn w:val="1"/>
    <w:autoRedefine/>
    <w:qFormat/>
    <w:uiPriority w:val="0"/>
    <w:pPr>
      <w:adjustRightInd w:val="0"/>
      <w:snapToGrid w:val="0"/>
      <w:spacing w:line="300" w:lineRule="auto"/>
      <w:jc w:val="center"/>
    </w:pPr>
    <w:rPr>
      <w:rFonts w:ascii="宋体" w:hAnsi="宋体" w:cs="宋体"/>
      <w:szCs w:val="20"/>
    </w:rPr>
  </w:style>
  <w:style w:type="paragraph" w:customStyle="1" w:styleId="3760">
    <w:name w:val="表格内字体44"/>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761">
    <w:name w:val="表题11"/>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3762">
    <w:name w:val="xl244"/>
    <w:basedOn w:val="1"/>
    <w:autoRedefine/>
    <w:qFormat/>
    <w:uiPriority w:val="0"/>
    <w:pPr>
      <w:widowControl/>
      <w:pBdr>
        <w:bottom w:val="single" w:color="auto" w:sz="4" w:space="0"/>
        <w:right w:val="single" w:color="auto" w:sz="4" w:space="0"/>
      </w:pBdr>
      <w:spacing w:before="100" w:beforeAutospacing="1" w:after="100" w:afterAutospacing="1"/>
      <w:jc w:val="center"/>
    </w:pPr>
    <w:rPr>
      <w:kern w:val="0"/>
      <w:szCs w:val="21"/>
    </w:rPr>
  </w:style>
  <w:style w:type="paragraph" w:customStyle="1" w:styleId="3763">
    <w:name w:val="表文字51"/>
    <w:basedOn w:val="1"/>
    <w:autoRedefine/>
    <w:qFormat/>
    <w:uiPriority w:val="0"/>
    <w:pPr>
      <w:adjustRightInd w:val="0"/>
      <w:jc w:val="left"/>
      <w:textAlignment w:val="baseline"/>
    </w:pPr>
    <w:rPr>
      <w:rFonts w:ascii="宋体"/>
      <w:kern w:val="0"/>
      <w:szCs w:val="20"/>
    </w:rPr>
  </w:style>
  <w:style w:type="paragraph" w:customStyle="1" w:styleId="3764">
    <w:name w:val="图题3"/>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765">
    <w:name w:val="燕山正文112"/>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3766">
    <w:name w:val="表文字52"/>
    <w:basedOn w:val="1"/>
    <w:autoRedefine/>
    <w:qFormat/>
    <w:uiPriority w:val="0"/>
    <w:pPr>
      <w:adjustRightInd w:val="0"/>
      <w:jc w:val="left"/>
      <w:textAlignment w:val="baseline"/>
    </w:pPr>
    <w:rPr>
      <w:rFonts w:ascii="宋体"/>
      <w:kern w:val="0"/>
      <w:szCs w:val="20"/>
    </w:rPr>
  </w:style>
  <w:style w:type="paragraph" w:customStyle="1" w:styleId="3767">
    <w:name w:val="表题111"/>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768">
    <w:name w:val="图题4"/>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769">
    <w:name w:val="默认段落字体 Para Char Char Char Char11"/>
    <w:basedOn w:val="1"/>
    <w:autoRedefine/>
    <w:qFormat/>
    <w:uiPriority w:val="0"/>
  </w:style>
  <w:style w:type="paragraph" w:customStyle="1" w:styleId="3770">
    <w:name w:val="燕山正文113"/>
    <w:basedOn w:val="1"/>
    <w:autoRedefine/>
    <w:qFormat/>
    <w:uiPriority w:val="0"/>
    <w:pPr>
      <w:tabs>
        <w:tab w:val="left" w:pos="4680"/>
      </w:tabs>
      <w:adjustRightInd w:val="0"/>
      <w:snapToGrid w:val="0"/>
      <w:spacing w:line="360" w:lineRule="auto"/>
      <w:ind w:firstLine="480" w:firstLineChars="200"/>
    </w:pPr>
    <w:rPr>
      <w:rFonts w:ascii="宋体" w:hAnsi="宋体" w:cs="宋体"/>
      <w:bCs/>
      <w:snapToGrid w:val="0"/>
      <w:color w:val="000000"/>
      <w:kern w:val="0"/>
      <w:sz w:val="24"/>
    </w:rPr>
  </w:style>
  <w:style w:type="paragraph" w:customStyle="1" w:styleId="3771">
    <w:name w:val="表格内字体5"/>
    <w:basedOn w:val="418"/>
    <w:next w:val="418"/>
    <w:autoRedefine/>
    <w:qFormat/>
    <w:uiPriority w:val="0"/>
    <w:pPr>
      <w:adjustRightInd w:val="0"/>
      <w:snapToGrid w:val="0"/>
      <w:spacing w:line="240" w:lineRule="auto"/>
      <w:ind w:firstLine="0"/>
    </w:pPr>
    <w:rPr>
      <w:rFonts w:ascii="宋体" w:hAnsi="宋体"/>
      <w:b w:val="0"/>
      <w:spacing w:val="0"/>
      <w:szCs w:val="24"/>
    </w:rPr>
  </w:style>
  <w:style w:type="paragraph" w:customStyle="1" w:styleId="3772">
    <w:name w:val="表内5413"/>
    <w:basedOn w:val="1"/>
    <w:autoRedefine/>
    <w:qFormat/>
    <w:uiPriority w:val="0"/>
    <w:pPr>
      <w:adjustRightInd w:val="0"/>
      <w:snapToGrid w:val="0"/>
      <w:spacing w:line="300" w:lineRule="auto"/>
      <w:jc w:val="center"/>
    </w:pPr>
    <w:rPr>
      <w:rFonts w:ascii="宋体" w:hAnsi="宋体" w:cs="宋体"/>
      <w:szCs w:val="20"/>
    </w:rPr>
  </w:style>
  <w:style w:type="paragraph" w:customStyle="1" w:styleId="3773">
    <w:name w:val="表内文字小8"/>
    <w:basedOn w:val="1"/>
    <w:autoRedefine/>
    <w:qFormat/>
    <w:uiPriority w:val="0"/>
    <w:pPr>
      <w:adjustRightInd w:val="0"/>
      <w:snapToGrid w:val="0"/>
      <w:jc w:val="center"/>
    </w:pPr>
    <w:rPr>
      <w:rFonts w:ascii="宋体" w:hAnsi="Times" w:cs="宋体"/>
      <w:szCs w:val="20"/>
    </w:rPr>
  </w:style>
  <w:style w:type="paragraph" w:customStyle="1" w:styleId="3774">
    <w:name w:val="表文字531"/>
    <w:basedOn w:val="1"/>
    <w:autoRedefine/>
    <w:qFormat/>
    <w:uiPriority w:val="0"/>
    <w:pPr>
      <w:adjustRightInd w:val="0"/>
      <w:jc w:val="left"/>
      <w:textAlignment w:val="baseline"/>
    </w:pPr>
    <w:rPr>
      <w:rFonts w:ascii="宋体"/>
      <w:kern w:val="0"/>
      <w:szCs w:val="20"/>
    </w:rPr>
  </w:style>
  <w:style w:type="paragraph" w:customStyle="1" w:styleId="3775">
    <w:name w:val="表内宋51111"/>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3776">
    <w:name w:val="Char Char2 Char Char Char Char1"/>
    <w:basedOn w:val="1"/>
    <w:autoRedefine/>
    <w:qFormat/>
    <w:uiPriority w:val="0"/>
  </w:style>
  <w:style w:type="paragraph" w:customStyle="1" w:styleId="3777">
    <w:name w:val="图题31"/>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778">
    <w:name w:val="表格内字体51"/>
    <w:basedOn w:val="418"/>
    <w:next w:val="418"/>
    <w:autoRedefine/>
    <w:qFormat/>
    <w:uiPriority w:val="0"/>
    <w:pPr>
      <w:adjustRightInd w:val="0"/>
      <w:snapToGrid w:val="0"/>
      <w:spacing w:line="240" w:lineRule="auto"/>
      <w:ind w:firstLine="0"/>
    </w:pPr>
    <w:rPr>
      <w:rFonts w:ascii="宋体" w:hAnsi="宋体"/>
      <w:b w:val="0"/>
      <w:spacing w:val="0"/>
      <w:szCs w:val="24"/>
    </w:rPr>
  </w:style>
  <w:style w:type="paragraph" w:customStyle="1" w:styleId="3779">
    <w:name w:val="表格内字体7"/>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780">
    <w:name w:val="默认段落字体 Para Char Char Char Char5"/>
    <w:basedOn w:val="1"/>
    <w:autoRedefine/>
    <w:qFormat/>
    <w:uiPriority w:val="0"/>
  </w:style>
  <w:style w:type="paragraph" w:customStyle="1" w:styleId="3781">
    <w:name w:val="附件24"/>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3782">
    <w:name w:val="燕山正文13"/>
    <w:basedOn w:val="1"/>
    <w:autoRedefine/>
    <w:qFormat/>
    <w:uiPriority w:val="0"/>
    <w:pPr>
      <w:tabs>
        <w:tab w:val="left" w:pos="4680"/>
      </w:tabs>
      <w:adjustRightInd w:val="0"/>
      <w:snapToGrid w:val="0"/>
      <w:spacing w:line="360" w:lineRule="auto"/>
      <w:ind w:firstLine="480" w:firstLineChars="200"/>
    </w:pPr>
    <w:rPr>
      <w:rFonts w:ascii="宋体" w:hAnsi="宋体" w:cs="宋体"/>
      <w:bCs/>
      <w:color w:val="000000"/>
      <w:sz w:val="24"/>
    </w:rPr>
  </w:style>
  <w:style w:type="paragraph" w:customStyle="1" w:styleId="3783">
    <w:name w:val="表格内字体111"/>
    <w:basedOn w:val="418"/>
    <w:autoRedefine/>
    <w:qFormat/>
    <w:uiPriority w:val="0"/>
    <w:pPr>
      <w:spacing w:line="240" w:lineRule="auto"/>
      <w:ind w:firstLine="0"/>
      <w:jc w:val="center"/>
    </w:pPr>
    <w:rPr>
      <w:rFonts w:ascii="宋体" w:hAnsi="Times New Roman" w:cs="宋体"/>
      <w:b w:val="0"/>
      <w:spacing w:val="0"/>
    </w:rPr>
  </w:style>
  <w:style w:type="paragraph" w:customStyle="1" w:styleId="3784">
    <w:name w:val="默认段落字体 Para Char31"/>
    <w:basedOn w:val="1"/>
    <w:autoRedefine/>
    <w:qFormat/>
    <w:uiPriority w:val="0"/>
    <w:pPr>
      <w:spacing w:line="360" w:lineRule="auto"/>
      <w:ind w:firstLine="200" w:firstLineChars="200"/>
    </w:pPr>
    <w:rPr>
      <w:rFonts w:ascii="宋体" w:hAnsi="宋体" w:cs="宋体"/>
      <w:sz w:val="24"/>
    </w:rPr>
  </w:style>
  <w:style w:type="paragraph" w:customStyle="1" w:styleId="3785">
    <w:name w:val="Char Char Char Char1 Char Char Char1"/>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3786">
    <w:name w:val="Char43"/>
    <w:basedOn w:val="1"/>
    <w:autoRedefine/>
    <w:qFormat/>
    <w:uiPriority w:val="0"/>
    <w:pPr>
      <w:ind w:left="-48"/>
    </w:pPr>
  </w:style>
  <w:style w:type="paragraph" w:customStyle="1" w:styleId="3787">
    <w:name w:val="表内54124"/>
    <w:basedOn w:val="1"/>
    <w:autoRedefine/>
    <w:qFormat/>
    <w:uiPriority w:val="0"/>
    <w:pPr>
      <w:adjustRightInd w:val="0"/>
      <w:snapToGrid w:val="0"/>
      <w:spacing w:line="300" w:lineRule="auto"/>
      <w:jc w:val="center"/>
    </w:pPr>
    <w:rPr>
      <w:rFonts w:ascii="宋体" w:hAnsi="宋体" w:cs="宋体"/>
      <w:szCs w:val="20"/>
    </w:rPr>
  </w:style>
  <w:style w:type="paragraph" w:customStyle="1" w:styleId="3788">
    <w:name w:val="正文修改5"/>
    <w:basedOn w:val="193"/>
    <w:autoRedefine/>
    <w:qFormat/>
    <w:uiPriority w:val="0"/>
    <w:rPr>
      <w:rFonts w:hAnsi="宋体"/>
      <w:color w:val="000000"/>
    </w:rPr>
  </w:style>
  <w:style w:type="paragraph" w:customStyle="1" w:styleId="3789">
    <w:name w:val="表格11"/>
    <w:basedOn w:val="1"/>
    <w:autoRedefine/>
    <w:qFormat/>
    <w:uiPriority w:val="0"/>
    <w:pPr>
      <w:adjustRightInd w:val="0"/>
      <w:jc w:val="center"/>
      <w:textAlignment w:val="baseline"/>
    </w:pPr>
    <w:rPr>
      <w:rFonts w:ascii="宋体"/>
      <w:kern w:val="0"/>
      <w:sz w:val="24"/>
      <w:szCs w:val="20"/>
    </w:rPr>
  </w:style>
  <w:style w:type="paragraph" w:customStyle="1" w:styleId="3790">
    <w:name w:val="黑体三号8"/>
    <w:basedOn w:val="418"/>
    <w:autoRedefine/>
    <w:qFormat/>
    <w:uiPriority w:val="0"/>
    <w:pPr>
      <w:jc w:val="center"/>
    </w:pPr>
    <w:rPr>
      <w:rFonts w:ascii="黑体" w:hAnsi="宋体" w:eastAsia="黑体" w:cs="宋体"/>
      <w:bCs/>
      <w:spacing w:val="0"/>
      <w:sz w:val="32"/>
    </w:rPr>
  </w:style>
  <w:style w:type="paragraph" w:customStyle="1" w:styleId="3791">
    <w:name w:val="表内54114"/>
    <w:basedOn w:val="1"/>
    <w:autoRedefine/>
    <w:qFormat/>
    <w:uiPriority w:val="0"/>
    <w:pPr>
      <w:adjustRightInd w:val="0"/>
      <w:snapToGrid w:val="0"/>
      <w:spacing w:line="300" w:lineRule="auto"/>
      <w:jc w:val="center"/>
    </w:pPr>
    <w:rPr>
      <w:rFonts w:ascii="宋体" w:hAnsi="宋体" w:cs="宋体"/>
      <w:szCs w:val="20"/>
    </w:rPr>
  </w:style>
  <w:style w:type="paragraph" w:customStyle="1" w:styleId="3792">
    <w:name w:val="表内591"/>
    <w:basedOn w:val="1"/>
    <w:autoRedefine/>
    <w:qFormat/>
    <w:uiPriority w:val="0"/>
    <w:pPr>
      <w:adjustRightInd w:val="0"/>
      <w:snapToGrid w:val="0"/>
      <w:spacing w:line="300" w:lineRule="auto"/>
      <w:jc w:val="center"/>
    </w:pPr>
    <w:rPr>
      <w:rFonts w:ascii="宋体"/>
      <w:snapToGrid w:val="0"/>
      <w:szCs w:val="21"/>
    </w:rPr>
  </w:style>
  <w:style w:type="paragraph" w:customStyle="1" w:styleId="3793">
    <w:name w:val="正文格式1111"/>
    <w:basedOn w:val="1"/>
    <w:autoRedefine/>
    <w:qFormat/>
    <w:uiPriority w:val="0"/>
    <w:pPr>
      <w:spacing w:line="360" w:lineRule="auto"/>
      <w:ind w:firstLine="482"/>
    </w:pPr>
    <w:rPr>
      <w:rFonts w:ascii="宋体" w:hAnsi="宋体"/>
      <w:sz w:val="24"/>
    </w:rPr>
  </w:style>
  <w:style w:type="paragraph" w:customStyle="1" w:styleId="3794">
    <w:name w:val="Char Char Char Char Char Char Char2111"/>
    <w:basedOn w:val="1"/>
    <w:autoRedefine/>
    <w:qFormat/>
    <w:uiPriority w:val="0"/>
  </w:style>
  <w:style w:type="paragraph" w:customStyle="1" w:styleId="3795">
    <w:name w:val="Char Char Char Char Char Char Char1111"/>
    <w:basedOn w:val="1"/>
    <w:autoRedefine/>
    <w:qFormat/>
    <w:uiPriority w:val="0"/>
  </w:style>
  <w:style w:type="paragraph" w:customStyle="1" w:styleId="3796">
    <w:name w:val="样式 标题 4无效格式无效格式1河石管道4H4H41小小节河石管道41H42H411小小节1河石管道42...11"/>
    <w:basedOn w:val="6"/>
    <w:autoRedefine/>
    <w:qFormat/>
    <w:uiPriority w:val="0"/>
    <w:pPr>
      <w:adjustRightInd w:val="0"/>
      <w:snapToGrid w:val="0"/>
      <w:spacing w:before="0" w:after="0" w:line="360" w:lineRule="auto"/>
      <w:ind w:left="664" w:hanging="864"/>
      <w:jc w:val="left"/>
    </w:pPr>
    <w:rPr>
      <w:rFonts w:ascii="黑体" w:cs="宋体"/>
      <w:b w:val="0"/>
      <w:bCs w:val="0"/>
      <w:sz w:val="24"/>
      <w:szCs w:val="20"/>
    </w:rPr>
  </w:style>
  <w:style w:type="paragraph" w:customStyle="1" w:styleId="3797">
    <w:name w:val="表题411"/>
    <w:basedOn w:val="35"/>
    <w:autoRedefine/>
    <w:qFormat/>
    <w:uiPriority w:val="0"/>
    <w:pPr>
      <w:tabs>
        <w:tab w:val="left" w:pos="4305"/>
      </w:tabs>
      <w:adjustRightInd w:val="0"/>
      <w:snapToGrid w:val="0"/>
      <w:spacing w:after="0"/>
      <w:ind w:left="0" w:leftChars="0"/>
      <w:jc w:val="center"/>
    </w:pPr>
    <w:rPr>
      <w:rFonts w:ascii="宋体" w:hAnsi="宋体" w:cs="宋体"/>
      <w:color w:val="000000"/>
      <w:szCs w:val="24"/>
      <w:lang w:val="en-US"/>
    </w:rPr>
  </w:style>
  <w:style w:type="paragraph" w:customStyle="1" w:styleId="3798">
    <w:name w:val="正文2111"/>
    <w:autoRedefine/>
    <w:qFormat/>
    <w:uiPriority w:val="0"/>
    <w:pPr>
      <w:adjustRightInd w:val="0"/>
      <w:snapToGrid w:val="0"/>
      <w:spacing w:line="480" w:lineRule="atLeast"/>
      <w:jc w:val="center"/>
    </w:pPr>
    <w:rPr>
      <w:rFonts w:ascii="宋体" w:hAnsi="Times New Roman" w:eastAsia="宋体" w:cs="Times New Roman"/>
      <w:snapToGrid w:val="0"/>
      <w:spacing w:val="6"/>
      <w:sz w:val="21"/>
      <w:lang w:val="en-US" w:eastAsia="zh-CN" w:bidi="ar-SA"/>
    </w:rPr>
  </w:style>
  <w:style w:type="paragraph" w:customStyle="1" w:styleId="3799">
    <w:name w:val="Char Char Char Char1 Char Char Char3"/>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3800">
    <w:name w:val="默认段落字体 Para Char23"/>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801">
    <w:name w:val="文本框2"/>
    <w:basedOn w:val="1"/>
    <w:autoRedefine/>
    <w:qFormat/>
    <w:uiPriority w:val="0"/>
    <w:pPr>
      <w:adjustRightInd w:val="0"/>
      <w:snapToGrid w:val="0"/>
      <w:spacing w:after="6"/>
      <w:jc w:val="center"/>
    </w:pPr>
    <w:rPr>
      <w:rFonts w:eastAsia="仿宋_GB2312"/>
    </w:rPr>
  </w:style>
  <w:style w:type="paragraph" w:customStyle="1" w:styleId="3802">
    <w:name w:val="表4"/>
    <w:basedOn w:val="1"/>
    <w:autoRedefine/>
    <w:qFormat/>
    <w:uiPriority w:val="0"/>
    <w:pPr>
      <w:adjustRightInd w:val="0"/>
      <w:snapToGrid w:val="0"/>
      <w:jc w:val="center"/>
    </w:pPr>
    <w:rPr>
      <w:rFonts w:eastAsia="仿宋_GB2312"/>
      <w:sz w:val="24"/>
    </w:rPr>
  </w:style>
  <w:style w:type="paragraph" w:customStyle="1" w:styleId="3803">
    <w:name w:val="Char131"/>
    <w:basedOn w:val="1"/>
    <w:autoRedefine/>
    <w:qFormat/>
    <w:uiPriority w:val="0"/>
    <w:pPr>
      <w:ind w:left="-48"/>
    </w:pPr>
  </w:style>
  <w:style w:type="paragraph" w:customStyle="1" w:styleId="3804">
    <w:name w:val="黑体三号111"/>
    <w:basedOn w:val="418"/>
    <w:autoRedefine/>
    <w:qFormat/>
    <w:uiPriority w:val="0"/>
    <w:pPr>
      <w:jc w:val="center"/>
    </w:pPr>
    <w:rPr>
      <w:rFonts w:ascii="黑体" w:hAnsi="宋体" w:eastAsia="黑体" w:cs="宋体"/>
      <w:bCs/>
      <w:spacing w:val="0"/>
      <w:sz w:val="32"/>
    </w:rPr>
  </w:style>
  <w:style w:type="paragraph" w:customStyle="1" w:styleId="3805">
    <w:name w:val="表内宋5中121"/>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3806">
    <w:name w:val="表题1121"/>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3807">
    <w:name w:val="表内宋51"/>
    <w:basedOn w:val="1719"/>
    <w:autoRedefine/>
    <w:qFormat/>
    <w:uiPriority w:val="0"/>
    <w:pPr>
      <w:widowControl/>
      <w:autoSpaceDE w:val="0"/>
      <w:autoSpaceDN w:val="0"/>
      <w:jc w:val="left"/>
      <w:textAlignment w:val="auto"/>
    </w:pPr>
    <w:rPr>
      <w:color w:val="auto"/>
      <w:w w:val="90"/>
    </w:rPr>
  </w:style>
  <w:style w:type="paragraph" w:customStyle="1" w:styleId="3808">
    <w:name w:val="表内文字小2134"/>
    <w:basedOn w:val="1"/>
    <w:autoRedefine/>
    <w:qFormat/>
    <w:uiPriority w:val="0"/>
    <w:pPr>
      <w:adjustRightInd w:val="0"/>
      <w:snapToGrid w:val="0"/>
      <w:jc w:val="center"/>
      <w:textAlignment w:val="baseline"/>
    </w:pPr>
    <w:rPr>
      <w:rFonts w:ascii="宋体" w:hAnsi="Times"/>
      <w:bCs/>
      <w:color w:val="000000"/>
      <w:szCs w:val="20"/>
    </w:rPr>
  </w:style>
  <w:style w:type="paragraph" w:customStyle="1" w:styleId="3809">
    <w:name w:val="Char Char Char Char1 Char Char Char7"/>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3810">
    <w:name w:val="正文格式＝11"/>
    <w:basedOn w:val="418"/>
    <w:next w:val="418"/>
    <w:autoRedefine/>
    <w:qFormat/>
    <w:uiPriority w:val="0"/>
    <w:rPr>
      <w:rFonts w:ascii="宋体" w:hAnsi="宋体"/>
      <w:b w:val="0"/>
      <w:spacing w:val="0"/>
      <w:sz w:val="24"/>
      <w:szCs w:val="24"/>
    </w:rPr>
  </w:style>
  <w:style w:type="paragraph" w:customStyle="1" w:styleId="3811">
    <w:name w:val="正文格式24"/>
    <w:basedOn w:val="1"/>
    <w:autoRedefine/>
    <w:qFormat/>
    <w:uiPriority w:val="0"/>
    <w:pPr>
      <w:spacing w:line="360" w:lineRule="auto"/>
      <w:ind w:firstLine="482"/>
    </w:pPr>
    <w:rPr>
      <w:rFonts w:ascii="宋体" w:hAnsi="宋体"/>
      <w:sz w:val="24"/>
    </w:rPr>
  </w:style>
  <w:style w:type="paragraph" w:customStyle="1" w:styleId="3812">
    <w:name w:val="图题2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813">
    <w:name w:val="Char213"/>
    <w:basedOn w:val="1"/>
    <w:autoRedefine/>
    <w:qFormat/>
    <w:uiPriority w:val="0"/>
    <w:pPr>
      <w:ind w:left="-48"/>
    </w:pPr>
  </w:style>
  <w:style w:type="paragraph" w:customStyle="1" w:styleId="3814">
    <w:name w:val="Char Char Char Char Char Char Char311"/>
    <w:basedOn w:val="1"/>
    <w:autoRedefine/>
    <w:qFormat/>
    <w:uiPriority w:val="0"/>
  </w:style>
  <w:style w:type="paragraph" w:customStyle="1" w:styleId="3815">
    <w:name w:val="正文格式41"/>
    <w:basedOn w:val="1"/>
    <w:autoRedefine/>
    <w:qFormat/>
    <w:uiPriority w:val="0"/>
    <w:pPr>
      <w:spacing w:line="360" w:lineRule="auto"/>
      <w:ind w:firstLine="482"/>
    </w:pPr>
    <w:rPr>
      <w:rFonts w:ascii="宋体" w:hAnsi="宋体"/>
      <w:sz w:val="24"/>
    </w:rPr>
  </w:style>
  <w:style w:type="paragraph" w:customStyle="1" w:styleId="3816">
    <w:name w:val="表题1414"/>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3817">
    <w:name w:val="表内宋51121"/>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3818">
    <w:name w:val="Char321"/>
    <w:basedOn w:val="1"/>
    <w:autoRedefine/>
    <w:qFormat/>
    <w:uiPriority w:val="0"/>
    <w:pPr>
      <w:ind w:left="-48"/>
    </w:pPr>
  </w:style>
  <w:style w:type="paragraph" w:customStyle="1" w:styleId="3819">
    <w:name w:val="注释1"/>
    <w:basedOn w:val="418"/>
    <w:next w:val="34"/>
    <w:autoRedefine/>
    <w:qFormat/>
    <w:uiPriority w:val="0"/>
    <w:pPr>
      <w:spacing w:before="120" w:after="120" w:line="240" w:lineRule="auto"/>
      <w:ind w:firstLine="200" w:firstLineChars="200"/>
    </w:pPr>
    <w:rPr>
      <w:rFonts w:ascii="宋体" w:hAnsi="Times New Roman" w:cs="宋体"/>
      <w:b w:val="0"/>
      <w:spacing w:val="0"/>
    </w:rPr>
  </w:style>
  <w:style w:type="paragraph" w:customStyle="1" w:styleId="3820">
    <w:name w:val="表格内字体7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821">
    <w:name w:val="默认段落字体 Para Char Char Char Char52"/>
    <w:basedOn w:val="1"/>
    <w:autoRedefine/>
    <w:qFormat/>
    <w:uiPriority w:val="0"/>
  </w:style>
  <w:style w:type="paragraph" w:customStyle="1" w:styleId="3822">
    <w:name w:val="Char91"/>
    <w:basedOn w:val="1"/>
    <w:autoRedefine/>
    <w:qFormat/>
    <w:uiPriority w:val="0"/>
    <w:pPr>
      <w:ind w:left="-48"/>
    </w:pPr>
  </w:style>
  <w:style w:type="paragraph" w:customStyle="1" w:styleId="3823">
    <w:name w:val="环评正文2"/>
    <w:autoRedefine/>
    <w:qFormat/>
    <w:uiPriority w:val="0"/>
    <w:pPr>
      <w:spacing w:line="440" w:lineRule="exact"/>
      <w:ind w:firstLine="200" w:firstLineChars="200"/>
    </w:pPr>
    <w:rPr>
      <w:rFonts w:ascii="Times New Roman" w:hAnsi="Times New Roman" w:eastAsia="宋体" w:cs="Times New Roman"/>
      <w:bCs/>
      <w:kern w:val="2"/>
      <w:sz w:val="24"/>
      <w:szCs w:val="24"/>
      <w:lang w:val="en-US" w:eastAsia="zh-CN" w:bidi="ar-SA"/>
    </w:rPr>
  </w:style>
  <w:style w:type="paragraph" w:customStyle="1" w:styleId="3824">
    <w:name w:val="正文格式＝61"/>
    <w:basedOn w:val="418"/>
    <w:next w:val="418"/>
    <w:autoRedefine/>
    <w:qFormat/>
    <w:uiPriority w:val="0"/>
    <w:rPr>
      <w:rFonts w:ascii="宋体" w:hAnsi="宋体"/>
      <w:b w:val="0"/>
      <w:spacing w:val="0"/>
      <w:sz w:val="24"/>
      <w:szCs w:val="24"/>
    </w:rPr>
  </w:style>
  <w:style w:type="paragraph" w:customStyle="1" w:styleId="3825">
    <w:name w:val="燕山正文41"/>
    <w:basedOn w:val="1"/>
    <w:autoRedefine/>
    <w:qFormat/>
    <w:uiPriority w:val="0"/>
    <w:pPr>
      <w:tabs>
        <w:tab w:val="left" w:pos="4680"/>
      </w:tabs>
      <w:adjustRightInd w:val="0"/>
      <w:snapToGrid w:val="0"/>
      <w:spacing w:line="480" w:lineRule="exact"/>
    </w:pPr>
    <w:rPr>
      <w:rFonts w:ascii="宋体" w:cs="宋体"/>
      <w:sz w:val="24"/>
    </w:rPr>
  </w:style>
  <w:style w:type="paragraph" w:customStyle="1" w:styleId="3826">
    <w:name w:val="正文修改41"/>
    <w:basedOn w:val="193"/>
    <w:autoRedefine/>
    <w:qFormat/>
    <w:uiPriority w:val="0"/>
    <w:rPr>
      <w:rFonts w:hAnsi="宋体"/>
      <w:color w:val="000000"/>
    </w:rPr>
  </w:style>
  <w:style w:type="paragraph" w:customStyle="1" w:styleId="3827">
    <w:name w:val="表中文字51"/>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828">
    <w:name w:val="表内小5中11"/>
    <w:basedOn w:val="1"/>
    <w:autoRedefine/>
    <w:qFormat/>
    <w:uiPriority w:val="0"/>
    <w:pPr>
      <w:adjustRightInd w:val="0"/>
      <w:snapToGrid w:val="0"/>
      <w:jc w:val="center"/>
    </w:pPr>
    <w:rPr>
      <w:rFonts w:ascii="宋体" w:hAnsi="宋体"/>
      <w:sz w:val="18"/>
      <w:szCs w:val="20"/>
    </w:rPr>
  </w:style>
  <w:style w:type="paragraph" w:customStyle="1" w:styleId="3829">
    <w:name w:val="样式 标题 4无效格式无效格式1河石管道4H4H41小小节河石管道41H42H411小小节1河石管道42...13"/>
    <w:basedOn w:val="6"/>
    <w:autoRedefine/>
    <w:qFormat/>
    <w:uiPriority w:val="0"/>
    <w:pPr>
      <w:adjustRightInd w:val="0"/>
      <w:snapToGrid w:val="0"/>
      <w:spacing w:before="0" w:after="0" w:line="360" w:lineRule="auto"/>
      <w:ind w:left="664" w:hanging="864"/>
      <w:jc w:val="left"/>
    </w:pPr>
    <w:rPr>
      <w:rFonts w:ascii="黑体" w:cs="宋体"/>
      <w:b w:val="0"/>
      <w:bCs w:val="0"/>
      <w:sz w:val="24"/>
      <w:szCs w:val="20"/>
    </w:rPr>
  </w:style>
  <w:style w:type="paragraph" w:customStyle="1" w:styleId="3830">
    <w:name w:val="c12"/>
    <w:autoRedefine/>
    <w:qFormat/>
    <w:uiPriority w:val="0"/>
    <w:pPr>
      <w:widowControl w:val="0"/>
      <w:autoSpaceDE w:val="0"/>
      <w:autoSpaceDN w:val="0"/>
      <w:adjustRightInd w:val="0"/>
      <w:jc w:val="both"/>
    </w:pPr>
    <w:rPr>
      <w:rFonts w:ascii="Arial" w:hAnsi="Arial" w:eastAsia="宋体" w:cs="Times New Roman"/>
      <w:sz w:val="24"/>
      <w:lang w:val="en-US" w:eastAsia="zh-CN" w:bidi="ar-SA"/>
    </w:rPr>
  </w:style>
  <w:style w:type="paragraph" w:customStyle="1" w:styleId="3831">
    <w:name w:val="默认段落字体 Para Char Char Char Char51"/>
    <w:basedOn w:val="1"/>
    <w:autoRedefine/>
    <w:qFormat/>
    <w:uiPriority w:val="0"/>
  </w:style>
  <w:style w:type="paragraph" w:customStyle="1" w:styleId="3832">
    <w:name w:val="表内文字小14"/>
    <w:basedOn w:val="1"/>
    <w:autoRedefine/>
    <w:qFormat/>
    <w:uiPriority w:val="0"/>
    <w:pPr>
      <w:adjustRightInd w:val="0"/>
      <w:snapToGrid w:val="0"/>
      <w:jc w:val="center"/>
    </w:pPr>
    <w:rPr>
      <w:rFonts w:ascii="宋体" w:hAnsi="Times"/>
      <w:szCs w:val="20"/>
    </w:rPr>
  </w:style>
  <w:style w:type="paragraph" w:customStyle="1" w:styleId="3833">
    <w:name w:val="Char101"/>
    <w:basedOn w:val="1"/>
    <w:autoRedefine/>
    <w:qFormat/>
    <w:uiPriority w:val="0"/>
    <w:pPr>
      <w:adjustRightInd w:val="0"/>
      <w:snapToGrid w:val="0"/>
      <w:spacing w:line="360" w:lineRule="auto"/>
    </w:pPr>
  </w:style>
  <w:style w:type="paragraph" w:customStyle="1" w:styleId="3834">
    <w:name w:val="福建正文缩进3"/>
    <w:basedOn w:val="9"/>
    <w:autoRedefine/>
    <w:qFormat/>
    <w:uiPriority w:val="0"/>
    <w:pPr>
      <w:widowControl/>
      <w:tabs>
        <w:tab w:val="left" w:pos="5837"/>
      </w:tabs>
      <w:adjustRightInd w:val="0"/>
      <w:snapToGrid w:val="0"/>
      <w:spacing w:line="480" w:lineRule="exact"/>
      <w:ind w:firstLine="0" w:firstLineChars="0"/>
    </w:pPr>
    <w:rPr>
      <w:rFonts w:ascii="宋体" w:hAnsi="宋体" w:cs="宋体"/>
      <w:color w:val="000000"/>
      <w:kern w:val="0"/>
      <w:sz w:val="24"/>
      <w:lang w:val="en-US"/>
    </w:rPr>
  </w:style>
  <w:style w:type="paragraph" w:customStyle="1" w:styleId="3835">
    <w:name w:val="表内文字小33"/>
    <w:basedOn w:val="1"/>
    <w:autoRedefine/>
    <w:qFormat/>
    <w:uiPriority w:val="0"/>
    <w:pPr>
      <w:adjustRightInd w:val="0"/>
      <w:snapToGrid w:val="0"/>
      <w:jc w:val="center"/>
    </w:pPr>
    <w:rPr>
      <w:rFonts w:ascii="宋体" w:hAnsi="Times"/>
      <w:szCs w:val="20"/>
    </w:rPr>
  </w:style>
  <w:style w:type="paragraph" w:customStyle="1" w:styleId="3836">
    <w:name w:val="表内54141"/>
    <w:basedOn w:val="1"/>
    <w:autoRedefine/>
    <w:qFormat/>
    <w:uiPriority w:val="0"/>
    <w:pPr>
      <w:adjustRightInd w:val="0"/>
      <w:snapToGrid w:val="0"/>
      <w:spacing w:line="300" w:lineRule="auto"/>
      <w:jc w:val="center"/>
    </w:pPr>
    <w:rPr>
      <w:rFonts w:ascii="宋体" w:hAnsi="宋体" w:cs="宋体"/>
      <w:szCs w:val="20"/>
    </w:rPr>
  </w:style>
  <w:style w:type="paragraph" w:customStyle="1" w:styleId="3837">
    <w:name w:val="表内文字小217"/>
    <w:basedOn w:val="1"/>
    <w:autoRedefine/>
    <w:qFormat/>
    <w:uiPriority w:val="0"/>
    <w:pPr>
      <w:adjustRightInd w:val="0"/>
      <w:snapToGrid w:val="0"/>
      <w:jc w:val="center"/>
    </w:pPr>
    <w:rPr>
      <w:rFonts w:ascii="宋体" w:hAnsi="Times"/>
      <w:bCs/>
      <w:color w:val="000000"/>
      <w:szCs w:val="20"/>
    </w:rPr>
  </w:style>
  <w:style w:type="paragraph" w:customStyle="1" w:styleId="3838">
    <w:name w:val="表内54143"/>
    <w:basedOn w:val="1"/>
    <w:autoRedefine/>
    <w:qFormat/>
    <w:uiPriority w:val="0"/>
    <w:pPr>
      <w:adjustRightInd w:val="0"/>
      <w:snapToGrid w:val="0"/>
      <w:spacing w:line="300" w:lineRule="auto"/>
      <w:jc w:val="center"/>
    </w:pPr>
    <w:rPr>
      <w:rFonts w:ascii="宋体" w:hAnsi="宋体" w:cs="宋体"/>
      <w:szCs w:val="20"/>
    </w:rPr>
  </w:style>
  <w:style w:type="paragraph" w:customStyle="1" w:styleId="3839">
    <w:name w:val="Char Char Char Char Char Char Char24"/>
    <w:basedOn w:val="1"/>
    <w:autoRedefine/>
    <w:qFormat/>
    <w:uiPriority w:val="0"/>
  </w:style>
  <w:style w:type="paragraph" w:customStyle="1" w:styleId="3840">
    <w:name w:val="表内文字小12"/>
    <w:basedOn w:val="1"/>
    <w:autoRedefine/>
    <w:qFormat/>
    <w:uiPriority w:val="0"/>
    <w:pPr>
      <w:adjustRightInd w:val="0"/>
      <w:snapToGrid w:val="0"/>
      <w:jc w:val="center"/>
    </w:pPr>
    <w:rPr>
      <w:rFonts w:ascii="宋体" w:hAnsi="Times"/>
      <w:szCs w:val="20"/>
    </w:rPr>
  </w:style>
  <w:style w:type="paragraph" w:customStyle="1" w:styleId="3841">
    <w:name w:val="表内文字小2113"/>
    <w:basedOn w:val="1"/>
    <w:autoRedefine/>
    <w:qFormat/>
    <w:uiPriority w:val="0"/>
    <w:pPr>
      <w:adjustRightInd w:val="0"/>
      <w:snapToGrid w:val="0"/>
      <w:jc w:val="center"/>
    </w:pPr>
    <w:rPr>
      <w:rFonts w:ascii="宋体" w:hAnsi="Times"/>
      <w:bCs/>
      <w:color w:val="000000"/>
      <w:szCs w:val="20"/>
    </w:rPr>
  </w:style>
  <w:style w:type="paragraph" w:customStyle="1" w:styleId="3842">
    <w:name w:val="默认段落字体 Para Char41"/>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843">
    <w:name w:val="默认段落字体 Para Char Char Char Char13"/>
    <w:basedOn w:val="1"/>
    <w:autoRedefine/>
    <w:qFormat/>
    <w:uiPriority w:val="0"/>
  </w:style>
  <w:style w:type="paragraph" w:customStyle="1" w:styleId="3844">
    <w:name w:val="正文格式81"/>
    <w:basedOn w:val="1"/>
    <w:autoRedefine/>
    <w:qFormat/>
    <w:uiPriority w:val="0"/>
    <w:pPr>
      <w:spacing w:line="360" w:lineRule="auto"/>
      <w:ind w:firstLine="482"/>
    </w:pPr>
    <w:rPr>
      <w:rFonts w:ascii="宋体" w:hAnsi="宋体"/>
      <w:sz w:val="24"/>
    </w:rPr>
  </w:style>
  <w:style w:type="paragraph" w:customStyle="1" w:styleId="3845">
    <w:name w:val="表内593"/>
    <w:basedOn w:val="1"/>
    <w:autoRedefine/>
    <w:qFormat/>
    <w:uiPriority w:val="0"/>
    <w:pPr>
      <w:adjustRightInd w:val="0"/>
      <w:snapToGrid w:val="0"/>
      <w:spacing w:line="300" w:lineRule="auto"/>
      <w:jc w:val="center"/>
    </w:pPr>
    <w:rPr>
      <w:rFonts w:ascii="宋体"/>
      <w:snapToGrid w:val="0"/>
      <w:szCs w:val="21"/>
    </w:rPr>
  </w:style>
  <w:style w:type="paragraph" w:customStyle="1" w:styleId="3846">
    <w:name w:val="正文格式91"/>
    <w:basedOn w:val="1"/>
    <w:autoRedefine/>
    <w:qFormat/>
    <w:uiPriority w:val="0"/>
    <w:pPr>
      <w:spacing w:line="360" w:lineRule="auto"/>
      <w:ind w:firstLine="482"/>
    </w:pPr>
    <w:rPr>
      <w:rFonts w:ascii="宋体" w:hAnsi="宋体"/>
      <w:sz w:val="24"/>
    </w:rPr>
  </w:style>
  <w:style w:type="paragraph" w:customStyle="1" w:styleId="3847">
    <w:name w:val="Char421"/>
    <w:basedOn w:val="1"/>
    <w:autoRedefine/>
    <w:qFormat/>
    <w:uiPriority w:val="0"/>
    <w:pPr>
      <w:ind w:left="-48"/>
    </w:pPr>
  </w:style>
  <w:style w:type="paragraph" w:customStyle="1" w:styleId="3848">
    <w:name w:val="正文格式＝72"/>
    <w:basedOn w:val="418"/>
    <w:next w:val="418"/>
    <w:autoRedefine/>
    <w:qFormat/>
    <w:uiPriority w:val="0"/>
    <w:rPr>
      <w:rFonts w:ascii="宋体" w:hAnsi="宋体"/>
      <w:b w:val="0"/>
      <w:spacing w:val="0"/>
      <w:sz w:val="24"/>
      <w:szCs w:val="24"/>
    </w:rPr>
  </w:style>
  <w:style w:type="paragraph" w:customStyle="1" w:styleId="3849">
    <w:name w:val="表格13"/>
    <w:basedOn w:val="1"/>
    <w:autoRedefine/>
    <w:qFormat/>
    <w:uiPriority w:val="0"/>
    <w:pPr>
      <w:adjustRightInd w:val="0"/>
      <w:jc w:val="center"/>
      <w:textAlignment w:val="baseline"/>
    </w:pPr>
    <w:rPr>
      <w:rFonts w:ascii="宋体"/>
      <w:kern w:val="0"/>
      <w:sz w:val="24"/>
      <w:szCs w:val="20"/>
    </w:rPr>
  </w:style>
  <w:style w:type="paragraph" w:customStyle="1" w:styleId="3850">
    <w:name w:val="图题8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851">
    <w:name w:val="Char Char Char Char Char Char Char131"/>
    <w:basedOn w:val="1"/>
    <w:autoRedefine/>
    <w:qFormat/>
    <w:uiPriority w:val="0"/>
  </w:style>
  <w:style w:type="paragraph" w:customStyle="1" w:styleId="3852">
    <w:name w:val="正文格式102"/>
    <w:basedOn w:val="1"/>
    <w:autoRedefine/>
    <w:qFormat/>
    <w:uiPriority w:val="0"/>
    <w:pPr>
      <w:spacing w:line="360" w:lineRule="auto"/>
      <w:ind w:firstLine="482"/>
    </w:pPr>
    <w:rPr>
      <w:rFonts w:ascii="宋体" w:hAnsi="宋体"/>
      <w:sz w:val="24"/>
    </w:rPr>
  </w:style>
  <w:style w:type="paragraph" w:customStyle="1" w:styleId="3853">
    <w:name w:val="表格内字体9"/>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854">
    <w:name w:val="表格内容3"/>
    <w:autoRedefine/>
    <w:qFormat/>
    <w:uiPriority w:val="0"/>
    <w:pPr>
      <w:jc w:val="center"/>
    </w:pPr>
    <w:rPr>
      <w:rFonts w:ascii="Times New Roman" w:hAnsi="Times New Roman" w:eastAsia="宋体" w:cs="Times New Roman"/>
      <w:kern w:val="2"/>
      <w:sz w:val="21"/>
      <w:szCs w:val="21"/>
      <w:lang w:val="en-US" w:eastAsia="zh-CN" w:bidi="ar-SA"/>
    </w:rPr>
  </w:style>
  <w:style w:type="paragraph" w:customStyle="1" w:styleId="3855">
    <w:name w:val="默认段落字体 Para Char6"/>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856">
    <w:name w:val="Char19"/>
    <w:basedOn w:val="1"/>
    <w:autoRedefine/>
    <w:qFormat/>
    <w:uiPriority w:val="0"/>
    <w:pPr>
      <w:adjustRightInd w:val="0"/>
      <w:snapToGrid w:val="0"/>
      <w:ind w:left="-45"/>
    </w:pPr>
  </w:style>
  <w:style w:type="paragraph" w:customStyle="1" w:styleId="3857">
    <w:name w:val="Char313"/>
    <w:basedOn w:val="1"/>
    <w:autoRedefine/>
    <w:qFormat/>
    <w:uiPriority w:val="0"/>
    <w:pPr>
      <w:ind w:left="-48"/>
    </w:pPr>
  </w:style>
  <w:style w:type="paragraph" w:customStyle="1" w:styleId="3858">
    <w:name w:val="表题412"/>
    <w:basedOn w:val="35"/>
    <w:autoRedefine/>
    <w:qFormat/>
    <w:uiPriority w:val="0"/>
    <w:pPr>
      <w:tabs>
        <w:tab w:val="left" w:pos="4305"/>
      </w:tabs>
      <w:adjustRightInd w:val="0"/>
      <w:snapToGrid w:val="0"/>
      <w:spacing w:after="0" w:line="360" w:lineRule="auto"/>
      <w:ind w:left="0" w:leftChars="0" w:firstLine="561"/>
    </w:pPr>
    <w:rPr>
      <w:rFonts w:ascii="宋体" w:hAnsi="宋体" w:cs="宋体"/>
      <w:color w:val="000000"/>
      <w:szCs w:val="24"/>
      <w:lang w:val="en-US"/>
    </w:rPr>
  </w:style>
  <w:style w:type="paragraph" w:customStyle="1" w:styleId="3859">
    <w:name w:val="表内5416"/>
    <w:basedOn w:val="1"/>
    <w:autoRedefine/>
    <w:qFormat/>
    <w:uiPriority w:val="0"/>
    <w:pPr>
      <w:adjustRightInd w:val="0"/>
      <w:snapToGrid w:val="0"/>
      <w:spacing w:line="300" w:lineRule="auto"/>
      <w:jc w:val="center"/>
    </w:pPr>
    <w:rPr>
      <w:rFonts w:ascii="宋体" w:hAnsi="宋体" w:cs="宋体"/>
      <w:szCs w:val="20"/>
    </w:rPr>
  </w:style>
  <w:style w:type="paragraph" w:customStyle="1" w:styleId="3860">
    <w:name w:val="Char Char Char Char Char Char Char7"/>
    <w:basedOn w:val="1"/>
    <w:autoRedefine/>
    <w:qFormat/>
    <w:uiPriority w:val="0"/>
  </w:style>
  <w:style w:type="paragraph" w:customStyle="1" w:styleId="3861">
    <w:name w:val="正文格式222"/>
    <w:basedOn w:val="1"/>
    <w:autoRedefine/>
    <w:qFormat/>
    <w:uiPriority w:val="0"/>
    <w:pPr>
      <w:spacing w:line="360" w:lineRule="auto"/>
      <w:ind w:firstLine="482"/>
    </w:pPr>
    <w:rPr>
      <w:rFonts w:ascii="宋体" w:hAnsi="宋体"/>
      <w:sz w:val="24"/>
    </w:rPr>
  </w:style>
  <w:style w:type="paragraph" w:customStyle="1" w:styleId="3862">
    <w:name w:val="表内文字小315"/>
    <w:basedOn w:val="1"/>
    <w:autoRedefine/>
    <w:qFormat/>
    <w:uiPriority w:val="0"/>
    <w:pPr>
      <w:adjustRightInd w:val="0"/>
      <w:snapToGrid w:val="0"/>
      <w:jc w:val="center"/>
    </w:pPr>
    <w:rPr>
      <w:rFonts w:ascii="宋体" w:hAnsi="Times" w:cs="宋体"/>
      <w:bCs/>
      <w:color w:val="003366"/>
      <w:szCs w:val="20"/>
    </w:rPr>
  </w:style>
  <w:style w:type="paragraph" w:customStyle="1" w:styleId="3863">
    <w:name w:val="表内宋5113"/>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3864">
    <w:name w:val="样式212"/>
    <w:basedOn w:val="1"/>
    <w:autoRedefine/>
    <w:qFormat/>
    <w:uiPriority w:val="0"/>
    <w:pPr>
      <w:adjustRightInd w:val="0"/>
      <w:spacing w:line="360" w:lineRule="auto"/>
      <w:jc w:val="center"/>
      <w:textAlignment w:val="baseline"/>
      <w:outlineLvl w:val="0"/>
    </w:pPr>
    <w:rPr>
      <w:kern w:val="0"/>
      <w:szCs w:val="20"/>
    </w:rPr>
  </w:style>
  <w:style w:type="paragraph" w:customStyle="1" w:styleId="3865">
    <w:name w:val="燕山正文6"/>
    <w:basedOn w:val="1"/>
    <w:autoRedefine/>
    <w:qFormat/>
    <w:uiPriority w:val="0"/>
    <w:pPr>
      <w:tabs>
        <w:tab w:val="left" w:pos="4680"/>
      </w:tabs>
      <w:adjustRightInd w:val="0"/>
      <w:snapToGrid w:val="0"/>
      <w:spacing w:line="480" w:lineRule="exact"/>
    </w:pPr>
    <w:rPr>
      <w:rFonts w:ascii="宋体" w:cs="宋体"/>
      <w:sz w:val="24"/>
    </w:rPr>
  </w:style>
  <w:style w:type="paragraph" w:customStyle="1" w:styleId="3866">
    <w:name w:val="表中文字23"/>
    <w:basedOn w:val="1"/>
    <w:autoRedefine/>
    <w:qFormat/>
    <w:uiPriority w:val="0"/>
    <w:pPr>
      <w:widowControl/>
      <w:adjustRightInd w:val="0"/>
      <w:spacing w:line="240" w:lineRule="atLeast"/>
      <w:ind w:right="-42" w:rightChars="-20"/>
      <w:jc w:val="center"/>
      <w:textAlignment w:val="baseline"/>
    </w:pPr>
    <w:rPr>
      <w:rFonts w:ascii="宋体"/>
      <w:kern w:val="0"/>
      <w:szCs w:val="21"/>
    </w:rPr>
  </w:style>
  <w:style w:type="paragraph" w:customStyle="1" w:styleId="3867">
    <w:name w:val="表题31111"/>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868">
    <w:name w:val="表格内字体1111"/>
    <w:basedOn w:val="418"/>
    <w:autoRedefine/>
    <w:qFormat/>
    <w:uiPriority w:val="0"/>
    <w:pPr>
      <w:spacing w:line="240" w:lineRule="auto"/>
      <w:ind w:firstLine="0"/>
      <w:jc w:val="center"/>
    </w:pPr>
    <w:rPr>
      <w:rFonts w:ascii="宋体" w:hAnsi="Times New Roman" w:cs="宋体"/>
      <w:b w:val="0"/>
      <w:spacing w:val="0"/>
    </w:rPr>
  </w:style>
  <w:style w:type="paragraph" w:customStyle="1" w:styleId="3869">
    <w:name w:val="表内文字小3112"/>
    <w:basedOn w:val="1"/>
    <w:autoRedefine/>
    <w:qFormat/>
    <w:uiPriority w:val="0"/>
    <w:pPr>
      <w:adjustRightInd w:val="0"/>
      <w:snapToGrid w:val="0"/>
      <w:jc w:val="center"/>
    </w:pPr>
    <w:rPr>
      <w:rFonts w:ascii="宋体" w:hAnsi="Times" w:cs="宋体"/>
      <w:bCs/>
      <w:color w:val="003366"/>
      <w:szCs w:val="20"/>
    </w:rPr>
  </w:style>
  <w:style w:type="paragraph" w:customStyle="1" w:styleId="3870">
    <w:name w:val="表题2114"/>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3871">
    <w:name w:val="附件112"/>
    <w:basedOn w:val="3"/>
    <w:next w:val="418"/>
    <w:autoRedefine/>
    <w:qFormat/>
    <w:uiPriority w:val="0"/>
    <w:pPr>
      <w:keepLines/>
      <w:tabs>
        <w:tab w:val="left" w:pos="1566"/>
      </w:tabs>
      <w:overflowPunct/>
      <w:snapToGrid/>
      <w:spacing w:before="0" w:after="210" w:line="360" w:lineRule="auto"/>
      <w:ind w:left="0" w:firstLine="0"/>
      <w:jc w:val="left"/>
    </w:pPr>
    <w:rPr>
      <w:rFonts w:ascii="黑体" w:hAnsi="宋体"/>
      <w:b w:val="0"/>
      <w:color w:val="auto"/>
      <w:sz w:val="32"/>
      <w:szCs w:val="32"/>
    </w:rPr>
  </w:style>
  <w:style w:type="paragraph" w:customStyle="1" w:styleId="3872">
    <w:name w:val="Char241"/>
    <w:basedOn w:val="1"/>
    <w:autoRedefine/>
    <w:qFormat/>
    <w:uiPriority w:val="0"/>
    <w:pPr>
      <w:ind w:left="-48"/>
    </w:pPr>
  </w:style>
  <w:style w:type="paragraph" w:customStyle="1" w:styleId="3873">
    <w:name w:val="表内文字小121"/>
    <w:basedOn w:val="1"/>
    <w:autoRedefine/>
    <w:qFormat/>
    <w:uiPriority w:val="0"/>
    <w:pPr>
      <w:adjustRightInd w:val="0"/>
      <w:snapToGrid w:val="0"/>
      <w:jc w:val="center"/>
    </w:pPr>
    <w:rPr>
      <w:rFonts w:ascii="宋体" w:hAnsi="Times"/>
      <w:szCs w:val="20"/>
    </w:rPr>
  </w:style>
  <w:style w:type="paragraph" w:customStyle="1" w:styleId="3874">
    <w:name w:val="默认段落字体 Para Char Char Char Char112"/>
    <w:basedOn w:val="1"/>
    <w:autoRedefine/>
    <w:qFormat/>
    <w:uiPriority w:val="0"/>
  </w:style>
  <w:style w:type="paragraph" w:customStyle="1" w:styleId="3875">
    <w:name w:val="黑体三号7"/>
    <w:basedOn w:val="418"/>
    <w:autoRedefine/>
    <w:qFormat/>
    <w:uiPriority w:val="0"/>
    <w:pPr>
      <w:jc w:val="center"/>
    </w:pPr>
    <w:rPr>
      <w:rFonts w:ascii="黑体" w:hAnsi="宋体" w:eastAsia="黑体" w:cs="宋体"/>
      <w:bCs/>
      <w:spacing w:val="0"/>
      <w:sz w:val="32"/>
    </w:rPr>
  </w:style>
  <w:style w:type="paragraph" w:customStyle="1" w:styleId="3876">
    <w:name w:val="注释3"/>
    <w:basedOn w:val="418"/>
    <w:next w:val="34"/>
    <w:autoRedefine/>
    <w:qFormat/>
    <w:uiPriority w:val="0"/>
    <w:pPr>
      <w:spacing w:before="120" w:after="120" w:line="240" w:lineRule="auto"/>
      <w:ind w:firstLine="200" w:firstLineChars="200"/>
    </w:pPr>
    <w:rPr>
      <w:rFonts w:ascii="宋体" w:hAnsi="Times New Roman" w:cs="宋体"/>
      <w:b w:val="0"/>
      <w:spacing w:val="0"/>
    </w:rPr>
  </w:style>
  <w:style w:type="paragraph" w:customStyle="1" w:styleId="3877">
    <w:name w:val="表内5111"/>
    <w:basedOn w:val="1"/>
    <w:autoRedefine/>
    <w:qFormat/>
    <w:uiPriority w:val="0"/>
    <w:pPr>
      <w:adjustRightInd w:val="0"/>
      <w:snapToGrid w:val="0"/>
      <w:jc w:val="center"/>
    </w:pPr>
    <w:rPr>
      <w:rFonts w:ascii="宋体" w:hAnsi="宋体"/>
      <w:kern w:val="0"/>
      <w:sz w:val="20"/>
      <w:szCs w:val="20"/>
    </w:rPr>
  </w:style>
  <w:style w:type="paragraph" w:customStyle="1" w:styleId="3878">
    <w:name w:val="表题145"/>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879">
    <w:name w:val="图题31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880">
    <w:name w:val="默认段落字体 Para Char Char Char Char43"/>
    <w:basedOn w:val="1"/>
    <w:autoRedefine/>
    <w:qFormat/>
    <w:uiPriority w:val="0"/>
  </w:style>
  <w:style w:type="paragraph" w:customStyle="1" w:styleId="3881">
    <w:name w:val="样式1112"/>
    <w:basedOn w:val="1605"/>
    <w:autoRedefine/>
    <w:qFormat/>
    <w:uiPriority w:val="0"/>
    <w:pPr>
      <w:spacing w:line="240" w:lineRule="auto"/>
      <w:ind w:firstLine="0"/>
      <w:jc w:val="center"/>
    </w:pPr>
    <w:rPr>
      <w:rFonts w:cs="Times New Roman"/>
      <w:b/>
      <w:color w:val="auto"/>
      <w:szCs w:val="20"/>
    </w:rPr>
  </w:style>
  <w:style w:type="paragraph" w:customStyle="1" w:styleId="3882">
    <w:name w:val="Char212"/>
    <w:basedOn w:val="1"/>
    <w:autoRedefine/>
    <w:qFormat/>
    <w:uiPriority w:val="0"/>
    <w:pPr>
      <w:ind w:left="-48"/>
    </w:pPr>
  </w:style>
  <w:style w:type="paragraph" w:customStyle="1" w:styleId="3883">
    <w:name w:val="样式 标题 4无效格式无效格式1河石管道4H4H41小小节河石管道41H42H411小小节1河石管道42...4"/>
    <w:basedOn w:val="6"/>
    <w:autoRedefine/>
    <w:qFormat/>
    <w:uiPriority w:val="0"/>
    <w:pPr>
      <w:adjustRightInd w:val="0"/>
      <w:snapToGrid w:val="0"/>
      <w:spacing w:before="0" w:after="0" w:line="360" w:lineRule="auto"/>
      <w:ind w:left="664" w:hanging="864"/>
    </w:pPr>
    <w:rPr>
      <w:rFonts w:ascii="黑体"/>
      <w:b w:val="0"/>
      <w:bCs w:val="0"/>
      <w:sz w:val="24"/>
      <w:szCs w:val="24"/>
    </w:rPr>
  </w:style>
  <w:style w:type="paragraph" w:customStyle="1" w:styleId="3884">
    <w:name w:val="表题3122"/>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885">
    <w:name w:val="样式 表格内字体1 +11"/>
    <w:basedOn w:val="2537"/>
    <w:next w:val="417"/>
    <w:autoRedefine/>
    <w:qFormat/>
    <w:uiPriority w:val="0"/>
    <w:rPr>
      <w:rFonts w:hAnsi="Times New Roman" w:cs="宋体"/>
      <w:szCs w:val="20"/>
    </w:rPr>
  </w:style>
  <w:style w:type="paragraph" w:customStyle="1" w:styleId="3886">
    <w:name w:val="黑体三号43"/>
    <w:basedOn w:val="418"/>
    <w:autoRedefine/>
    <w:qFormat/>
    <w:uiPriority w:val="0"/>
    <w:pPr>
      <w:jc w:val="center"/>
    </w:pPr>
    <w:rPr>
      <w:rFonts w:ascii="黑体" w:hAnsi="宋体" w:eastAsia="黑体" w:cs="宋体"/>
      <w:bCs/>
      <w:spacing w:val="0"/>
      <w:sz w:val="32"/>
    </w:rPr>
  </w:style>
  <w:style w:type="paragraph" w:customStyle="1" w:styleId="3887">
    <w:name w:val="表22"/>
    <w:basedOn w:val="1"/>
    <w:autoRedefine/>
    <w:qFormat/>
    <w:uiPriority w:val="0"/>
    <w:pPr>
      <w:adjustRightInd w:val="0"/>
      <w:snapToGrid w:val="0"/>
      <w:jc w:val="center"/>
    </w:pPr>
    <w:rPr>
      <w:rFonts w:eastAsia="仿宋_GB2312"/>
      <w:sz w:val="24"/>
    </w:rPr>
  </w:style>
  <w:style w:type="paragraph" w:customStyle="1" w:styleId="3888">
    <w:name w:val="Char74"/>
    <w:basedOn w:val="1"/>
    <w:autoRedefine/>
    <w:qFormat/>
    <w:uiPriority w:val="0"/>
    <w:pPr>
      <w:ind w:left="-48"/>
    </w:pPr>
  </w:style>
  <w:style w:type="paragraph" w:customStyle="1" w:styleId="3889">
    <w:name w:val="燕山正文24"/>
    <w:basedOn w:val="1"/>
    <w:autoRedefine/>
    <w:qFormat/>
    <w:uiPriority w:val="0"/>
    <w:pPr>
      <w:tabs>
        <w:tab w:val="left" w:pos="4680"/>
      </w:tabs>
      <w:adjustRightInd w:val="0"/>
      <w:snapToGrid w:val="0"/>
      <w:spacing w:line="480" w:lineRule="exact"/>
    </w:pPr>
    <w:rPr>
      <w:rFonts w:ascii="宋体" w:cs="宋体"/>
      <w:sz w:val="24"/>
    </w:rPr>
  </w:style>
  <w:style w:type="paragraph" w:customStyle="1" w:styleId="3890">
    <w:name w:val="表内宋5中23"/>
    <w:basedOn w:val="1"/>
    <w:autoRedefine/>
    <w:qFormat/>
    <w:uiPriority w:val="0"/>
    <w:pPr>
      <w:adjustRightInd w:val="0"/>
      <w:snapToGrid w:val="0"/>
      <w:jc w:val="center"/>
      <w:textAlignment w:val="baseline"/>
    </w:pPr>
    <w:rPr>
      <w:rFonts w:ascii="宋体" w:hAnsi="宋体"/>
      <w:kern w:val="0"/>
      <w:szCs w:val="20"/>
    </w:rPr>
  </w:style>
  <w:style w:type="paragraph" w:customStyle="1" w:styleId="3891">
    <w:name w:val="表题1212"/>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3892">
    <w:name w:val="表内文字小2142"/>
    <w:basedOn w:val="1"/>
    <w:autoRedefine/>
    <w:qFormat/>
    <w:uiPriority w:val="0"/>
    <w:pPr>
      <w:adjustRightInd w:val="0"/>
      <w:snapToGrid w:val="0"/>
      <w:jc w:val="center"/>
    </w:pPr>
    <w:rPr>
      <w:rFonts w:ascii="宋体" w:hAnsi="Times"/>
      <w:bCs/>
      <w:color w:val="000000"/>
      <w:szCs w:val="20"/>
    </w:rPr>
  </w:style>
  <w:style w:type="paragraph" w:customStyle="1" w:styleId="3893">
    <w:name w:val="A正文4"/>
    <w:basedOn w:val="1"/>
    <w:autoRedefine/>
    <w:qFormat/>
    <w:uiPriority w:val="0"/>
    <w:pPr>
      <w:widowControl/>
      <w:overflowPunct w:val="0"/>
      <w:autoSpaceDE w:val="0"/>
      <w:autoSpaceDN w:val="0"/>
      <w:adjustRightInd w:val="0"/>
      <w:spacing w:line="360" w:lineRule="auto"/>
      <w:ind w:firstLine="200" w:firstLineChars="200"/>
      <w:jc w:val="left"/>
      <w:textAlignment w:val="baseline"/>
    </w:pPr>
    <w:rPr>
      <w:rFonts w:eastAsia="仿宋_GB2312"/>
      <w:kern w:val="0"/>
      <w:sz w:val="24"/>
    </w:rPr>
  </w:style>
  <w:style w:type="paragraph" w:customStyle="1" w:styleId="3894">
    <w:name w:val="表文字522"/>
    <w:basedOn w:val="1"/>
    <w:autoRedefine/>
    <w:qFormat/>
    <w:uiPriority w:val="0"/>
    <w:pPr>
      <w:adjustRightInd w:val="0"/>
      <w:jc w:val="left"/>
      <w:textAlignment w:val="baseline"/>
    </w:pPr>
    <w:rPr>
      <w:rFonts w:ascii="宋体"/>
      <w:kern w:val="0"/>
      <w:szCs w:val="20"/>
    </w:rPr>
  </w:style>
  <w:style w:type="paragraph" w:customStyle="1" w:styleId="3895">
    <w:name w:val="Char122"/>
    <w:basedOn w:val="1"/>
    <w:autoRedefine/>
    <w:qFormat/>
    <w:uiPriority w:val="0"/>
    <w:pPr>
      <w:adjustRightInd w:val="0"/>
      <w:snapToGrid w:val="0"/>
      <w:spacing w:line="360" w:lineRule="auto"/>
    </w:pPr>
  </w:style>
  <w:style w:type="paragraph" w:customStyle="1" w:styleId="3896">
    <w:name w:val="环评正文3"/>
    <w:autoRedefine/>
    <w:qFormat/>
    <w:uiPriority w:val="0"/>
    <w:pPr>
      <w:spacing w:line="440" w:lineRule="exact"/>
      <w:ind w:firstLine="200" w:firstLineChars="200"/>
    </w:pPr>
    <w:rPr>
      <w:rFonts w:ascii="Times New Roman" w:hAnsi="Times New Roman" w:eastAsia="宋体" w:cs="Times New Roman"/>
      <w:bCs/>
      <w:kern w:val="2"/>
      <w:sz w:val="24"/>
      <w:szCs w:val="24"/>
      <w:lang w:val="en-US" w:eastAsia="zh-CN" w:bidi="ar-SA"/>
    </w:rPr>
  </w:style>
  <w:style w:type="paragraph" w:customStyle="1" w:styleId="3897">
    <w:name w:val="燕山正文212"/>
    <w:basedOn w:val="1"/>
    <w:autoRedefine/>
    <w:qFormat/>
    <w:uiPriority w:val="0"/>
    <w:pPr>
      <w:tabs>
        <w:tab w:val="left" w:pos="4680"/>
      </w:tabs>
      <w:adjustRightInd w:val="0"/>
      <w:snapToGrid w:val="0"/>
      <w:spacing w:line="480" w:lineRule="exact"/>
    </w:pPr>
    <w:rPr>
      <w:rFonts w:ascii="宋体" w:cs="宋体"/>
      <w:sz w:val="24"/>
    </w:rPr>
  </w:style>
  <w:style w:type="paragraph" w:customStyle="1" w:styleId="3898">
    <w:name w:val="Char Char Char Char Char Char Char42"/>
    <w:basedOn w:val="1"/>
    <w:autoRedefine/>
    <w:qFormat/>
    <w:uiPriority w:val="0"/>
  </w:style>
  <w:style w:type="paragraph" w:customStyle="1" w:styleId="3899">
    <w:name w:val="正文格式2112"/>
    <w:basedOn w:val="1"/>
    <w:autoRedefine/>
    <w:qFormat/>
    <w:uiPriority w:val="0"/>
    <w:pPr>
      <w:spacing w:line="360" w:lineRule="auto"/>
      <w:ind w:firstLine="482"/>
    </w:pPr>
    <w:rPr>
      <w:rFonts w:ascii="宋体" w:hAnsi="宋体"/>
      <w:sz w:val="24"/>
    </w:rPr>
  </w:style>
  <w:style w:type="paragraph" w:customStyle="1" w:styleId="3900">
    <w:name w:val="正文格式＝611"/>
    <w:basedOn w:val="418"/>
    <w:next w:val="418"/>
    <w:autoRedefine/>
    <w:qFormat/>
    <w:uiPriority w:val="0"/>
    <w:rPr>
      <w:rFonts w:ascii="宋体" w:hAnsi="宋体"/>
      <w:b w:val="0"/>
      <w:spacing w:val="0"/>
      <w:sz w:val="24"/>
      <w:szCs w:val="24"/>
    </w:rPr>
  </w:style>
  <w:style w:type="paragraph" w:customStyle="1" w:styleId="3901">
    <w:name w:val="Char222"/>
    <w:basedOn w:val="1"/>
    <w:autoRedefine/>
    <w:qFormat/>
    <w:uiPriority w:val="0"/>
    <w:pPr>
      <w:adjustRightInd w:val="0"/>
      <w:snapToGrid w:val="0"/>
      <w:spacing w:beforeLines="50" w:line="360" w:lineRule="auto"/>
    </w:pPr>
    <w:rPr>
      <w:rFonts w:ascii="黑体" w:eastAsia="黑体"/>
      <w:sz w:val="32"/>
      <w:szCs w:val="32"/>
    </w:rPr>
  </w:style>
  <w:style w:type="paragraph" w:customStyle="1" w:styleId="3902">
    <w:name w:val="表格内字体211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903">
    <w:name w:val="正文格式412"/>
    <w:basedOn w:val="1"/>
    <w:autoRedefine/>
    <w:qFormat/>
    <w:uiPriority w:val="0"/>
    <w:pPr>
      <w:spacing w:line="360" w:lineRule="auto"/>
      <w:ind w:firstLine="482"/>
    </w:pPr>
    <w:rPr>
      <w:rFonts w:ascii="宋体" w:hAnsi="宋体"/>
      <w:sz w:val="24"/>
    </w:rPr>
  </w:style>
  <w:style w:type="paragraph" w:customStyle="1" w:styleId="3904">
    <w:name w:val="标题4114"/>
    <w:basedOn w:val="1"/>
    <w:autoRedefine/>
    <w:qFormat/>
    <w:uiPriority w:val="0"/>
    <w:pPr>
      <w:adjustRightInd w:val="0"/>
      <w:snapToGrid w:val="0"/>
      <w:spacing w:line="300" w:lineRule="auto"/>
      <w:jc w:val="left"/>
    </w:pPr>
    <w:rPr>
      <w:rFonts w:ascii="黑体" w:hAnsi="宋体" w:eastAsia="黑体" w:cs="宋体"/>
      <w:bCs/>
      <w:sz w:val="24"/>
      <w:szCs w:val="20"/>
    </w:rPr>
  </w:style>
  <w:style w:type="paragraph" w:customStyle="1" w:styleId="3905">
    <w:name w:val="表内5中13"/>
    <w:basedOn w:val="1"/>
    <w:autoRedefine/>
    <w:qFormat/>
    <w:uiPriority w:val="0"/>
    <w:pPr>
      <w:adjustRightInd w:val="0"/>
      <w:snapToGrid w:val="0"/>
      <w:jc w:val="center"/>
    </w:pPr>
    <w:rPr>
      <w:rFonts w:ascii="宋体" w:hAnsi="宋体" w:cs="Arial"/>
      <w:snapToGrid w:val="0"/>
      <w:color w:val="000000"/>
      <w:szCs w:val="21"/>
    </w:rPr>
  </w:style>
  <w:style w:type="paragraph" w:customStyle="1" w:styleId="3906">
    <w:name w:val="表格内字体31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907">
    <w:name w:val="Char Char Char Char1 Char Char Char211"/>
    <w:basedOn w:val="1"/>
    <w:autoRedefine/>
    <w:qFormat/>
    <w:uiPriority w:val="0"/>
    <w:pPr>
      <w:widowControl/>
      <w:spacing w:after="160" w:line="240" w:lineRule="exact"/>
      <w:jc w:val="left"/>
    </w:pPr>
    <w:rPr>
      <w:rFonts w:ascii="Verdana" w:hAnsi="Verdana"/>
      <w:kern w:val="0"/>
      <w:sz w:val="20"/>
      <w:szCs w:val="20"/>
      <w:lang w:eastAsia="en-US"/>
    </w:rPr>
  </w:style>
  <w:style w:type="paragraph" w:customStyle="1" w:styleId="3908">
    <w:name w:val="Char64"/>
    <w:basedOn w:val="1"/>
    <w:autoRedefine/>
    <w:qFormat/>
    <w:uiPriority w:val="0"/>
    <w:pPr>
      <w:adjustRightInd w:val="0"/>
      <w:snapToGrid w:val="0"/>
      <w:spacing w:beforeLines="50" w:line="360" w:lineRule="auto"/>
    </w:pPr>
    <w:rPr>
      <w:rFonts w:ascii="黑体" w:eastAsia="黑体"/>
      <w:sz w:val="32"/>
      <w:szCs w:val="32"/>
    </w:rPr>
  </w:style>
  <w:style w:type="paragraph" w:customStyle="1" w:styleId="3909">
    <w:name w:val="图题4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910">
    <w:name w:val="图题73"/>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911">
    <w:name w:val="图题211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912">
    <w:name w:val="Char312"/>
    <w:basedOn w:val="1"/>
    <w:autoRedefine/>
    <w:qFormat/>
    <w:uiPriority w:val="0"/>
    <w:pPr>
      <w:ind w:left="-48"/>
    </w:pPr>
  </w:style>
  <w:style w:type="paragraph" w:customStyle="1" w:styleId="3913">
    <w:name w:val="标题431212"/>
    <w:basedOn w:val="1"/>
    <w:autoRedefine/>
    <w:qFormat/>
    <w:uiPriority w:val="0"/>
    <w:pPr>
      <w:adjustRightInd w:val="0"/>
      <w:snapToGrid w:val="0"/>
      <w:spacing w:line="480" w:lineRule="exact"/>
      <w:jc w:val="center"/>
    </w:pPr>
    <w:rPr>
      <w:rFonts w:ascii="宋体" w:hAnsi="宋体" w:cs="宋体"/>
      <w:sz w:val="24"/>
    </w:rPr>
  </w:style>
  <w:style w:type="paragraph" w:customStyle="1" w:styleId="3914">
    <w:name w:val="Char44"/>
    <w:basedOn w:val="1"/>
    <w:autoRedefine/>
    <w:qFormat/>
    <w:uiPriority w:val="0"/>
    <w:pPr>
      <w:ind w:left="-48"/>
    </w:pPr>
  </w:style>
  <w:style w:type="paragraph" w:customStyle="1" w:styleId="3915">
    <w:name w:val="正文格式＝42"/>
    <w:basedOn w:val="418"/>
    <w:next w:val="418"/>
    <w:autoRedefine/>
    <w:qFormat/>
    <w:uiPriority w:val="0"/>
    <w:rPr>
      <w:rFonts w:ascii="宋体" w:hAnsi="宋体"/>
      <w:b w:val="0"/>
      <w:spacing w:val="0"/>
      <w:sz w:val="24"/>
      <w:szCs w:val="24"/>
    </w:rPr>
  </w:style>
  <w:style w:type="paragraph" w:customStyle="1" w:styleId="3916">
    <w:name w:val="表中文字312"/>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917">
    <w:name w:val="样式1212"/>
    <w:basedOn w:val="1605"/>
    <w:autoRedefine/>
    <w:qFormat/>
    <w:uiPriority w:val="0"/>
    <w:pPr>
      <w:spacing w:line="240" w:lineRule="auto"/>
      <w:ind w:firstLine="0"/>
      <w:jc w:val="center"/>
    </w:pPr>
    <w:rPr>
      <w:rFonts w:cs="Times New Roman"/>
      <w:b/>
      <w:color w:val="auto"/>
      <w:szCs w:val="20"/>
    </w:rPr>
  </w:style>
  <w:style w:type="paragraph" w:customStyle="1" w:styleId="3918">
    <w:name w:val="样式 表内小5 + 黑体 加粗 倾斜 下划线3"/>
    <w:basedOn w:val="1"/>
    <w:autoRedefine/>
    <w:qFormat/>
    <w:uiPriority w:val="0"/>
    <w:pPr>
      <w:adjustRightInd w:val="0"/>
      <w:snapToGrid w:val="0"/>
      <w:spacing w:line="300" w:lineRule="auto"/>
      <w:jc w:val="left"/>
    </w:pPr>
    <w:rPr>
      <w:rFonts w:ascii="黑体" w:hAnsi="黑体" w:eastAsia="黑体"/>
      <w:b/>
      <w:bCs/>
      <w:i/>
      <w:iCs/>
      <w:sz w:val="18"/>
      <w:u w:val="single"/>
    </w:rPr>
  </w:style>
  <w:style w:type="paragraph" w:customStyle="1" w:styleId="3919">
    <w:name w:val="Char Char Char Char Char Char Char1311"/>
    <w:basedOn w:val="1"/>
    <w:autoRedefine/>
    <w:qFormat/>
    <w:uiPriority w:val="0"/>
  </w:style>
  <w:style w:type="paragraph" w:customStyle="1" w:styleId="3920">
    <w:name w:val="表格内字体512"/>
    <w:basedOn w:val="418"/>
    <w:next w:val="418"/>
    <w:autoRedefine/>
    <w:qFormat/>
    <w:uiPriority w:val="0"/>
    <w:pPr>
      <w:adjustRightInd w:val="0"/>
      <w:snapToGrid w:val="0"/>
      <w:spacing w:line="240" w:lineRule="auto"/>
      <w:ind w:firstLine="0"/>
    </w:pPr>
    <w:rPr>
      <w:rFonts w:ascii="宋体" w:hAnsi="宋体"/>
      <w:b w:val="0"/>
      <w:spacing w:val="0"/>
      <w:szCs w:val="24"/>
    </w:rPr>
  </w:style>
  <w:style w:type="paragraph" w:customStyle="1" w:styleId="3921">
    <w:name w:val="表32"/>
    <w:basedOn w:val="1"/>
    <w:autoRedefine/>
    <w:qFormat/>
    <w:uiPriority w:val="0"/>
    <w:pPr>
      <w:adjustRightInd w:val="0"/>
      <w:snapToGrid w:val="0"/>
      <w:jc w:val="center"/>
    </w:pPr>
    <w:rPr>
      <w:rFonts w:eastAsia="仿宋_GB2312"/>
      <w:sz w:val="24"/>
    </w:rPr>
  </w:style>
  <w:style w:type="paragraph" w:customStyle="1" w:styleId="3922">
    <w:name w:val="黑体三号312"/>
    <w:basedOn w:val="418"/>
    <w:autoRedefine/>
    <w:qFormat/>
    <w:uiPriority w:val="0"/>
    <w:pPr>
      <w:jc w:val="center"/>
    </w:pPr>
    <w:rPr>
      <w:rFonts w:ascii="黑体" w:hAnsi="宋体" w:eastAsia="黑体" w:cs="宋体"/>
      <w:bCs/>
      <w:spacing w:val="0"/>
      <w:sz w:val="32"/>
    </w:rPr>
  </w:style>
  <w:style w:type="paragraph" w:customStyle="1" w:styleId="3923">
    <w:name w:val="表格内字体71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924">
    <w:name w:val="Char93"/>
    <w:basedOn w:val="1"/>
    <w:autoRedefine/>
    <w:qFormat/>
    <w:uiPriority w:val="0"/>
    <w:pPr>
      <w:ind w:left="-48"/>
    </w:pPr>
  </w:style>
  <w:style w:type="paragraph" w:customStyle="1" w:styleId="3925">
    <w:name w:val="表内宋51112"/>
    <w:basedOn w:val="81"/>
    <w:autoRedefine/>
    <w:qFormat/>
    <w:uiPriority w:val="0"/>
    <w:pPr>
      <w:adjustRightInd w:val="0"/>
      <w:snapToGrid w:val="0"/>
      <w:spacing w:before="0" w:beforeAutospacing="0" w:after="0" w:afterAutospacing="0"/>
      <w:jc w:val="both"/>
    </w:pPr>
    <w:rPr>
      <w:rFonts w:cs="宋体"/>
      <w:color w:val="000000"/>
      <w:sz w:val="21"/>
      <w:szCs w:val="24"/>
      <w:lang w:val="en-US"/>
    </w:rPr>
  </w:style>
  <w:style w:type="paragraph" w:customStyle="1" w:styleId="3926">
    <w:name w:val="表格内字体10"/>
    <w:basedOn w:val="418"/>
    <w:next w:val="418"/>
    <w:autoRedefine/>
    <w:qFormat/>
    <w:uiPriority w:val="0"/>
    <w:pPr>
      <w:spacing w:line="240" w:lineRule="auto"/>
      <w:ind w:firstLine="0"/>
      <w:jc w:val="center"/>
    </w:pPr>
    <w:rPr>
      <w:rFonts w:ascii="宋体" w:hAnsi="宋体"/>
      <w:b w:val="0"/>
      <w:spacing w:val="0"/>
      <w:szCs w:val="21"/>
    </w:rPr>
  </w:style>
  <w:style w:type="paragraph" w:customStyle="1" w:styleId="3927">
    <w:name w:val="Char Char Char Char Char Char Char23"/>
    <w:basedOn w:val="1"/>
    <w:autoRedefine/>
    <w:qFormat/>
    <w:uiPriority w:val="0"/>
  </w:style>
  <w:style w:type="paragraph" w:customStyle="1" w:styleId="3928">
    <w:name w:val="默认段落字体 Para Char Char Char Char312"/>
    <w:basedOn w:val="1"/>
    <w:autoRedefine/>
    <w:qFormat/>
    <w:uiPriority w:val="0"/>
  </w:style>
  <w:style w:type="paragraph" w:customStyle="1" w:styleId="3929">
    <w:name w:val="燕山正文116"/>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3930">
    <w:name w:val="标题4122"/>
    <w:basedOn w:val="6"/>
    <w:next w:val="1"/>
    <w:autoRedefine/>
    <w:qFormat/>
    <w:uiPriority w:val="0"/>
    <w:pPr>
      <w:spacing w:before="160" w:after="170" w:line="360" w:lineRule="auto"/>
      <w:ind w:left="0" w:firstLine="0"/>
    </w:pPr>
    <w:rPr>
      <w:rFonts w:ascii="黑体"/>
      <w:sz w:val="24"/>
    </w:rPr>
  </w:style>
  <w:style w:type="paragraph" w:customStyle="1" w:styleId="3931">
    <w:name w:val="表题3132"/>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932">
    <w:name w:val="Char172"/>
    <w:basedOn w:val="1"/>
    <w:autoRedefine/>
    <w:qFormat/>
    <w:uiPriority w:val="0"/>
    <w:pPr>
      <w:ind w:left="-48"/>
    </w:pPr>
  </w:style>
  <w:style w:type="paragraph" w:customStyle="1" w:styleId="3933">
    <w:name w:val="正文格式14"/>
    <w:basedOn w:val="1"/>
    <w:autoRedefine/>
    <w:qFormat/>
    <w:uiPriority w:val="0"/>
    <w:pPr>
      <w:spacing w:line="360" w:lineRule="auto"/>
      <w:ind w:firstLine="482"/>
    </w:pPr>
    <w:rPr>
      <w:rFonts w:ascii="宋体" w:hAnsi="宋体"/>
      <w:sz w:val="24"/>
    </w:rPr>
  </w:style>
  <w:style w:type="paragraph" w:customStyle="1" w:styleId="3934">
    <w:name w:val="环评正文12"/>
    <w:autoRedefine/>
    <w:qFormat/>
    <w:uiPriority w:val="0"/>
    <w:pPr>
      <w:spacing w:line="440" w:lineRule="exact"/>
      <w:ind w:firstLine="200" w:firstLineChars="200"/>
    </w:pPr>
    <w:rPr>
      <w:rFonts w:ascii="Times New Roman" w:hAnsi="Times New Roman" w:eastAsia="宋体" w:cs="Times New Roman"/>
      <w:bCs/>
      <w:kern w:val="2"/>
      <w:sz w:val="24"/>
      <w:szCs w:val="24"/>
      <w:lang w:val="en-US" w:eastAsia="zh-CN" w:bidi="ar-SA"/>
    </w:rPr>
  </w:style>
  <w:style w:type="paragraph" w:customStyle="1" w:styleId="3935">
    <w:name w:val="正文修改8"/>
    <w:basedOn w:val="193"/>
    <w:autoRedefine/>
    <w:qFormat/>
    <w:uiPriority w:val="0"/>
    <w:rPr>
      <w:rFonts w:hAnsi="宋体"/>
      <w:color w:val="000000"/>
    </w:rPr>
  </w:style>
  <w:style w:type="paragraph" w:customStyle="1" w:styleId="3936">
    <w:name w:val="表6"/>
    <w:basedOn w:val="1"/>
    <w:autoRedefine/>
    <w:qFormat/>
    <w:uiPriority w:val="0"/>
    <w:pPr>
      <w:adjustRightInd w:val="0"/>
      <w:snapToGrid w:val="0"/>
      <w:jc w:val="center"/>
    </w:pPr>
    <w:rPr>
      <w:rFonts w:eastAsia="仿宋_GB2312"/>
      <w:sz w:val="24"/>
    </w:rPr>
  </w:style>
  <w:style w:type="paragraph" w:customStyle="1" w:styleId="3937">
    <w:name w:val="表题143"/>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938">
    <w:name w:val="表内文字小26"/>
    <w:basedOn w:val="1"/>
    <w:autoRedefine/>
    <w:qFormat/>
    <w:uiPriority w:val="0"/>
    <w:pPr>
      <w:adjustRightInd w:val="0"/>
      <w:snapToGrid w:val="0"/>
      <w:jc w:val="center"/>
    </w:pPr>
    <w:rPr>
      <w:rFonts w:ascii="宋体" w:hAnsi="Times"/>
      <w:bCs/>
      <w:color w:val="000000"/>
      <w:szCs w:val="20"/>
    </w:rPr>
  </w:style>
  <w:style w:type="paragraph" w:customStyle="1" w:styleId="3939">
    <w:name w:val="表题2112"/>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3940">
    <w:name w:val="图题61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941">
    <w:name w:val="表内宋5中112"/>
    <w:basedOn w:val="1"/>
    <w:autoRedefine/>
    <w:qFormat/>
    <w:uiPriority w:val="0"/>
    <w:pPr>
      <w:adjustRightInd w:val="0"/>
      <w:snapToGrid w:val="0"/>
      <w:jc w:val="center"/>
      <w:textAlignment w:val="baseline"/>
    </w:pPr>
    <w:rPr>
      <w:rFonts w:ascii="宋体" w:hAnsi="宋体" w:cs="宋体"/>
      <w:kern w:val="0"/>
      <w:szCs w:val="20"/>
    </w:rPr>
  </w:style>
  <w:style w:type="paragraph" w:customStyle="1" w:styleId="3942">
    <w:name w:val="表题1412"/>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3943">
    <w:name w:val="表7"/>
    <w:basedOn w:val="1"/>
    <w:autoRedefine/>
    <w:qFormat/>
    <w:uiPriority w:val="0"/>
    <w:pPr>
      <w:adjustRightInd w:val="0"/>
      <w:snapToGrid w:val="0"/>
      <w:jc w:val="center"/>
    </w:pPr>
    <w:rPr>
      <w:rFonts w:eastAsia="仿宋_GB2312"/>
      <w:sz w:val="24"/>
    </w:rPr>
  </w:style>
  <w:style w:type="paragraph" w:customStyle="1" w:styleId="3944">
    <w:name w:val="正文格式612"/>
    <w:basedOn w:val="1"/>
    <w:autoRedefine/>
    <w:qFormat/>
    <w:uiPriority w:val="0"/>
    <w:pPr>
      <w:spacing w:line="360" w:lineRule="auto"/>
      <w:ind w:firstLine="482"/>
    </w:pPr>
    <w:rPr>
      <w:rFonts w:ascii="宋体" w:hAnsi="宋体"/>
      <w:sz w:val="24"/>
    </w:rPr>
  </w:style>
  <w:style w:type="paragraph" w:customStyle="1" w:styleId="3945">
    <w:name w:val="表内文字小82"/>
    <w:basedOn w:val="1"/>
    <w:autoRedefine/>
    <w:qFormat/>
    <w:uiPriority w:val="0"/>
    <w:pPr>
      <w:adjustRightInd w:val="0"/>
      <w:snapToGrid w:val="0"/>
      <w:jc w:val="center"/>
    </w:pPr>
    <w:rPr>
      <w:rFonts w:ascii="宋体" w:hAnsi="Times" w:cs="宋体"/>
      <w:szCs w:val="20"/>
    </w:rPr>
  </w:style>
  <w:style w:type="paragraph" w:customStyle="1" w:styleId="3946">
    <w:name w:val="图题15"/>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947">
    <w:name w:val="正文格式712"/>
    <w:basedOn w:val="1"/>
    <w:autoRedefine/>
    <w:qFormat/>
    <w:uiPriority w:val="0"/>
    <w:pPr>
      <w:spacing w:line="360" w:lineRule="auto"/>
      <w:ind w:firstLine="482"/>
    </w:pPr>
    <w:rPr>
      <w:rFonts w:ascii="宋体" w:hAnsi="宋体"/>
      <w:sz w:val="24"/>
    </w:rPr>
  </w:style>
  <w:style w:type="paragraph" w:customStyle="1" w:styleId="3948">
    <w:name w:val="Char Char Char Char Char Char Char110"/>
    <w:basedOn w:val="1"/>
    <w:autoRedefine/>
    <w:qFormat/>
    <w:uiPriority w:val="0"/>
  </w:style>
  <w:style w:type="paragraph" w:customStyle="1" w:styleId="3949">
    <w:name w:val="Default2"/>
    <w:autoRedefine/>
    <w:qFormat/>
    <w:uiPriority w:val="0"/>
    <w:pPr>
      <w:widowControl w:val="0"/>
      <w:autoSpaceDE w:val="0"/>
      <w:autoSpaceDN w:val="0"/>
      <w:adjustRightInd w:val="0"/>
    </w:pPr>
    <w:rPr>
      <w:rFonts w:ascii="宋体" w:hAnsi="Times New Roman" w:eastAsia="宋体" w:cs="Times New Roman"/>
      <w:color w:val="000000"/>
      <w:sz w:val="24"/>
      <w:szCs w:val="24"/>
      <w:lang w:val="en-US" w:eastAsia="zh-CN" w:bidi="ar-SA"/>
    </w:rPr>
  </w:style>
  <w:style w:type="paragraph" w:customStyle="1" w:styleId="3950">
    <w:name w:val="Fax Header12"/>
    <w:basedOn w:val="1"/>
    <w:autoRedefine/>
    <w:qFormat/>
    <w:uiPriority w:val="0"/>
    <w:pPr>
      <w:widowControl/>
      <w:spacing w:before="240" w:after="60"/>
      <w:jc w:val="left"/>
    </w:pPr>
    <w:rPr>
      <w:kern w:val="0"/>
      <w:sz w:val="20"/>
      <w:szCs w:val="20"/>
    </w:rPr>
  </w:style>
  <w:style w:type="paragraph" w:customStyle="1" w:styleId="3951">
    <w:name w:val="燕山正文1114"/>
    <w:basedOn w:val="1"/>
    <w:autoRedefine/>
    <w:qFormat/>
    <w:uiPriority w:val="0"/>
    <w:pPr>
      <w:tabs>
        <w:tab w:val="left" w:pos="4680"/>
      </w:tabs>
      <w:adjustRightInd w:val="0"/>
      <w:snapToGrid w:val="0"/>
      <w:spacing w:line="480" w:lineRule="exact"/>
    </w:pPr>
    <w:rPr>
      <w:rFonts w:ascii="宋体" w:hAnsi="宋体" w:cs="宋体"/>
      <w:bCs/>
      <w:color w:val="000000"/>
      <w:sz w:val="24"/>
    </w:rPr>
  </w:style>
  <w:style w:type="paragraph" w:customStyle="1" w:styleId="3952">
    <w:name w:val="正文格式＝9"/>
    <w:basedOn w:val="418"/>
    <w:next w:val="418"/>
    <w:autoRedefine/>
    <w:qFormat/>
    <w:uiPriority w:val="0"/>
    <w:rPr>
      <w:rFonts w:ascii="宋体" w:hAnsi="宋体"/>
      <w:b w:val="0"/>
      <w:spacing w:val="0"/>
      <w:sz w:val="24"/>
      <w:szCs w:val="24"/>
    </w:rPr>
  </w:style>
  <w:style w:type="paragraph" w:customStyle="1" w:styleId="3953">
    <w:name w:val="正文格式＝52"/>
    <w:basedOn w:val="418"/>
    <w:next w:val="418"/>
    <w:autoRedefine/>
    <w:qFormat/>
    <w:uiPriority w:val="0"/>
    <w:rPr>
      <w:rFonts w:ascii="宋体" w:hAnsi="宋体"/>
      <w:b w:val="0"/>
      <w:spacing w:val="0"/>
      <w:sz w:val="24"/>
      <w:szCs w:val="24"/>
    </w:rPr>
  </w:style>
  <w:style w:type="paragraph" w:customStyle="1" w:styleId="3954">
    <w:name w:val="表格内字体62"/>
    <w:basedOn w:val="418"/>
    <w:next w:val="418"/>
    <w:autoRedefine/>
    <w:qFormat/>
    <w:uiPriority w:val="0"/>
    <w:pPr>
      <w:spacing w:line="240" w:lineRule="auto"/>
      <w:ind w:firstLine="0"/>
      <w:jc w:val="center"/>
    </w:pPr>
    <w:rPr>
      <w:rFonts w:ascii="宋体" w:hAnsi="宋体"/>
      <w:b w:val="0"/>
      <w:spacing w:val="0"/>
      <w:szCs w:val="24"/>
    </w:rPr>
  </w:style>
  <w:style w:type="paragraph" w:customStyle="1" w:styleId="3955">
    <w:name w:val="表题14112"/>
    <w:basedOn w:val="1"/>
    <w:autoRedefine/>
    <w:qFormat/>
    <w:uiPriority w:val="0"/>
    <w:pPr>
      <w:widowControl/>
      <w:adjustRightInd w:val="0"/>
      <w:snapToGrid w:val="0"/>
      <w:jc w:val="center"/>
    </w:pPr>
    <w:rPr>
      <w:rFonts w:ascii="黑体" w:hAnsi="宋体" w:eastAsia="黑体" w:cs="宋体"/>
      <w:kern w:val="0"/>
      <w:sz w:val="24"/>
    </w:rPr>
  </w:style>
  <w:style w:type="paragraph" w:customStyle="1" w:styleId="3956">
    <w:name w:val="默认段落字体 Para Char Char Char Char42"/>
    <w:basedOn w:val="1"/>
    <w:autoRedefine/>
    <w:qFormat/>
    <w:uiPriority w:val="0"/>
  </w:style>
  <w:style w:type="paragraph" w:customStyle="1" w:styleId="3957">
    <w:name w:val="表格内容12"/>
    <w:autoRedefine/>
    <w:qFormat/>
    <w:uiPriority w:val="0"/>
    <w:pPr>
      <w:jc w:val="center"/>
    </w:pPr>
    <w:rPr>
      <w:rFonts w:ascii="Times New Roman" w:hAnsi="Times New Roman" w:eastAsia="宋体" w:cs="Times New Roman"/>
      <w:kern w:val="2"/>
      <w:sz w:val="21"/>
      <w:szCs w:val="21"/>
      <w:lang w:val="en-US" w:eastAsia="zh-CN" w:bidi="ar-SA"/>
    </w:rPr>
  </w:style>
  <w:style w:type="paragraph" w:customStyle="1" w:styleId="3958">
    <w:name w:val="图题注2"/>
    <w:basedOn w:val="22"/>
    <w:autoRedefine/>
    <w:qFormat/>
    <w:uiPriority w:val="0"/>
    <w:pPr>
      <w:widowControl w:val="0"/>
      <w:spacing w:after="0" w:line="240" w:lineRule="auto"/>
      <w:ind w:left="0" w:right="0" w:firstLine="0"/>
      <w:jc w:val="center"/>
    </w:pPr>
    <w:rPr>
      <w:rFonts w:ascii="黑体" w:hAnsi="Arial" w:cs="宋体"/>
      <w:b/>
      <w:bCs/>
      <w:color w:val="auto"/>
      <w:sz w:val="24"/>
      <w:szCs w:val="24"/>
    </w:rPr>
  </w:style>
  <w:style w:type="paragraph" w:customStyle="1" w:styleId="3959">
    <w:name w:val="正文格式822"/>
    <w:basedOn w:val="1"/>
    <w:autoRedefine/>
    <w:qFormat/>
    <w:uiPriority w:val="0"/>
    <w:pPr>
      <w:spacing w:line="360" w:lineRule="auto"/>
      <w:ind w:firstLine="482"/>
    </w:pPr>
    <w:rPr>
      <w:rFonts w:ascii="宋体" w:hAnsi="宋体"/>
      <w:sz w:val="24"/>
    </w:rPr>
  </w:style>
  <w:style w:type="paragraph" w:customStyle="1" w:styleId="3960">
    <w:name w:val="正文24"/>
    <w:autoRedefine/>
    <w:qFormat/>
    <w:uiPriority w:val="0"/>
    <w:pPr>
      <w:adjustRightInd w:val="0"/>
      <w:snapToGrid w:val="0"/>
      <w:spacing w:line="480" w:lineRule="atLeast"/>
      <w:jc w:val="center"/>
    </w:pPr>
    <w:rPr>
      <w:rFonts w:ascii="宋体" w:hAnsi="Times New Roman" w:eastAsia="宋体" w:cs="Times New Roman"/>
      <w:snapToGrid w:val="0"/>
      <w:spacing w:val="6"/>
      <w:sz w:val="21"/>
      <w:lang w:val="en-US" w:eastAsia="zh-CN" w:bidi="ar-SA"/>
    </w:rPr>
  </w:style>
  <w:style w:type="paragraph" w:customStyle="1" w:styleId="3961">
    <w:name w:val="默认段落字体 Para Char412"/>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3962">
    <w:name w:val="Char72"/>
    <w:basedOn w:val="1"/>
    <w:autoRedefine/>
    <w:qFormat/>
    <w:uiPriority w:val="0"/>
    <w:pPr>
      <w:ind w:left="-48"/>
    </w:pPr>
  </w:style>
  <w:style w:type="paragraph" w:customStyle="1" w:styleId="3963">
    <w:name w:val="表格内字体112"/>
    <w:basedOn w:val="418"/>
    <w:autoRedefine/>
    <w:qFormat/>
    <w:uiPriority w:val="0"/>
    <w:pPr>
      <w:spacing w:line="240" w:lineRule="auto"/>
      <w:ind w:firstLine="0"/>
      <w:jc w:val="center"/>
    </w:pPr>
    <w:rPr>
      <w:rFonts w:ascii="宋体" w:hAnsi="Times New Roman" w:cs="宋体"/>
      <w:b w:val="0"/>
      <w:spacing w:val="0"/>
    </w:rPr>
  </w:style>
  <w:style w:type="paragraph" w:customStyle="1" w:styleId="3964">
    <w:name w:val="Char Char Char Char Char Char Char132"/>
    <w:basedOn w:val="1"/>
    <w:autoRedefine/>
    <w:qFormat/>
    <w:uiPriority w:val="0"/>
  </w:style>
  <w:style w:type="paragraph" w:customStyle="1" w:styleId="3965">
    <w:name w:val="表中文字42"/>
    <w:basedOn w:val="1"/>
    <w:autoRedefine/>
    <w:qFormat/>
    <w:uiPriority w:val="0"/>
    <w:pPr>
      <w:snapToGrid w:val="0"/>
      <w:spacing w:line="340" w:lineRule="exact"/>
      <w:ind w:firstLine="480" w:firstLineChars="200"/>
      <w:jc w:val="center"/>
    </w:pPr>
    <w:rPr>
      <w:rFonts w:ascii="Arial" w:hAnsi="Arial"/>
      <w:kern w:val="0"/>
      <w:sz w:val="20"/>
      <w:lang w:eastAsia="zh-TW"/>
    </w:rPr>
  </w:style>
  <w:style w:type="paragraph" w:customStyle="1" w:styleId="3966">
    <w:name w:val="表内512"/>
    <w:basedOn w:val="1"/>
    <w:autoRedefine/>
    <w:qFormat/>
    <w:uiPriority w:val="0"/>
    <w:pPr>
      <w:adjustRightInd w:val="0"/>
      <w:snapToGrid w:val="0"/>
      <w:jc w:val="center"/>
    </w:pPr>
    <w:rPr>
      <w:rFonts w:ascii="宋体" w:hAnsi="宋体"/>
      <w:kern w:val="0"/>
      <w:sz w:val="20"/>
      <w:szCs w:val="20"/>
    </w:rPr>
  </w:style>
  <w:style w:type="paragraph" w:customStyle="1" w:styleId="3967">
    <w:name w:val="Char Char Char Char Char Char Char52"/>
    <w:basedOn w:val="1"/>
    <w:autoRedefine/>
    <w:qFormat/>
    <w:uiPriority w:val="0"/>
  </w:style>
  <w:style w:type="paragraph" w:customStyle="1" w:styleId="3968">
    <w:name w:val="样式 样式 宋体 + 首行缩进:  2 字符12"/>
    <w:basedOn w:val="1"/>
    <w:autoRedefine/>
    <w:qFormat/>
    <w:uiPriority w:val="0"/>
    <w:pPr>
      <w:spacing w:line="360" w:lineRule="auto"/>
      <w:ind w:firstLine="480" w:firstLineChars="200"/>
      <w:jc w:val="left"/>
    </w:pPr>
    <w:rPr>
      <w:rFonts w:ascii="宋体" w:cs="宋体"/>
      <w:sz w:val="24"/>
    </w:rPr>
  </w:style>
  <w:style w:type="paragraph" w:customStyle="1" w:styleId="3969">
    <w:name w:val="Char432"/>
    <w:basedOn w:val="1"/>
    <w:autoRedefine/>
    <w:qFormat/>
    <w:uiPriority w:val="0"/>
    <w:pPr>
      <w:ind w:left="-48"/>
    </w:pPr>
  </w:style>
  <w:style w:type="paragraph" w:customStyle="1" w:styleId="3970">
    <w:name w:val="xl632"/>
    <w:basedOn w:val="1"/>
    <w:autoRedefine/>
    <w:qFormat/>
    <w:uiPriority w:val="0"/>
    <w:pPr>
      <w:widowControl/>
      <w:spacing w:before="100" w:beforeAutospacing="1" w:after="100" w:afterAutospacing="1"/>
      <w:jc w:val="center"/>
      <w:textAlignment w:val="center"/>
    </w:pPr>
    <w:rPr>
      <w:rFonts w:hint="eastAsia" w:ascii="黑体" w:hAnsi="宋体" w:eastAsia="黑体"/>
      <w:kern w:val="0"/>
      <w:sz w:val="24"/>
    </w:rPr>
  </w:style>
  <w:style w:type="paragraph" w:customStyle="1" w:styleId="3971">
    <w:name w:val="正文修改412"/>
    <w:basedOn w:val="193"/>
    <w:autoRedefine/>
    <w:qFormat/>
    <w:uiPriority w:val="0"/>
    <w:rPr>
      <w:rFonts w:hAnsi="宋体"/>
      <w:color w:val="000000"/>
    </w:rPr>
  </w:style>
  <w:style w:type="paragraph" w:customStyle="1" w:styleId="3972">
    <w:name w:val="标准2"/>
    <w:basedOn w:val="1"/>
    <w:autoRedefine/>
    <w:qFormat/>
    <w:uiPriority w:val="0"/>
    <w:pPr>
      <w:adjustRightInd w:val="0"/>
      <w:spacing w:before="120" w:line="336" w:lineRule="auto"/>
      <w:jc w:val="center"/>
      <w:textAlignment w:val="baseline"/>
    </w:pPr>
    <w:rPr>
      <w:rFonts w:ascii="黑体" w:eastAsia="黑体"/>
      <w:szCs w:val="20"/>
    </w:rPr>
  </w:style>
  <w:style w:type="paragraph" w:customStyle="1" w:styleId="3973">
    <w:name w:val="Fax Header2"/>
    <w:basedOn w:val="1"/>
    <w:autoRedefine/>
    <w:qFormat/>
    <w:uiPriority w:val="0"/>
    <w:pPr>
      <w:widowControl/>
      <w:spacing w:before="240" w:after="60"/>
      <w:jc w:val="left"/>
    </w:pPr>
    <w:rPr>
      <w:kern w:val="0"/>
      <w:sz w:val="20"/>
      <w:szCs w:val="20"/>
    </w:rPr>
  </w:style>
  <w:style w:type="paragraph" w:customStyle="1" w:styleId="3974">
    <w:name w:val="图题71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975">
    <w:name w:val="Char82"/>
    <w:basedOn w:val="1"/>
    <w:autoRedefine/>
    <w:qFormat/>
    <w:uiPriority w:val="0"/>
    <w:pPr>
      <w:ind w:left="-48"/>
    </w:pPr>
  </w:style>
  <w:style w:type="paragraph" w:customStyle="1" w:styleId="3976">
    <w:name w:val="表内541412"/>
    <w:basedOn w:val="1"/>
    <w:autoRedefine/>
    <w:qFormat/>
    <w:uiPriority w:val="0"/>
    <w:pPr>
      <w:adjustRightInd w:val="0"/>
      <w:snapToGrid w:val="0"/>
      <w:spacing w:line="300" w:lineRule="auto"/>
      <w:jc w:val="center"/>
    </w:pPr>
    <w:rPr>
      <w:rFonts w:ascii="宋体" w:hAnsi="宋体" w:cs="宋体"/>
      <w:szCs w:val="20"/>
    </w:rPr>
  </w:style>
  <w:style w:type="paragraph" w:customStyle="1" w:styleId="3977">
    <w:name w:val="图题7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3978">
    <w:name w:val="表中文字52"/>
    <w:basedOn w:val="1"/>
    <w:autoRedefine/>
    <w:qFormat/>
    <w:uiPriority w:val="0"/>
    <w:pPr>
      <w:widowControl/>
      <w:spacing w:line="240" w:lineRule="atLeast"/>
      <w:ind w:left="-24" w:leftChars="-10" w:right="-48" w:rightChars="-20"/>
      <w:jc w:val="center"/>
    </w:pPr>
    <w:rPr>
      <w:rFonts w:ascii="宋体"/>
      <w:kern w:val="0"/>
      <w:szCs w:val="21"/>
    </w:rPr>
  </w:style>
  <w:style w:type="paragraph" w:customStyle="1" w:styleId="3979">
    <w:name w:val="表内小5中2"/>
    <w:basedOn w:val="1"/>
    <w:autoRedefine/>
    <w:qFormat/>
    <w:uiPriority w:val="0"/>
    <w:pPr>
      <w:adjustRightInd w:val="0"/>
      <w:snapToGrid w:val="0"/>
      <w:jc w:val="center"/>
    </w:pPr>
    <w:rPr>
      <w:rFonts w:ascii="宋体" w:hAnsi="宋体"/>
      <w:sz w:val="18"/>
      <w:szCs w:val="20"/>
    </w:rPr>
  </w:style>
  <w:style w:type="paragraph" w:customStyle="1" w:styleId="3980">
    <w:name w:val="正文格式83"/>
    <w:basedOn w:val="1"/>
    <w:autoRedefine/>
    <w:qFormat/>
    <w:uiPriority w:val="0"/>
    <w:pPr>
      <w:spacing w:line="360" w:lineRule="auto"/>
      <w:ind w:firstLine="482"/>
    </w:pPr>
    <w:rPr>
      <w:rFonts w:ascii="宋体" w:hAnsi="宋体"/>
      <w:sz w:val="24"/>
    </w:rPr>
  </w:style>
  <w:style w:type="paragraph" w:customStyle="1" w:styleId="3981">
    <w:name w:val="表题19"/>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3982">
    <w:name w:val="文本框22"/>
    <w:basedOn w:val="1"/>
    <w:autoRedefine/>
    <w:qFormat/>
    <w:uiPriority w:val="0"/>
    <w:pPr>
      <w:adjustRightInd w:val="0"/>
      <w:snapToGrid w:val="0"/>
      <w:spacing w:after="6"/>
      <w:jc w:val="center"/>
    </w:pPr>
    <w:rPr>
      <w:rFonts w:eastAsia="仿宋_GB2312"/>
    </w:rPr>
  </w:style>
  <w:style w:type="paragraph" w:customStyle="1" w:styleId="3983">
    <w:name w:val="正文格式92"/>
    <w:basedOn w:val="1"/>
    <w:autoRedefine/>
    <w:qFormat/>
    <w:uiPriority w:val="0"/>
    <w:pPr>
      <w:spacing w:line="360" w:lineRule="auto"/>
      <w:ind w:firstLine="482"/>
    </w:pPr>
    <w:rPr>
      <w:rFonts w:ascii="宋体" w:hAnsi="宋体"/>
      <w:sz w:val="24"/>
    </w:rPr>
  </w:style>
  <w:style w:type="paragraph" w:customStyle="1" w:styleId="3984">
    <w:name w:val="表题912"/>
    <w:basedOn w:val="45"/>
    <w:autoRedefine/>
    <w:qFormat/>
    <w:uiPriority w:val="0"/>
    <w:pPr>
      <w:adjustRightInd w:val="0"/>
      <w:snapToGrid w:val="0"/>
      <w:spacing w:line="300" w:lineRule="auto"/>
      <w:jc w:val="center"/>
    </w:pPr>
    <w:rPr>
      <w:rFonts w:ascii="黑体" w:eastAsia="黑体"/>
      <w:sz w:val="24"/>
      <w:szCs w:val="20"/>
    </w:rPr>
  </w:style>
  <w:style w:type="paragraph" w:customStyle="1" w:styleId="3985">
    <w:name w:val="Char26"/>
    <w:basedOn w:val="1"/>
    <w:autoRedefine/>
    <w:qFormat/>
    <w:uiPriority w:val="0"/>
    <w:pPr>
      <w:ind w:left="-48"/>
    </w:pPr>
  </w:style>
  <w:style w:type="paragraph" w:customStyle="1" w:styleId="3986">
    <w:name w:val="文本框5"/>
    <w:basedOn w:val="1"/>
    <w:autoRedefine/>
    <w:qFormat/>
    <w:uiPriority w:val="0"/>
    <w:pPr>
      <w:adjustRightInd w:val="0"/>
      <w:snapToGrid w:val="0"/>
      <w:spacing w:after="6"/>
      <w:jc w:val="center"/>
    </w:pPr>
    <w:rPr>
      <w:rFonts w:eastAsia="仿宋_GB2312"/>
    </w:rPr>
  </w:style>
  <w:style w:type="paragraph" w:customStyle="1" w:styleId="3987">
    <w:name w:val="表内535"/>
    <w:basedOn w:val="1"/>
    <w:autoRedefine/>
    <w:qFormat/>
    <w:uiPriority w:val="0"/>
    <w:pPr>
      <w:adjustRightInd w:val="0"/>
      <w:snapToGrid w:val="0"/>
      <w:spacing w:line="300" w:lineRule="auto"/>
      <w:jc w:val="left"/>
    </w:pPr>
    <w:rPr>
      <w:rFonts w:ascii="宋体"/>
      <w:szCs w:val="20"/>
    </w:rPr>
  </w:style>
  <w:style w:type="paragraph" w:customStyle="1" w:styleId="3988">
    <w:name w:val="Char Char Char Char Char Char Char20"/>
    <w:basedOn w:val="1"/>
    <w:autoRedefine/>
    <w:qFormat/>
    <w:uiPriority w:val="0"/>
  </w:style>
  <w:style w:type="paragraph" w:customStyle="1" w:styleId="3989">
    <w:name w:val="正文缩3"/>
    <w:basedOn w:val="1"/>
    <w:autoRedefine/>
    <w:qFormat/>
    <w:uiPriority w:val="0"/>
    <w:pPr>
      <w:adjustRightInd w:val="0"/>
      <w:snapToGrid w:val="0"/>
      <w:spacing w:line="480" w:lineRule="atLeast"/>
      <w:ind w:firstLine="567"/>
      <w:textAlignment w:val="baseline"/>
    </w:pPr>
    <w:rPr>
      <w:rFonts w:ascii="宋体"/>
      <w:color w:val="000080"/>
      <w:spacing w:val="6"/>
      <w:kern w:val="0"/>
      <w:sz w:val="28"/>
      <w:szCs w:val="20"/>
    </w:rPr>
  </w:style>
  <w:style w:type="paragraph" w:customStyle="1" w:styleId="3990">
    <w:name w:val="Char29"/>
    <w:basedOn w:val="1"/>
    <w:autoRedefine/>
    <w:qFormat/>
    <w:uiPriority w:val="0"/>
    <w:pPr>
      <w:ind w:left="-48"/>
    </w:pPr>
  </w:style>
  <w:style w:type="paragraph" w:customStyle="1" w:styleId="3991">
    <w:name w:val="燕山正文51"/>
    <w:basedOn w:val="1"/>
    <w:autoRedefine/>
    <w:qFormat/>
    <w:uiPriority w:val="0"/>
    <w:pPr>
      <w:tabs>
        <w:tab w:val="left" w:pos="4680"/>
      </w:tabs>
      <w:adjustRightInd w:val="0"/>
      <w:snapToGrid w:val="0"/>
      <w:spacing w:line="480" w:lineRule="exact"/>
    </w:pPr>
    <w:rPr>
      <w:rFonts w:ascii="宋体" w:cs="宋体"/>
      <w:sz w:val="24"/>
    </w:rPr>
  </w:style>
  <w:style w:type="paragraph" w:customStyle="1" w:styleId="3992">
    <w:name w:val="表内宋54"/>
    <w:basedOn w:val="1719"/>
    <w:autoRedefine/>
    <w:qFormat/>
    <w:uiPriority w:val="0"/>
    <w:pPr>
      <w:widowControl/>
      <w:autoSpaceDE w:val="0"/>
      <w:autoSpaceDN w:val="0"/>
      <w:jc w:val="left"/>
      <w:textAlignment w:val="auto"/>
    </w:pPr>
    <w:rPr>
      <w:color w:val="auto"/>
      <w:w w:val="90"/>
    </w:rPr>
  </w:style>
  <w:style w:type="paragraph" w:customStyle="1" w:styleId="3993">
    <w:name w:val="表题1211"/>
    <w:basedOn w:val="22"/>
    <w:autoRedefine/>
    <w:qFormat/>
    <w:uiPriority w:val="0"/>
    <w:pPr>
      <w:widowControl w:val="0"/>
      <w:spacing w:after="0" w:line="360" w:lineRule="auto"/>
      <w:ind w:left="0" w:right="0" w:firstLine="0"/>
      <w:jc w:val="center"/>
    </w:pPr>
    <w:rPr>
      <w:rFonts w:ascii="黑体" w:hAnsi="Arial" w:cs="Arial"/>
      <w:color w:val="auto"/>
      <w:sz w:val="24"/>
      <w:szCs w:val="24"/>
    </w:rPr>
  </w:style>
  <w:style w:type="paragraph" w:customStyle="1" w:styleId="3994">
    <w:name w:val="表内5中21"/>
    <w:basedOn w:val="1"/>
    <w:autoRedefine/>
    <w:qFormat/>
    <w:uiPriority w:val="0"/>
    <w:pPr>
      <w:adjustRightInd w:val="0"/>
      <w:snapToGrid w:val="0"/>
      <w:jc w:val="center"/>
    </w:pPr>
    <w:rPr>
      <w:rFonts w:ascii="宋体" w:hAnsi="宋体" w:cs="Arial"/>
      <w:snapToGrid w:val="0"/>
      <w:color w:val="000000"/>
      <w:szCs w:val="21"/>
    </w:rPr>
  </w:style>
  <w:style w:type="paragraph" w:customStyle="1" w:styleId="3995">
    <w:name w:val="表题134"/>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3996">
    <w:name w:val="表题3141"/>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3997">
    <w:name w:val="表内文字小2114"/>
    <w:basedOn w:val="1"/>
    <w:autoRedefine/>
    <w:qFormat/>
    <w:uiPriority w:val="0"/>
    <w:pPr>
      <w:adjustRightInd w:val="0"/>
      <w:snapToGrid w:val="0"/>
      <w:jc w:val="center"/>
    </w:pPr>
    <w:rPr>
      <w:rFonts w:ascii="宋体" w:hAnsi="Times"/>
      <w:bCs/>
      <w:color w:val="000000"/>
      <w:szCs w:val="20"/>
    </w:rPr>
  </w:style>
  <w:style w:type="paragraph" w:customStyle="1" w:styleId="3998">
    <w:name w:val="表41"/>
    <w:basedOn w:val="1"/>
    <w:autoRedefine/>
    <w:qFormat/>
    <w:uiPriority w:val="0"/>
    <w:pPr>
      <w:adjustRightInd w:val="0"/>
      <w:snapToGrid w:val="0"/>
      <w:jc w:val="center"/>
    </w:pPr>
    <w:rPr>
      <w:rFonts w:eastAsia="仿宋_GB2312"/>
      <w:sz w:val="24"/>
    </w:rPr>
  </w:style>
  <w:style w:type="paragraph" w:customStyle="1" w:styleId="3999">
    <w:name w:val="样式131"/>
    <w:basedOn w:val="1605"/>
    <w:autoRedefine/>
    <w:qFormat/>
    <w:uiPriority w:val="0"/>
    <w:pPr>
      <w:spacing w:line="240" w:lineRule="auto"/>
      <w:ind w:firstLine="0"/>
      <w:jc w:val="center"/>
    </w:pPr>
    <w:rPr>
      <w:rFonts w:cs="Times New Roman"/>
      <w:b/>
      <w:color w:val="auto"/>
      <w:szCs w:val="20"/>
    </w:rPr>
  </w:style>
  <w:style w:type="paragraph" w:customStyle="1" w:styleId="4000">
    <w:name w:val="首行缩进:  0.99 厘米 + 首行缩进:  2 字符11"/>
    <w:basedOn w:val="1"/>
    <w:autoRedefine/>
    <w:qFormat/>
    <w:uiPriority w:val="0"/>
    <w:pPr>
      <w:widowControl/>
      <w:topLinePunct/>
      <w:spacing w:line="480" w:lineRule="exact"/>
      <w:ind w:firstLine="420" w:firstLineChars="200"/>
      <w:jc w:val="center"/>
    </w:pPr>
    <w:rPr>
      <w:rFonts w:ascii="宋体" w:cs="宋体"/>
      <w:snapToGrid w:val="0"/>
      <w:color w:val="FF0000"/>
      <w:kern w:val="0"/>
      <w:szCs w:val="21"/>
    </w:rPr>
  </w:style>
  <w:style w:type="paragraph" w:customStyle="1" w:styleId="4001">
    <w:name w:val="Char3111"/>
    <w:basedOn w:val="1"/>
    <w:autoRedefine/>
    <w:qFormat/>
    <w:uiPriority w:val="0"/>
    <w:pPr>
      <w:ind w:left="-48"/>
    </w:pPr>
  </w:style>
  <w:style w:type="paragraph" w:customStyle="1" w:styleId="4002">
    <w:name w:val="正文缩11"/>
    <w:basedOn w:val="1"/>
    <w:autoRedefine/>
    <w:qFormat/>
    <w:uiPriority w:val="0"/>
    <w:pPr>
      <w:adjustRightInd w:val="0"/>
      <w:snapToGrid w:val="0"/>
      <w:spacing w:line="480" w:lineRule="atLeast"/>
      <w:ind w:firstLine="567"/>
      <w:textAlignment w:val="baseline"/>
    </w:pPr>
    <w:rPr>
      <w:rFonts w:ascii="宋体"/>
      <w:color w:val="000080"/>
      <w:spacing w:val="6"/>
      <w:kern w:val="0"/>
      <w:sz w:val="28"/>
      <w:szCs w:val="20"/>
    </w:rPr>
  </w:style>
  <w:style w:type="paragraph" w:customStyle="1" w:styleId="4003">
    <w:name w:val="黑体三号14"/>
    <w:basedOn w:val="418"/>
    <w:autoRedefine/>
    <w:qFormat/>
    <w:uiPriority w:val="0"/>
    <w:pPr>
      <w:jc w:val="center"/>
    </w:pPr>
    <w:rPr>
      <w:rFonts w:ascii="黑体" w:hAnsi="宋体" w:eastAsia="黑体" w:cs="宋体"/>
      <w:bCs/>
      <w:spacing w:val="0"/>
      <w:sz w:val="32"/>
    </w:rPr>
  </w:style>
  <w:style w:type="paragraph" w:customStyle="1" w:styleId="4004">
    <w:name w:val="表格内字体2111"/>
    <w:basedOn w:val="418"/>
    <w:next w:val="418"/>
    <w:autoRedefine/>
    <w:qFormat/>
    <w:uiPriority w:val="0"/>
    <w:pPr>
      <w:spacing w:line="240" w:lineRule="auto"/>
      <w:ind w:firstLine="0"/>
      <w:jc w:val="center"/>
    </w:pPr>
    <w:rPr>
      <w:rFonts w:ascii="宋体" w:hAnsi="宋体"/>
      <w:b w:val="0"/>
      <w:spacing w:val="0"/>
      <w:szCs w:val="24"/>
    </w:rPr>
  </w:style>
  <w:style w:type="paragraph" w:customStyle="1" w:styleId="4005">
    <w:name w:val="样式 标题 3 + 段前: 12 磅11"/>
    <w:basedOn w:val="5"/>
    <w:autoRedefine/>
    <w:qFormat/>
    <w:uiPriority w:val="0"/>
    <w:pPr>
      <w:keepNext w:val="0"/>
      <w:keepLines w:val="0"/>
      <w:widowControl/>
      <w:autoSpaceDE w:val="0"/>
      <w:autoSpaceDN w:val="0"/>
      <w:adjustRightInd w:val="0"/>
      <w:snapToGrid w:val="0"/>
      <w:spacing w:before="0" w:after="0" w:line="360" w:lineRule="auto"/>
    </w:pPr>
    <w:rPr>
      <w:rFonts w:ascii="黑体" w:hAnsi="宋体" w:eastAsia="黑体" w:cs="宋体"/>
      <w:b w:val="0"/>
      <w:bCs w:val="0"/>
      <w:color w:val="000000"/>
      <w:kern w:val="21"/>
      <w:sz w:val="24"/>
      <w:szCs w:val="20"/>
      <w:lang w:val="en-US"/>
    </w:rPr>
  </w:style>
  <w:style w:type="paragraph" w:customStyle="1" w:styleId="4006">
    <w:name w:val="表内541311"/>
    <w:basedOn w:val="1"/>
    <w:autoRedefine/>
    <w:qFormat/>
    <w:uiPriority w:val="0"/>
    <w:pPr>
      <w:adjustRightInd w:val="0"/>
      <w:snapToGrid w:val="0"/>
      <w:spacing w:line="300" w:lineRule="auto"/>
      <w:jc w:val="center"/>
    </w:pPr>
    <w:rPr>
      <w:rFonts w:ascii="宋体" w:hAnsi="宋体" w:cs="宋体"/>
      <w:szCs w:val="20"/>
    </w:rPr>
  </w:style>
  <w:style w:type="paragraph" w:customStyle="1" w:styleId="4007">
    <w:name w:val="正文格式221"/>
    <w:basedOn w:val="1"/>
    <w:autoRedefine/>
    <w:qFormat/>
    <w:uiPriority w:val="0"/>
    <w:pPr>
      <w:spacing w:line="360" w:lineRule="auto"/>
      <w:ind w:firstLine="482"/>
    </w:pPr>
    <w:rPr>
      <w:rFonts w:ascii="宋体" w:hAnsi="宋体"/>
      <w:sz w:val="24"/>
    </w:rPr>
  </w:style>
  <w:style w:type="paragraph" w:customStyle="1" w:styleId="4008">
    <w:name w:val="燕山正文121"/>
    <w:basedOn w:val="1"/>
    <w:autoRedefine/>
    <w:qFormat/>
    <w:uiPriority w:val="0"/>
    <w:pPr>
      <w:tabs>
        <w:tab w:val="left" w:pos="4680"/>
      </w:tabs>
      <w:adjustRightInd w:val="0"/>
      <w:snapToGrid w:val="0"/>
      <w:spacing w:line="480" w:lineRule="exact"/>
    </w:pPr>
    <w:rPr>
      <w:rFonts w:ascii="宋体" w:cs="宋体"/>
      <w:sz w:val="24"/>
    </w:rPr>
  </w:style>
  <w:style w:type="paragraph" w:customStyle="1" w:styleId="4009">
    <w:name w:val="表文字5114"/>
    <w:basedOn w:val="1"/>
    <w:autoRedefine/>
    <w:qFormat/>
    <w:uiPriority w:val="0"/>
    <w:pPr>
      <w:adjustRightInd w:val="0"/>
      <w:jc w:val="left"/>
      <w:textAlignment w:val="baseline"/>
    </w:pPr>
    <w:rPr>
      <w:rFonts w:ascii="宋体"/>
      <w:kern w:val="0"/>
      <w:szCs w:val="20"/>
    </w:rPr>
  </w:style>
  <w:style w:type="paragraph" w:customStyle="1" w:styleId="4010">
    <w:name w:val="Char83"/>
    <w:basedOn w:val="1"/>
    <w:autoRedefine/>
    <w:qFormat/>
    <w:uiPriority w:val="0"/>
    <w:pPr>
      <w:ind w:left="-48"/>
    </w:pPr>
  </w:style>
  <w:style w:type="paragraph" w:customStyle="1" w:styleId="4011">
    <w:name w:val="表内小5中3"/>
    <w:basedOn w:val="1"/>
    <w:autoRedefine/>
    <w:qFormat/>
    <w:uiPriority w:val="0"/>
    <w:pPr>
      <w:adjustRightInd w:val="0"/>
      <w:snapToGrid w:val="0"/>
      <w:jc w:val="center"/>
    </w:pPr>
    <w:rPr>
      <w:rFonts w:ascii="宋体" w:hAnsi="宋体"/>
      <w:sz w:val="18"/>
      <w:szCs w:val="20"/>
    </w:rPr>
  </w:style>
  <w:style w:type="paragraph" w:customStyle="1" w:styleId="4012">
    <w:name w:val="表内5中43"/>
    <w:basedOn w:val="1"/>
    <w:autoRedefine/>
    <w:qFormat/>
    <w:uiPriority w:val="0"/>
    <w:pPr>
      <w:adjustRightInd w:val="0"/>
      <w:snapToGrid w:val="0"/>
      <w:jc w:val="center"/>
    </w:pPr>
    <w:rPr>
      <w:rFonts w:ascii="宋体"/>
      <w:bCs/>
      <w:szCs w:val="20"/>
    </w:rPr>
  </w:style>
  <w:style w:type="paragraph" w:customStyle="1" w:styleId="4013">
    <w:name w:val="默认段落字体 Para Char43"/>
    <w:basedOn w:val="1"/>
    <w:next w:val="1"/>
    <w:autoRedefine/>
    <w:qFormat/>
    <w:uiPriority w:val="0"/>
    <w:pPr>
      <w:spacing w:line="480" w:lineRule="exact"/>
      <w:ind w:firstLine="200" w:firstLineChars="200"/>
      <w:jc w:val="left"/>
    </w:pPr>
    <w:rPr>
      <w:rFonts w:ascii="宋体" w:hAnsi="宋体" w:eastAsia="汉鼎简书宋" w:cs="宋体"/>
      <w:sz w:val="28"/>
    </w:rPr>
  </w:style>
  <w:style w:type="paragraph" w:customStyle="1" w:styleId="4014">
    <w:name w:val="燕山正文133"/>
    <w:basedOn w:val="1"/>
    <w:autoRedefine/>
    <w:qFormat/>
    <w:uiPriority w:val="0"/>
    <w:pPr>
      <w:tabs>
        <w:tab w:val="left" w:pos="4680"/>
      </w:tabs>
      <w:adjustRightInd w:val="0"/>
      <w:snapToGrid w:val="0"/>
      <w:spacing w:line="360" w:lineRule="auto"/>
      <w:ind w:firstLine="480" w:firstLineChars="200"/>
    </w:pPr>
    <w:rPr>
      <w:rFonts w:ascii="宋体" w:hAnsi="宋体" w:cs="宋体"/>
      <w:bCs/>
      <w:color w:val="000000"/>
      <w:sz w:val="24"/>
    </w:rPr>
  </w:style>
  <w:style w:type="paragraph" w:customStyle="1" w:styleId="4015">
    <w:name w:val="正文格式93"/>
    <w:basedOn w:val="1"/>
    <w:autoRedefine/>
    <w:qFormat/>
    <w:uiPriority w:val="0"/>
    <w:pPr>
      <w:spacing w:line="360" w:lineRule="auto"/>
      <w:ind w:firstLine="482"/>
    </w:pPr>
    <w:rPr>
      <w:rFonts w:ascii="宋体" w:hAnsi="宋体"/>
      <w:sz w:val="24"/>
    </w:rPr>
  </w:style>
  <w:style w:type="paragraph" w:customStyle="1" w:styleId="4016">
    <w:name w:val="燕山正文52"/>
    <w:basedOn w:val="1"/>
    <w:autoRedefine/>
    <w:qFormat/>
    <w:uiPriority w:val="0"/>
    <w:pPr>
      <w:tabs>
        <w:tab w:val="left" w:pos="4680"/>
      </w:tabs>
      <w:adjustRightInd w:val="0"/>
      <w:snapToGrid w:val="0"/>
      <w:spacing w:line="480" w:lineRule="exact"/>
    </w:pPr>
    <w:rPr>
      <w:rFonts w:ascii="宋体" w:cs="宋体"/>
      <w:sz w:val="24"/>
    </w:rPr>
  </w:style>
  <w:style w:type="paragraph" w:customStyle="1" w:styleId="4017">
    <w:name w:val="样式132"/>
    <w:basedOn w:val="1605"/>
    <w:autoRedefine/>
    <w:qFormat/>
    <w:uiPriority w:val="0"/>
    <w:pPr>
      <w:spacing w:line="240" w:lineRule="auto"/>
      <w:ind w:firstLine="0"/>
      <w:jc w:val="center"/>
    </w:pPr>
    <w:rPr>
      <w:rFonts w:cs="Times New Roman"/>
      <w:b/>
      <w:color w:val="auto"/>
      <w:szCs w:val="20"/>
    </w:rPr>
  </w:style>
  <w:style w:type="paragraph" w:customStyle="1" w:styleId="4018">
    <w:name w:val="图题112"/>
    <w:basedOn w:val="418"/>
    <w:next w:val="418"/>
    <w:autoRedefine/>
    <w:qFormat/>
    <w:uiPriority w:val="0"/>
    <w:pPr>
      <w:ind w:firstLine="0"/>
      <w:jc w:val="center"/>
    </w:pPr>
    <w:rPr>
      <w:rFonts w:ascii="黑体" w:hAnsi="宋体" w:eastAsia="黑体" w:cs="宋体"/>
      <w:bCs/>
      <w:spacing w:val="0"/>
      <w:sz w:val="24"/>
      <w:szCs w:val="24"/>
    </w:rPr>
  </w:style>
  <w:style w:type="paragraph" w:customStyle="1" w:styleId="4019">
    <w:name w:val="Default4"/>
    <w:autoRedefine/>
    <w:qFormat/>
    <w:uiPriority w:val="0"/>
    <w:pPr>
      <w:widowControl w:val="0"/>
      <w:autoSpaceDE w:val="0"/>
      <w:autoSpaceDN w:val="0"/>
      <w:adjustRightInd w:val="0"/>
    </w:pPr>
    <w:rPr>
      <w:rFonts w:ascii="宋体" w:hAnsi="Times New Roman" w:eastAsia="宋体" w:cs="Times New Roman"/>
      <w:color w:val="000000"/>
      <w:sz w:val="24"/>
      <w:szCs w:val="24"/>
      <w:lang w:val="en-US" w:eastAsia="zh-CN" w:bidi="ar-SA"/>
    </w:rPr>
  </w:style>
  <w:style w:type="paragraph" w:customStyle="1" w:styleId="4020">
    <w:name w:val="正文修改112"/>
    <w:basedOn w:val="193"/>
    <w:autoRedefine/>
    <w:qFormat/>
    <w:uiPriority w:val="0"/>
    <w:rPr>
      <w:rFonts w:hAnsi="宋体"/>
      <w:color w:val="000000"/>
    </w:rPr>
  </w:style>
  <w:style w:type="paragraph" w:customStyle="1" w:styleId="4021">
    <w:name w:val="表内5中6"/>
    <w:basedOn w:val="1"/>
    <w:autoRedefine/>
    <w:qFormat/>
    <w:uiPriority w:val="0"/>
    <w:pPr>
      <w:adjustRightInd w:val="0"/>
      <w:snapToGrid w:val="0"/>
      <w:jc w:val="center"/>
    </w:pPr>
    <w:rPr>
      <w:rFonts w:ascii="宋体" w:hAnsi="宋体" w:cs="Arial"/>
      <w:snapToGrid w:val="0"/>
      <w:color w:val="000000"/>
      <w:szCs w:val="21"/>
    </w:rPr>
  </w:style>
  <w:style w:type="paragraph" w:customStyle="1" w:styleId="4022">
    <w:name w:val="表内文字小21212"/>
    <w:basedOn w:val="1"/>
    <w:autoRedefine/>
    <w:qFormat/>
    <w:uiPriority w:val="0"/>
    <w:pPr>
      <w:adjustRightInd w:val="0"/>
      <w:snapToGrid w:val="0"/>
      <w:jc w:val="center"/>
    </w:pPr>
    <w:rPr>
      <w:rFonts w:ascii="宋体" w:hAnsi="Times"/>
      <w:bCs/>
      <w:color w:val="000000"/>
      <w:szCs w:val="20"/>
    </w:rPr>
  </w:style>
  <w:style w:type="paragraph" w:customStyle="1" w:styleId="4023">
    <w:name w:val="表题31212"/>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4024">
    <w:name w:val="环评正文4"/>
    <w:autoRedefine/>
    <w:qFormat/>
    <w:uiPriority w:val="0"/>
    <w:pPr>
      <w:spacing w:line="440" w:lineRule="exact"/>
      <w:ind w:firstLine="200" w:firstLineChars="200"/>
    </w:pPr>
    <w:rPr>
      <w:rFonts w:ascii="Times New Roman" w:hAnsi="Times New Roman" w:eastAsia="宋体" w:cs="Times New Roman"/>
      <w:bCs/>
      <w:kern w:val="2"/>
      <w:sz w:val="24"/>
      <w:szCs w:val="24"/>
      <w:lang w:val="en-US" w:eastAsia="zh-CN" w:bidi="ar-SA"/>
    </w:rPr>
  </w:style>
  <w:style w:type="paragraph" w:customStyle="1" w:styleId="4025">
    <w:name w:val="表文字5212"/>
    <w:basedOn w:val="1"/>
    <w:autoRedefine/>
    <w:qFormat/>
    <w:uiPriority w:val="0"/>
    <w:pPr>
      <w:adjustRightInd w:val="0"/>
      <w:jc w:val="left"/>
      <w:textAlignment w:val="baseline"/>
    </w:pPr>
    <w:rPr>
      <w:rFonts w:ascii="宋体"/>
      <w:kern w:val="0"/>
      <w:szCs w:val="20"/>
    </w:rPr>
  </w:style>
  <w:style w:type="paragraph" w:customStyle="1" w:styleId="4026">
    <w:name w:val="表内53112"/>
    <w:basedOn w:val="1"/>
    <w:autoRedefine/>
    <w:qFormat/>
    <w:uiPriority w:val="0"/>
    <w:pPr>
      <w:adjustRightInd w:val="0"/>
      <w:snapToGrid w:val="0"/>
      <w:spacing w:line="300" w:lineRule="auto"/>
      <w:jc w:val="left"/>
    </w:pPr>
    <w:rPr>
      <w:rFonts w:ascii="宋体"/>
      <w:szCs w:val="20"/>
    </w:rPr>
  </w:style>
  <w:style w:type="paragraph" w:customStyle="1" w:styleId="4027">
    <w:name w:val="表文字51112"/>
    <w:basedOn w:val="1"/>
    <w:autoRedefine/>
    <w:qFormat/>
    <w:uiPriority w:val="0"/>
    <w:pPr>
      <w:adjustRightInd w:val="0"/>
      <w:jc w:val="left"/>
      <w:textAlignment w:val="baseline"/>
    </w:pPr>
    <w:rPr>
      <w:rFonts w:ascii="宋体"/>
      <w:kern w:val="0"/>
      <w:szCs w:val="20"/>
    </w:rPr>
  </w:style>
  <w:style w:type="paragraph" w:customStyle="1" w:styleId="4028">
    <w:name w:val="正文格式512"/>
    <w:basedOn w:val="1"/>
    <w:autoRedefine/>
    <w:qFormat/>
    <w:uiPriority w:val="0"/>
    <w:pPr>
      <w:spacing w:line="360" w:lineRule="auto"/>
      <w:ind w:firstLine="482"/>
    </w:pPr>
    <w:rPr>
      <w:rFonts w:ascii="宋体" w:hAnsi="宋体"/>
      <w:sz w:val="24"/>
    </w:rPr>
  </w:style>
  <w:style w:type="paragraph" w:customStyle="1" w:styleId="4029">
    <w:name w:val="Char322"/>
    <w:basedOn w:val="1"/>
    <w:autoRedefine/>
    <w:qFormat/>
    <w:uiPriority w:val="0"/>
    <w:pPr>
      <w:ind w:left="-48"/>
    </w:pPr>
  </w:style>
  <w:style w:type="paragraph" w:customStyle="1" w:styleId="4030">
    <w:name w:val="燕山正文312"/>
    <w:basedOn w:val="1"/>
    <w:autoRedefine/>
    <w:qFormat/>
    <w:uiPriority w:val="0"/>
    <w:pPr>
      <w:tabs>
        <w:tab w:val="left" w:pos="4680"/>
      </w:tabs>
      <w:adjustRightInd w:val="0"/>
      <w:snapToGrid w:val="0"/>
      <w:spacing w:line="480" w:lineRule="exact"/>
    </w:pPr>
    <w:rPr>
      <w:rFonts w:ascii="宋体" w:cs="宋体"/>
      <w:sz w:val="24"/>
    </w:rPr>
  </w:style>
  <w:style w:type="paragraph" w:customStyle="1" w:styleId="4031">
    <w:name w:val="黑体三号412"/>
    <w:basedOn w:val="418"/>
    <w:autoRedefine/>
    <w:qFormat/>
    <w:uiPriority w:val="0"/>
    <w:pPr>
      <w:jc w:val="center"/>
    </w:pPr>
    <w:rPr>
      <w:rFonts w:ascii="黑体" w:hAnsi="宋体" w:eastAsia="黑体" w:cs="宋体"/>
      <w:bCs/>
      <w:spacing w:val="0"/>
      <w:sz w:val="32"/>
    </w:rPr>
  </w:style>
  <w:style w:type="paragraph" w:customStyle="1" w:styleId="4032">
    <w:name w:val="样式 正文缩进 + 宋体 黑色 首行缩进:  2 字符12"/>
    <w:basedOn w:val="9"/>
    <w:autoRedefine/>
    <w:qFormat/>
    <w:uiPriority w:val="0"/>
    <w:pPr>
      <w:spacing w:line="360" w:lineRule="auto"/>
      <w:ind w:firstLine="480"/>
      <w:jc w:val="left"/>
    </w:pPr>
    <w:rPr>
      <w:rFonts w:ascii="宋体" w:hAnsi="宋体" w:cs="宋体"/>
      <w:color w:val="FF00FF"/>
      <w:kern w:val="0"/>
      <w:sz w:val="24"/>
      <w:szCs w:val="20"/>
      <w:lang w:val="en-US"/>
    </w:rPr>
  </w:style>
  <w:style w:type="paragraph" w:customStyle="1" w:styleId="4033">
    <w:name w:val="表中文字412"/>
    <w:basedOn w:val="1"/>
    <w:autoRedefine/>
    <w:qFormat/>
    <w:uiPriority w:val="0"/>
    <w:pPr>
      <w:snapToGrid w:val="0"/>
      <w:spacing w:line="340" w:lineRule="exact"/>
      <w:ind w:firstLine="480" w:firstLineChars="200"/>
      <w:jc w:val="center"/>
    </w:pPr>
    <w:rPr>
      <w:rFonts w:ascii="Arial" w:hAnsi="Arial"/>
      <w:kern w:val="0"/>
      <w:sz w:val="20"/>
      <w:lang w:eastAsia="zh-TW"/>
    </w:rPr>
  </w:style>
  <w:style w:type="paragraph" w:customStyle="1" w:styleId="4034">
    <w:name w:val="表题1512"/>
    <w:basedOn w:val="22"/>
    <w:autoRedefine/>
    <w:qFormat/>
    <w:uiPriority w:val="0"/>
    <w:pPr>
      <w:widowControl w:val="0"/>
      <w:spacing w:after="0" w:line="360" w:lineRule="auto"/>
      <w:ind w:left="0" w:right="0" w:firstLine="0"/>
      <w:jc w:val="center"/>
    </w:pPr>
    <w:rPr>
      <w:rFonts w:ascii="黑体" w:hAnsi="Arial" w:cs="Arial"/>
      <w:b/>
      <w:color w:val="auto"/>
      <w:sz w:val="24"/>
      <w:szCs w:val="24"/>
    </w:rPr>
  </w:style>
  <w:style w:type="paragraph" w:customStyle="1" w:styleId="4035">
    <w:name w:val="燕山正文412"/>
    <w:basedOn w:val="1"/>
    <w:autoRedefine/>
    <w:qFormat/>
    <w:uiPriority w:val="0"/>
    <w:pPr>
      <w:tabs>
        <w:tab w:val="left" w:pos="4680"/>
      </w:tabs>
      <w:adjustRightInd w:val="0"/>
      <w:snapToGrid w:val="0"/>
      <w:spacing w:line="480" w:lineRule="exact"/>
    </w:pPr>
    <w:rPr>
      <w:rFonts w:ascii="宋体" w:cs="宋体"/>
      <w:sz w:val="24"/>
    </w:rPr>
  </w:style>
  <w:style w:type="paragraph" w:customStyle="1" w:styleId="4036">
    <w:name w:val="Char332"/>
    <w:basedOn w:val="1"/>
    <w:autoRedefine/>
    <w:qFormat/>
    <w:uiPriority w:val="0"/>
    <w:pPr>
      <w:ind w:left="-48"/>
    </w:pPr>
  </w:style>
  <w:style w:type="paragraph" w:customStyle="1" w:styleId="4037">
    <w:name w:val="表内5418"/>
    <w:basedOn w:val="1"/>
    <w:autoRedefine/>
    <w:qFormat/>
    <w:uiPriority w:val="0"/>
    <w:pPr>
      <w:adjustRightInd w:val="0"/>
      <w:snapToGrid w:val="0"/>
      <w:spacing w:line="300" w:lineRule="auto"/>
      <w:jc w:val="center"/>
    </w:pPr>
    <w:rPr>
      <w:rFonts w:ascii="宋体" w:hAnsi="宋体" w:cs="宋体"/>
      <w:szCs w:val="20"/>
    </w:rPr>
  </w:style>
  <w:style w:type="paragraph" w:customStyle="1" w:styleId="4038">
    <w:name w:val="默认段落字体 Para Char Char Char Char9"/>
    <w:basedOn w:val="1"/>
    <w:autoRedefine/>
    <w:qFormat/>
    <w:uiPriority w:val="0"/>
  </w:style>
  <w:style w:type="paragraph" w:customStyle="1" w:styleId="4039">
    <w:name w:val="表格内字体25"/>
    <w:basedOn w:val="418"/>
    <w:next w:val="418"/>
    <w:autoRedefine/>
    <w:qFormat/>
    <w:uiPriority w:val="0"/>
    <w:pPr>
      <w:spacing w:line="240" w:lineRule="auto"/>
      <w:ind w:firstLine="0"/>
      <w:jc w:val="center"/>
    </w:pPr>
    <w:rPr>
      <w:rFonts w:ascii="宋体" w:hAnsi="宋体"/>
      <w:b w:val="0"/>
      <w:spacing w:val="0"/>
      <w:szCs w:val="24"/>
    </w:rPr>
  </w:style>
  <w:style w:type="paragraph" w:customStyle="1" w:styleId="4040">
    <w:name w:val="正文25"/>
    <w:autoRedefine/>
    <w:qFormat/>
    <w:uiPriority w:val="0"/>
    <w:pPr>
      <w:adjustRightInd w:val="0"/>
      <w:snapToGrid w:val="0"/>
      <w:spacing w:line="480" w:lineRule="atLeast"/>
      <w:jc w:val="center"/>
    </w:pPr>
    <w:rPr>
      <w:rFonts w:ascii="宋体" w:hAnsi="Times New Roman" w:eastAsia="宋体" w:cs="Times New Roman"/>
      <w:snapToGrid w:val="0"/>
      <w:spacing w:val="6"/>
      <w:sz w:val="21"/>
      <w:lang w:val="en-US" w:eastAsia="zh-CN" w:bidi="ar-SA"/>
    </w:rPr>
  </w:style>
  <w:style w:type="paragraph" w:customStyle="1" w:styleId="4041">
    <w:name w:val="表内文字小6"/>
    <w:basedOn w:val="1"/>
    <w:autoRedefine/>
    <w:qFormat/>
    <w:uiPriority w:val="0"/>
    <w:pPr>
      <w:adjustRightInd w:val="0"/>
      <w:snapToGrid w:val="0"/>
      <w:jc w:val="center"/>
    </w:pPr>
    <w:rPr>
      <w:rFonts w:ascii="宋体" w:hAnsi="Times"/>
      <w:szCs w:val="20"/>
    </w:rPr>
  </w:style>
  <w:style w:type="paragraph" w:customStyle="1" w:styleId="4042">
    <w:name w:val="正文格式17"/>
    <w:basedOn w:val="1"/>
    <w:autoRedefine/>
    <w:qFormat/>
    <w:uiPriority w:val="0"/>
    <w:pPr>
      <w:spacing w:line="360" w:lineRule="auto"/>
      <w:ind w:firstLine="482"/>
    </w:pPr>
    <w:rPr>
      <w:rFonts w:ascii="宋体" w:hAnsi="宋体"/>
      <w:sz w:val="24"/>
    </w:rPr>
  </w:style>
  <w:style w:type="paragraph" w:customStyle="1" w:styleId="4043">
    <w:name w:val="表题3114"/>
    <w:basedOn w:val="35"/>
    <w:autoRedefine/>
    <w:qFormat/>
    <w:uiPriority w:val="0"/>
    <w:pPr>
      <w:tabs>
        <w:tab w:val="left" w:pos="4305"/>
      </w:tabs>
      <w:adjustRightInd w:val="0"/>
      <w:snapToGrid w:val="0"/>
      <w:spacing w:after="0"/>
      <w:ind w:left="0" w:leftChars="0"/>
      <w:jc w:val="center"/>
    </w:pPr>
    <w:rPr>
      <w:rFonts w:ascii="宋体" w:hAnsi="宋体"/>
      <w:lang w:val="en-US"/>
    </w:rPr>
  </w:style>
  <w:style w:type="paragraph" w:customStyle="1" w:styleId="4044">
    <w:name w:val="默认段落字体 Para Char Char Char Char14"/>
    <w:basedOn w:val="1"/>
    <w:autoRedefine/>
    <w:qFormat/>
    <w:uiPriority w:val="0"/>
  </w:style>
  <w:style w:type="paragraph" w:customStyle="1" w:styleId="4045">
    <w:name w:val="表内加粗"/>
    <w:basedOn w:val="4046"/>
    <w:unhideWhenUsed/>
    <w:qFormat/>
    <w:uiPriority w:val="0"/>
    <w:rPr>
      <w:b/>
    </w:rPr>
  </w:style>
  <w:style w:type="paragraph" w:customStyle="1" w:styleId="4046">
    <w:name w:val="表内正文"/>
    <w:basedOn w:val="86"/>
    <w:unhideWhenUsed/>
    <w:qFormat/>
    <w:uiPriority w:val="0"/>
    <w:pPr>
      <w:spacing w:after="0" w:line="500" w:lineRule="exact"/>
      <w:ind w:firstLine="200" w:firstLineChars="200"/>
    </w:pPr>
    <w:rPr>
      <w:rFonts w:eastAsia="仿宋_GB2312"/>
      <w:kern w:val="44"/>
      <w:sz w:val="28"/>
      <w:szCs w:val="24"/>
    </w:rPr>
  </w:style>
  <w:style w:type="paragraph" w:customStyle="1" w:styleId="4047">
    <w:name w:val="表格内容格式"/>
    <w:qFormat/>
    <w:uiPriority w:val="0"/>
    <w:pPr>
      <w:adjustRightInd w:val="0"/>
      <w:snapToGrid w:val="0"/>
      <w:jc w:val="center"/>
    </w:pPr>
    <w:rPr>
      <w:rFonts w:ascii="Times New Roman" w:hAnsi="Times New Roman" w:eastAsia="宋体" w:cs="Times New Roman"/>
      <w:snapToGrid w:val="0"/>
      <w:sz w:val="21"/>
      <w:szCs w:val="21"/>
      <w:lang w:val="en-US" w:eastAsia="zh-CN" w:bidi="ar-SA"/>
    </w:rPr>
  </w:style>
  <w:style w:type="character" w:customStyle="1" w:styleId="4048">
    <w:name w:val="缩进正文 Char"/>
    <w:link w:val="4049"/>
    <w:qFormat/>
    <w:uiPriority w:val="0"/>
    <w:rPr>
      <w:rFonts w:ascii="Times New Roman" w:hAnsi="Times New Roman" w:eastAsia="宋体" w:cs="Times New Roman"/>
      <w:kern w:val="2"/>
      <w:sz w:val="24"/>
      <w:szCs w:val="24"/>
      <w:lang w:val="en-US" w:eastAsia="zh-CN" w:bidi="ar-SA"/>
    </w:rPr>
  </w:style>
  <w:style w:type="paragraph" w:customStyle="1" w:styleId="4049">
    <w:name w:val="缩进正文"/>
    <w:link w:val="4048"/>
    <w:qFormat/>
    <w:uiPriority w:val="0"/>
    <w:pPr>
      <w:widowControl w:val="0"/>
      <w:spacing w:line="360" w:lineRule="auto"/>
      <w:ind w:firstLine="720" w:firstLineChars="200"/>
      <w:jc w:val="both"/>
    </w:pPr>
    <w:rPr>
      <w:rFonts w:ascii="Times New Roman" w:hAnsi="Times New Roman" w:eastAsia="宋体" w:cs="Times New Roman"/>
      <w:kern w:val="2"/>
      <w:sz w:val="24"/>
      <w:szCs w:val="24"/>
      <w:lang w:val="en-US" w:eastAsia="zh-CN" w:bidi="ar-SA"/>
    </w:rPr>
  </w:style>
  <w:style w:type="paragraph" w:customStyle="1" w:styleId="4050">
    <w:name w:val="表内容居中"/>
    <w:basedOn w:val="4051"/>
    <w:qFormat/>
    <w:uiPriority w:val="0"/>
    <w:pPr>
      <w:spacing w:line="240" w:lineRule="atLeast"/>
    </w:pPr>
    <w:rPr>
      <w:rFonts w:hint="eastAsia"/>
      <w:szCs w:val="21"/>
    </w:rPr>
  </w:style>
  <w:style w:type="paragraph" w:customStyle="1" w:styleId="4051">
    <w:name w:val="图表名"/>
    <w:basedOn w:val="1"/>
    <w:qFormat/>
    <w:uiPriority w:val="0"/>
    <w:pPr>
      <w:jc w:val="center"/>
    </w:pPr>
    <w:rPr>
      <w:rFonts w:ascii="Calibri" w:hAnsi="Calibri" w:cs="Calibri"/>
      <w:b/>
    </w:rPr>
  </w:style>
  <w:style w:type="paragraph" w:customStyle="1" w:styleId="4052">
    <w:name w:val="1表格中字"/>
    <w:basedOn w:val="1"/>
    <w:qFormat/>
    <w:uiPriority w:val="0"/>
    <w:pPr>
      <w:snapToGrid w:val="0"/>
      <w:jc w:val="center"/>
    </w:pPr>
    <w:rPr>
      <w:rFonts w:hAnsi="宋体"/>
      <w:szCs w:val="21"/>
    </w:rPr>
  </w:style>
  <w:style w:type="paragraph" w:customStyle="1" w:styleId="4053">
    <w:name w:val="1正文文本"/>
    <w:basedOn w:val="1"/>
    <w:qFormat/>
    <w:uiPriority w:val="0"/>
    <w:pPr>
      <w:autoSpaceDE w:val="0"/>
      <w:autoSpaceDN w:val="0"/>
      <w:adjustRightInd w:val="0"/>
      <w:spacing w:line="480" w:lineRule="exact"/>
      <w:ind w:firstLine="200" w:firstLineChars="200"/>
    </w:pPr>
    <w:rPr>
      <w:rFonts w:hAnsi="宋体"/>
      <w:kern w:val="0"/>
      <w:sz w:val="24"/>
    </w:rPr>
  </w:style>
  <w:style w:type="paragraph" w:customStyle="1" w:styleId="4054">
    <w:name w:val="Table Text"/>
    <w:basedOn w:val="1"/>
    <w:qFormat/>
    <w:uiPriority w:val="0"/>
    <w:rPr>
      <w:szCs w:val="20"/>
      <w:lang w:eastAsia="en-US"/>
    </w:rPr>
  </w:style>
  <w:style w:type="table" w:customStyle="1" w:styleId="4055">
    <w:name w:val="Table Normal"/>
    <w:unhideWhenUsed/>
    <w:qFormat/>
    <w:uiPriority w:val="0"/>
    <w:tblPr>
      <w:tblCellMar>
        <w:top w:w="0" w:type="dxa"/>
        <w:left w:w="0" w:type="dxa"/>
        <w:bottom w:w="0" w:type="dxa"/>
        <w:right w:w="0" w:type="dxa"/>
      </w:tblCellMar>
    </w:tblPr>
  </w:style>
  <w:style w:type="paragraph" w:customStyle="1" w:styleId="4056">
    <w:name w:val="A表头"/>
    <w:basedOn w:val="1017"/>
    <w:qFormat/>
    <w:uiPriority w:val="0"/>
    <w:pPr>
      <w:ind w:firstLine="0" w:firstLineChars="0"/>
      <w:jc w:val="center"/>
      <w:outlineLvl w:val="2"/>
    </w:pPr>
    <w:rPr>
      <w:rFonts w:hAnsi="宋体"/>
      <w:b/>
      <w:bCs/>
      <w:spacing w:val="-1"/>
      <w:lang w:val="zh-CN" w:bidi="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0" Type="http://schemas.microsoft.com/office/2011/relationships/people" Target="people.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6.wmf"/><Relationship Id="rId25" Type="http://schemas.openxmlformats.org/officeDocument/2006/relationships/oleObject" Target="embeddings/oleObject2.bin"/><Relationship Id="rId24" Type="http://schemas.openxmlformats.org/officeDocument/2006/relationships/image" Target="media/image15.wmf"/><Relationship Id="rId23" Type="http://schemas.openxmlformats.org/officeDocument/2006/relationships/oleObject" Target="embeddings/oleObject1.bin"/><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soa\wdzx97.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wdzx97.dot</Template>
  <Company>微软中国</Company>
  <Pages>95</Pages>
  <Words>61469</Words>
  <Characters>70404</Characters>
  <Lines>459</Lines>
  <Paragraphs>129</Paragraphs>
  <TotalTime>22</TotalTime>
  <ScaleCrop>false</ScaleCrop>
  <LinksUpToDate>false</LinksUpToDate>
  <CharactersWithSpaces>72775</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2023-11-01T07:51:00Z</dcterms:created>
  <dc:creator>lhj</dc:creator>
  <cp:lastModifiedBy>武装我心</cp:lastModifiedBy>
  <cp:lastPrinted>2024-12-02T08:37:00Z</cp:lastPrinted>
  <dcterms:modified xsi:type="dcterms:W3CDTF">2025-06-20T09:13:54Z</dcterms:modified>
  <dc:title>附件2</dc:title>
  <cp:revision>104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0310CC569F4044649D58797B29384211_13</vt:lpwstr>
  </property>
  <property fmtid="{D5CDD505-2E9C-101B-9397-08002B2CF9AE}" pid="4" name="KSOTemplateDocerSaveRecord">
    <vt:lpwstr>eyJoZGlkIjoiNjUwNjA5YzBmNTFkOWQyZmY3NTA1NTgzNmVhZWUwNzAiLCJ1c2VySWQiOiIxMzYyMTc5OSJ9</vt:lpwstr>
  </property>
</Properties>
</file>